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946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946900"/>
                    </a:xfrm>
                    <a:prstGeom prst="rect">
                      <a:avLst/>
                    </a:prstGeom>
                    <a:noFill/>
                  </pic:spPr>
                </pic:pic>
              </a:graphicData>
            </a:graphic>
          </wp:anchor>
        </w:drawing>
      </w:r>
    </w:p>
    <w:p>
      <w:pPr>
        <w:spacing w:after="0" w:line="1222" w:lineRule="exact"/>
        <w:rPr>
          <w:sz w:val="24"/>
          <w:szCs w:val="24"/>
          <w:color w:val="auto"/>
        </w:rPr>
      </w:pPr>
    </w:p>
    <w:p>
      <w:pPr>
        <w:sectPr>
          <w:pgSz w:w="11900" w:h="16894"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COGHLAN JOHN PHILIP</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60" w:type="dxa"/>
            <w:vAlign w:val="bottom"/>
            <w:tcBorders>
              <w:bottom w:val="single" w:sz="8" w:color="0000EE"/>
            </w:tcBorders>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11/19/2024</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2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94"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94"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11/19/2024</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ind w:left="10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41.5</w:t>
            </w:r>
            <w:r>
              <w:rPr>
                <w:rFonts w:ascii="Times New Roman" w:cs="Times New Roman" w:eastAsia="Times New Roman" w:hAnsi="Times New Roman"/>
                <w:sz w:val="22"/>
                <w:szCs w:val="22"/>
                <w:color w:val="008000"/>
                <w:vertAlign w:val="superscript"/>
              </w:rPr>
              <w:t>(1)</w:t>
            </w:r>
          </w:p>
        </w:tc>
        <w:tc>
          <w:tcPr>
            <w:tcW w:w="1140" w:type="dxa"/>
            <w:vAlign w:val="bottom"/>
          </w:tcPr>
          <w:p>
            <w:pPr>
              <w:ind w:left="260"/>
              <w:spacing w:after="0" w:line="213" w:lineRule="exact"/>
              <w:rPr>
                <w:sz w:val="20"/>
                <w:szCs w:val="20"/>
                <w:color w:val="auto"/>
              </w:rPr>
            </w:pPr>
            <w:r>
              <w:rPr>
                <w:rFonts w:ascii="Times New Roman" w:cs="Times New Roman" w:eastAsia="Times New Roman" w:hAnsi="Times New Roman"/>
                <w:sz w:val="17"/>
                <w:szCs w:val="17"/>
                <w:color w:val="0000FF"/>
              </w:rPr>
              <w:t>41,628</w:t>
            </w:r>
            <w:r>
              <w:rPr>
                <w:rFonts w:ascii="Times New Roman" w:cs="Times New Roman" w:eastAsia="Times New Roman" w:hAnsi="Times New Roman"/>
                <w:sz w:val="22"/>
                <w:szCs w:val="22"/>
                <w:color w:val="008000"/>
                <w:vertAlign w:val="superscript"/>
              </w:rPr>
              <w:t>(2)</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Held by</w:t>
      </w:r>
    </w:p>
    <w:p>
      <w:pPr>
        <w:spacing w:after="0" w:line="3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The</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John</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Philip</w:t>
      </w:r>
    </w:p>
    <w:p>
      <w:pPr>
        <w:spacing w:after="0" w:line="18" w:lineRule="exact"/>
        <w:rPr>
          <w:sz w:val="20"/>
          <w:szCs w:val="20"/>
          <w:color w:val="auto"/>
        </w:rPr>
      </w:pPr>
    </w:p>
    <w:p>
      <w:pPr>
        <w:ind w:left="8400" w:right="220" w:hanging="10180"/>
        <w:spacing w:after="0"/>
        <w:tabs>
          <w:tab w:leader="none" w:pos="8380" w:val="left"/>
        </w:tabs>
        <w:rPr>
          <w:sz w:val="20"/>
          <w:szCs w:val="20"/>
          <w:color w:val="auto"/>
        </w:rPr>
      </w:pPr>
      <w:r>
        <w:rPr>
          <w:rFonts w:ascii="Times New Roman" w:cs="Times New Roman" w:eastAsia="Times New Roman" w:hAnsi="Times New Roman"/>
          <w:sz w:val="34"/>
          <w:szCs w:val="34"/>
          <w:color w:val="0000FF"/>
          <w:vertAlign w:val="subscript"/>
        </w:rPr>
        <w:t>Common Stock</w:t>
      </w:r>
      <w:r>
        <w:rPr>
          <w:sz w:val="20"/>
          <w:szCs w:val="20"/>
          <w:color w:val="auto"/>
        </w:rPr>
        <w:tab/>
      </w:r>
      <w:r>
        <w:rPr>
          <w:rFonts w:ascii="Times New Roman" w:cs="Times New Roman" w:eastAsia="Times New Roman" w:hAnsi="Times New Roman"/>
          <w:sz w:val="35"/>
          <w:szCs w:val="35"/>
          <w:color w:val="0000FF"/>
          <w:vertAlign w:val="subscript"/>
        </w:rPr>
        <w:t>64,834</w:t>
      </w:r>
      <w:r>
        <w:rPr>
          <w:rFonts w:ascii="Times New Roman" w:cs="Times New Roman" w:eastAsia="Times New Roman" w:hAnsi="Times New Roman"/>
          <w:sz w:val="11"/>
          <w:szCs w:val="11"/>
          <w:color w:val="008000"/>
        </w:rPr>
        <w:t>(3)</w:t>
      </w:r>
      <w:r>
        <w:rPr>
          <w:rFonts w:ascii="Times New Roman" w:cs="Times New Roman" w:eastAsia="Times New Roman" w:hAnsi="Times New Roman"/>
          <w:sz w:val="35"/>
          <w:szCs w:val="35"/>
          <w:color w:val="0000FF"/>
        </w:rPr>
        <w:t xml:space="preserve"> </w:t>
      </w:r>
      <w:r>
        <w:rPr>
          <w:rFonts w:ascii="Times New Roman" w:cs="Times New Roman" w:eastAsia="Times New Roman" w:hAnsi="Times New Roman"/>
          <w:sz w:val="35"/>
          <w:szCs w:val="35"/>
          <w:color w:val="0000FF"/>
          <w:vertAlign w:val="subscript"/>
        </w:rPr>
        <w:t>I</w:t>
      </w:r>
      <w:r>
        <w:rPr>
          <w:rFonts w:ascii="Times New Roman" w:cs="Times New Roman" w:eastAsia="Times New Roman" w:hAnsi="Times New Roman"/>
          <w:sz w:val="35"/>
          <w:szCs w:val="35"/>
          <w:color w:val="0000FF"/>
        </w:rPr>
        <w:t xml:space="preserve"> </w:t>
      </w:r>
      <w:r>
        <w:rPr>
          <w:rFonts w:ascii="Times New Roman" w:cs="Times New Roman" w:eastAsia="Times New Roman" w:hAnsi="Times New Roman"/>
          <w:sz w:val="35"/>
          <w:szCs w:val="35"/>
          <w:color w:val="0000FF"/>
          <w:vertAlign w:val="superscript"/>
        </w:rPr>
        <w:t>Coghlan</w:t>
      </w:r>
      <w:r>
        <w:rPr>
          <w:rFonts w:ascii="Times New Roman" w:cs="Times New Roman" w:eastAsia="Times New Roman" w:hAnsi="Times New Roman"/>
          <w:sz w:val="35"/>
          <w:szCs w:val="35"/>
          <w:color w:val="0000FF"/>
        </w:rPr>
        <w:t xml:space="preserve"> </w:t>
      </w:r>
      <w:r>
        <w:rPr>
          <w:rFonts w:ascii="Times New Roman" w:cs="Times New Roman" w:eastAsia="Times New Roman" w:hAnsi="Times New Roman"/>
          <w:sz w:val="17"/>
          <w:szCs w:val="17"/>
          <w:color w:val="0000FF"/>
        </w:rPr>
        <w:t>2024</w:t>
      </w:r>
    </w:p>
    <w:p>
      <w:pPr>
        <w:spacing w:after="0" w:line="3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Grantor</w:t>
      </w:r>
    </w:p>
    <w:p>
      <w:pPr>
        <w:spacing w:after="0" w:line="1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Retained</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Annuity</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448"/>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440"/>
              <w:spacing w:after="0"/>
              <w:rPr>
                <w:sz w:val="20"/>
                <w:szCs w:val="20"/>
                <w:color w:val="auto"/>
              </w:rPr>
            </w:pPr>
            <w:r>
              <w:rPr>
                <w:rFonts w:ascii="Times New Roman" w:cs="Times New Roman" w:eastAsia="Times New Roman" w:hAnsi="Times New Roman"/>
                <w:sz w:val="34"/>
                <w:szCs w:val="34"/>
                <w:color w:val="0000FF"/>
                <w:vertAlign w:val="subscript"/>
              </w:rPr>
              <w:t>5,226</w:t>
            </w:r>
            <w:r>
              <w:rPr>
                <w:rFonts w:ascii="Times New Roman" w:cs="Times New Roman" w:eastAsia="Times New Roman" w:hAnsi="Times New Roman"/>
                <w:sz w:val="11"/>
                <w:szCs w:val="11"/>
                <w:color w:val="008000"/>
              </w:rPr>
              <w:t>(4)(5)</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00" w:type="dxa"/>
            <w:vAlign w:val="bottom"/>
            <w:tcBorders>
              <w:top w:val="single" w:sz="8" w:color="2C2C2C"/>
            </w:tcBorders>
            <w:gridSpan w:val="10"/>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7"/>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2"/>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$41.07 to $41.78,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transferred 81,569 directly held shares to the John Coghlan Living Trust.</w:t>
      </w:r>
    </w:p>
    <w:p>
      <w:pPr>
        <w:spacing w:after="0" w:line="5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contributed 64,834 shares indirectly held by the John Coghlan Living Trust to The John Philip Coghlan 2024 Grantor Retained Annuity Trust for the benefit of the Reporting Person and his family.</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5,226 RSUs,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amount of shares held by the Reporting Person after giving effect to the transactions detailed in Footnote 2 of this Form 4.</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11/21/2024</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ectPr>
          <w:pgSz w:w="11900" w:h="16894" w:orient="portrait"/>
          <w:cols w:equalWidth="0" w:num="1">
            <w:col w:w="11080"/>
          </w:cols>
          <w:pgMar w:left="460" w:top="219" w:right="359" w:bottom="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94"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6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599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2024-11-21T20:52:21Z</dcterms:created>
  <dcterms:modified xsi:type="dcterms:W3CDTF">2024-11-21T20:52:21Z</dcterms:modified>
</cp:coreProperties>
</file>