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Life360,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13d-l(b)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13d-l(c)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13d-l(d)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tabs>
          <w:tab w:leader="none" w:pos="5084" w:val="left"/>
          <w:tab w:leader="none" w:pos="101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2 of 5</w:t>
      </w:r>
    </w:p>
    <w:p>
      <w:pPr>
        <w:spacing w:after="0" w:line="171"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Hulls</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8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4,075,786 (1)(2)</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4,075,786 (1)(2)</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hanging="99"/>
        <w:spacing w:after="0"/>
        <w:tabs>
          <w:tab w:leader="none" w:pos="158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4,075,786 (1)(2)</w:t>
      </w:r>
    </w:p>
    <w:p>
      <w:pPr>
        <w:spacing w:after="0" w:line="36" w:lineRule="exact"/>
        <w:rPr>
          <w:sz w:val="20"/>
          <w:szCs w:val="20"/>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(3)</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68" w:lineRule="auto"/>
        <w:tabs>
          <w:tab w:leader="none" w:pos="4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946,429 shares of common stock held of record by Mr. Hulls, (ii) 1,171,291 shares of common stock underlying 3,513,874 CHESS Depositary Interests (“CDIs”) held of record by Mr. Hulls, (iii) 29,960 shares of common stock underlying 89,880 CDIs held of record by ICCA Labs, LLC, of which Mr. Hulls is a member, (iv) 1,920,654 shares of common stock issuable to Mr. Hulls upon the exercise of stock options that are exercisable within 60 days of December 31, 2023, and (v) 7,452 shares of common stock issuable to Mr. Hulls upon the vesting of restricted stock units within 60 days of December 31, 2023 but will not be issued within 60 days of December 31, 2023 for administrative reasons. Mr. Hulls is a member of ICCA Labs, LLC and the number of shares reported herein represents his proportionate ownership interest in ICCA Labs, LLC.</w:t>
      </w:r>
    </w:p>
    <w:p>
      <w:pPr>
        <w:spacing w:after="0" w:line="4" w:lineRule="exact"/>
        <w:rPr>
          <w:rFonts w:ascii="Times New Roman" w:cs="Times New Roman" w:eastAsia="Times New Roman" w:hAnsi="Times New Roman"/>
          <w:sz w:val="17"/>
          <w:szCs w:val="17"/>
          <w:color w:val="auto"/>
        </w:rPr>
      </w:pPr>
    </w:p>
    <w:p>
      <w:pPr>
        <w:ind w:left="424" w:right="58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CDIs are units of beneficial ownership in shares of common stock held by CHESS Depositary Nominees Pty Limited, a subsidiary of ASX Limited, the company that operates the Australian Securities Exchange. The CDIs entitle holders to dividends, if any, and other rights economically equivalent to shares of common stock on a 3 CDIs-for-1 common stock basis.</w:t>
      </w:r>
    </w:p>
    <w:p>
      <w:pPr>
        <w:spacing w:after="0" w:line="1"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is based on dividing (i) the aggregate number of shares of common stock beneficially owned by Mr. Hulls as set forth in Row 9 by (ii) the sum of (a) 68,155,830 shares of common stock outstanding as of December 31, 2023 as reported by the Issuer to Mr. Hulls, including shares underlying all issued and outstanding CDIs, (b) 1,920,654 shares of common stock issuable to Mr. Hulls upon the exercise of stock options that are exercisable within 60 days of December 31, 2023, and (c) 7,452 shares of common stock issuable to Mr. Hulls upon the vesting of restricted stock units within 60 days of December 31, 2023 but will not be issued within 60 days of December 31, 2023 for administrative reasons.</w:t>
      </w:r>
    </w:p>
    <w:p>
      <w:pPr>
        <w:sectPr>
          <w:pgSz w:w="11900" w:h="16838" w:orient="portrait"/>
          <w:cols w:equalWidth="0" w:num="1">
            <w:col w:w="11024"/>
          </w:cols>
          <w:pgMar w:left="436" w:top="270" w:right="439" w:bottom="1440" w:gutter="0" w:footer="0" w:header="0"/>
        </w:sectPr>
      </w:pPr>
    </w:p>
    <w:bookmarkStart w:id="2" w:name="page3"/>
    <w:bookmarkEnd w:id="2"/>
    <w:p>
      <w:pPr>
        <w:spacing w:after="0"/>
        <w:tabs>
          <w:tab w:leader="none" w:pos="5080" w:val="left"/>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N/A</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3 of 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35" w:lineRule="exact"/>
        <w:rPr>
          <w:sz w:val="20"/>
          <w:szCs w:val="20"/>
          <w:color w:val="auto"/>
        </w:rPr>
      </w:pPr>
    </w:p>
    <w:p>
      <w:pPr>
        <w:ind w:left="980" w:right="8900" w:hanging="552"/>
        <w:spacing w:after="0" w:line="383" w:lineRule="auto"/>
        <w:tabs>
          <w:tab w:leader="none" w:pos="96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Life360, Inc.</w:t>
      </w: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1900 South Norfolk Street, Suite 310 San Mateo, CA 94403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980" w:right="8360" w:hanging="552"/>
        <w:spacing w:after="0" w:line="383" w:lineRule="auto"/>
        <w:tabs>
          <w:tab w:leader="none" w:pos="9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Chris Hulls</w:t>
      </w: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the Reporting Person is 1900 South Norfolk Street, Suite 310, San Mateo, CA 94403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per share</w:t>
      </w:r>
    </w:p>
    <w:p>
      <w:pPr>
        <w:spacing w:after="0" w:line="130" w:lineRule="exact"/>
        <w:rPr>
          <w:rFonts w:ascii="Times New Roman" w:cs="Times New Roman" w:eastAsia="Times New Roman" w:hAnsi="Times New Roman"/>
          <w:sz w:val="18"/>
          <w:szCs w:val="18"/>
          <w:color w:val="auto"/>
        </w:rPr>
      </w:pPr>
    </w:p>
    <w:p>
      <w:pPr>
        <w:ind w:left="980" w:right="8860" w:hanging="552"/>
        <w:spacing w:after="0" w:line="407" w:lineRule="auto"/>
        <w:tabs>
          <w:tab w:leader="none" w:pos="9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Rules 13d-1(b), or 13d-2(b) or (c), check whether the person filing is 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row 9 of the cover page.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See Row 11 of the cover page.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ind w:left="1200" w:hanging="205"/>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260" w:hanging="265"/>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rFonts w:ascii="Times New Roman" w:cs="Times New Roman" w:eastAsia="Times New Roman" w:hAnsi="Times New Roman"/>
          <w:sz w:val="18"/>
          <w:szCs w:val="18"/>
          <w:color w:val="auto"/>
        </w:rPr>
      </w:pPr>
    </w:p>
    <w:p>
      <w:pPr>
        <w:ind w:left="1300" w:hanging="305"/>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17" w:lineRule="exact"/>
        <w:rPr>
          <w:rFonts w:ascii="Times New Roman" w:cs="Times New Roman" w:eastAsia="Times New Roman" w:hAnsi="Times New Roman"/>
          <w:sz w:val="18"/>
          <w:szCs w:val="18"/>
          <w:color w:val="auto"/>
        </w:rPr>
      </w:pPr>
    </w:p>
    <w:p>
      <w:pPr>
        <w:ind w:left="1300" w:hanging="305"/>
        <w:spacing w:after="0"/>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Row 5 of the cover page.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Row 6 of the cover page.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Row 7 of the cover page.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Row 8 of the cover page.</w:t>
      </w:r>
    </w:p>
    <w:p>
      <w:pPr>
        <w:sectPr>
          <w:pgSz w:w="11900" w:h="16838" w:orient="portrait"/>
          <w:cols w:equalWidth="0" w:num="2">
            <w:col w:w="5480" w:space="720"/>
            <w:col w:w="4820"/>
          </w:cols>
          <w:pgMar w:left="440" w:top="270" w:right="439" w:bottom="1440" w:gutter="0" w:footer="0" w:header="0"/>
          <w:type w:val="continuous"/>
        </w:sectPr>
      </w:pPr>
    </w:p>
    <w:bookmarkStart w:id="3" w:name="page4"/>
    <w:bookmarkEnd w:id="3"/>
    <w:p>
      <w:pPr>
        <w:spacing w:after="0"/>
        <w:tabs>
          <w:tab w:leader="none" w:pos="5080" w:val="left"/>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4 of 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121" w:lineRule="exact"/>
        <w:rPr>
          <w:sz w:val="20"/>
          <w:szCs w:val="20"/>
          <w:color w:val="auto"/>
        </w:rPr>
      </w:pPr>
    </w:p>
    <w:p>
      <w:pPr>
        <w:ind w:right="2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CHRIS HULLS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 individual</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
      <w:numFmt w:val="bullet"/>
      <w:start w:val="1"/>
    </w:lvl>
    <w:lvl w:ilvl="1">
      <w:lvlJc w:val="left"/>
      <w:lvlText w:val=" "/>
      <w:numFmt w:val="bullet"/>
      <w:start w:val="1"/>
    </w:lvl>
  </w:abstractNum>
  <w:abstractNum w:abstractNumId="3">
    <w:nsid w:val="79E2A9E3"/>
    <w:multiLevelType w:val="hybridMultilevel"/>
    <w:lvl w:ilvl="0">
      <w:lvlJc w:val="left"/>
      <w:lvlText w:val=" "/>
      <w:numFmt w:val="bullet"/>
      <w:start w:val="1"/>
    </w:lvl>
  </w:abstractNum>
  <w:abstractNum w:abstractNumId="4">
    <w:nsid w:val="7545E14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515F007C"/>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
    <w:nsid w:val="5BD062C2"/>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2024-02-14T17:20:41Z</dcterms:created>
  <dcterms:modified xsi:type="dcterms:W3CDTF">2024-02-14T17:20:41Z</dcterms:modified>
</cp:coreProperties>
</file>