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04/01/2025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3,125</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37.86</w:t>
            </w:r>
            <w:r>
              <w:rPr>
                <w:rFonts w:ascii="Times New Roman" w:cs="Times New Roman" w:eastAsia="Times New Roman" w:hAnsi="Times New Roman"/>
                <w:sz w:val="22"/>
                <w:szCs w:val="22"/>
                <w:color w:val="008000"/>
                <w:vertAlign w:val="superscript"/>
              </w:rPr>
              <w:t>(2)</w:t>
            </w:r>
          </w:p>
        </w:tc>
        <w:tc>
          <w:tcPr>
            <w:tcW w:w="1140" w:type="dxa"/>
            <w:vAlign w:val="bottom"/>
          </w:tcPr>
          <w:p>
            <w:pPr>
              <w:ind w:left="260"/>
              <w:spacing w:after="0" w:line="213" w:lineRule="exact"/>
              <w:rPr>
                <w:sz w:val="20"/>
                <w:szCs w:val="20"/>
                <w:color w:val="auto"/>
              </w:rPr>
            </w:pPr>
            <w:r>
              <w:rPr>
                <w:rFonts w:ascii="Times New Roman" w:cs="Times New Roman" w:eastAsia="Times New Roman" w:hAnsi="Times New Roman"/>
                <w:sz w:val="17"/>
                <w:szCs w:val="17"/>
                <w:color w:val="0000FF"/>
              </w:rPr>
              <w:t>34,286</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Held by</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The</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John</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Philip</w:t>
      </w:r>
    </w:p>
    <w:p>
      <w:pPr>
        <w:spacing w:after="0" w:line="18" w:lineRule="exact"/>
        <w:rPr>
          <w:sz w:val="20"/>
          <w:szCs w:val="20"/>
          <w:color w:val="auto"/>
        </w:rPr>
      </w:pPr>
    </w:p>
    <w:p>
      <w:pPr>
        <w:ind w:left="8460" w:right="220" w:hanging="10180"/>
        <w:spacing w:after="0"/>
        <w:tabs>
          <w:tab w:leader="none" w:pos="844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 xml:space="preserve">64,834 I </w:t>
      </w:r>
      <w:r>
        <w:rPr>
          <w:rFonts w:ascii="Times New Roman" w:cs="Times New Roman" w:eastAsia="Times New Roman" w:hAnsi="Times New Roman"/>
          <w:sz w:val="34"/>
          <w:szCs w:val="34"/>
          <w:color w:val="0000FF"/>
          <w:vertAlign w:val="superscript"/>
        </w:rPr>
        <w:t>Coghlan</w:t>
      </w:r>
      <w:r>
        <w:rPr>
          <w:rFonts w:ascii="Times New Roman" w:cs="Times New Roman" w:eastAsia="Times New Roman" w:hAnsi="Times New Roman"/>
          <w:sz w:val="17"/>
          <w:szCs w:val="17"/>
          <w:color w:val="0000FF"/>
        </w:rPr>
        <w:t xml:space="preserve"> 2024</w:t>
      </w:r>
    </w:p>
    <w:p>
      <w:pPr>
        <w:spacing w:after="0" w:line="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34"/>
                <w:szCs w:val="34"/>
                <w:color w:val="0000FF"/>
                <w:vertAlign w:val="subscript"/>
              </w:rPr>
              <w:t>3,484</w:t>
            </w:r>
            <w:r>
              <w:rPr>
                <w:rFonts w:ascii="Times New Roman" w:cs="Times New Roman" w:eastAsia="Times New Roman" w:hAnsi="Times New Roman"/>
                <w:sz w:val="11"/>
                <w:szCs w:val="11"/>
                <w:color w:val="008000"/>
              </w:rPr>
              <w:t>(4)(5)</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$37.46 to $38.15,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1,742 directly held shares to the John Coghlan Living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1,742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amount of shares held by the Reporting Person after giving effect to the transaction detailed in Footnote 3 of this Form 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2025-04-03T17:51:27Z</dcterms:created>
  <dcterms:modified xsi:type="dcterms:W3CDTF">2025-04-03T17:51:27Z</dcterms:modified>
</cp:coreProperties>
</file>