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before="0" w:after="0"/>
        <w:jc w:val="center"/>
        <w:rPr/>
      </w:pPr>
      <w:r>
        <w:rPr/>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000-56424</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 as amended (the “Exchange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 xml:space="preserve">Common Stock, par value $0.001 per share </w:t>
      </w:r>
    </w:p>
    <w:p>
      <w:pPr>
        <w:pStyle w:val="TextBody"/>
        <w:bidi w:val="0"/>
        <w:spacing w:lineRule="auto" w:line="288" w:before="240" w:after="283"/>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pPr>
      <w:r>
        <w:rPr>
          <w:rFonts w:ascii="Times New Roman;sans-serif" w:hAnsi="Times New Roman;sans-serif"/>
          <w:b w:val="false"/>
          <w:color w:val="000000"/>
          <w:sz w:val="20"/>
        </w:rPr>
        <w:t>Indicate by check mark if the Registrant is not required to file reports pursuant to Section 13 or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w:t>
      </w:r>
      <w:r>
        <w:rPr>
          <w:rFonts w:ascii="Times New Roman;sans-serif" w:hAnsi="Times New Roman;sans-serif"/>
          <w:b w:val="false"/>
          <w:color w:val="000000"/>
          <w:sz w:val="16"/>
        </w:rPr>
        <w:t xml:space="preserve">t.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was $915 million, based on the closing price per share of the Registrant’s common stock on the Australian Securities Exchange (“ASX”) and the daily exchange rate as reported by Tullett Prebon for conversion of Australian dollars into U.S. dollars on June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22, 2024, the registrant had 68,290,623 shares of common stock, par value $0.001 per share, including shares underlying all issued and outstanding Chess Depositary Interests (“CDIs”), outstanding.</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definitive proxy statement for the 2024 Annual Meeting of Stockholders of the Registrant (the “Proxy Statement”), are incorporated by reference into Part III of this Annual Report on Form 10-K. The Proxy Statement will be filed with the Securities and Exchange Commission within 120 days of the Registrant’s fiscal year ended December 31, 2023.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Life360,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 for the Year Ended December 31, 2023</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42"/>
        <w:gridCol w:w="387"/>
        <w:gridCol w:w="387"/>
        <w:gridCol w:w="2812"/>
        <w:gridCol w:w="2782"/>
        <w:gridCol w:w="2822"/>
        <w:gridCol w:w="167"/>
        <w:gridCol w:w="167"/>
        <w:gridCol w:w="239"/>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6">
              <w:r>
                <w:rPr>
                  <w:rStyle w:val="InternetLink"/>
                  <w:rFonts w:ascii="Times New Roman;sans-serif" w:hAnsi="Times New Roman;sans-serif"/>
                  <w:b w:val="false"/>
                  <w:color w:val="0000FF"/>
                  <w:sz w:val="20"/>
                  <w:u w:val="single"/>
                </w:rPr>
                <w:t>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6">
              <w:r>
                <w:rPr>
                  <w:rStyle w:val="InternetLink"/>
                  <w:rFonts w:ascii="Times New Roman;sans-serif" w:hAnsi="Times New Roman;sans-serif"/>
                  <w:b w:val="false"/>
                  <w:strike w:val="false"/>
                  <w:dstrike w:val="false"/>
                  <w:color w:val="000000"/>
                  <w:sz w:val="20"/>
                  <w:u w:val="none"/>
                  <w:effect w:val="none"/>
                </w:rPr>
                <w:t>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2">
              <w:r>
                <w:rPr>
                  <w:rStyle w:val="InternetLink"/>
                  <w:rFonts w:ascii="Times New Roman;sans-serif" w:hAnsi="Times New Roman;sans-serif"/>
                  <w:b w:val="false"/>
                  <w:color w:val="0000FF"/>
                  <w:sz w:val="20"/>
                  <w:u w:val="single"/>
                </w:rPr>
                <w:t>Item 1.</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2">
              <w:r>
                <w:rPr>
                  <w:rStyle w:val="InternetLink"/>
                  <w:rFonts w:ascii="Times New Roman;sans-serif" w:hAnsi="Times New Roman;sans-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2">
              <w:r>
                <w:rPr>
                  <w:rStyle w:val="InternetLink"/>
                  <w:rFonts w:ascii="Times New Roman;sans-serif" w:hAnsi="Times New Roman;sans-serif"/>
                  <w:b w:val="false"/>
                  <w:strike w:val="false"/>
                  <w:dstrike w:val="false"/>
                  <w:color w:val="000000"/>
                  <w:sz w:val="20"/>
                  <w:u w:val="none"/>
                  <w:effect w:val="none"/>
                </w:rPr>
                <w:t>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67">
              <w:r>
                <w:rPr>
                  <w:rStyle w:val="InternetLink"/>
                  <w:rFonts w:ascii="Times New Roman;sans-serif" w:hAnsi="Times New Roman;sans-serif"/>
                  <w:b w:val="false"/>
                  <w:color w:val="0000FF"/>
                  <w:sz w:val="20"/>
                  <w:u w:val="single"/>
                </w:rPr>
                <w:t>Item 1A.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67">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67">
              <w:r>
                <w:rPr>
                  <w:rStyle w:val="InternetLink"/>
                  <w:rFonts w:ascii="Times New Roman;sans-serif" w:hAnsi="Times New Roman;sans-serif"/>
                  <w:b w:val="false"/>
                  <w:strike w:val="false"/>
                  <w:dstrike w:val="false"/>
                  <w:color w:val="000000"/>
                  <w:sz w:val="20"/>
                  <w:u w:val="none"/>
                  <w:effect w:val="none"/>
                </w:rPr>
                <w:t>10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91">
              <w:r>
                <w:rPr>
                  <w:rStyle w:val="InternetLink"/>
                  <w:rFonts w:ascii="Times New Roman;sans-serif" w:hAnsi="Times New Roman;sans-serif"/>
                  <w:b w:val="false"/>
                  <w:color w:val="0000FF"/>
                  <w:sz w:val="20"/>
                  <w:u w:val="single"/>
                </w:rPr>
                <w:t>Item 1B.</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91">
              <w:r>
                <w:rPr>
                  <w:rStyle w:val="InternetLink"/>
                  <w:rFonts w:ascii="Times New Roman;sans-serif" w:hAnsi="Times New Roman;sans-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91">
              <w:r>
                <w:rPr>
                  <w:rStyle w:val="InternetLink"/>
                  <w:rFonts w:ascii="Times New Roman;sans-serif" w:hAnsi="Times New Roman;sans-serif"/>
                  <w:b w:val="false"/>
                  <w:strike w:val="false"/>
                  <w:dstrike w:val="false"/>
                  <w:color w:val="000000"/>
                  <w:sz w:val="20"/>
                  <w:u w:val="none"/>
                  <w:effect w:val="none"/>
                </w:rPr>
                <w:t>53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94">
              <w:r>
                <w:rPr>
                  <w:rStyle w:val="InternetLink"/>
                  <w:rFonts w:ascii="Times New Roman;sans-serif" w:hAnsi="Times New Roman;sans-serif"/>
                  <w:b w:val="false"/>
                  <w:color w:val="0000FF"/>
                  <w:sz w:val="20"/>
                  <w:u w:val="single"/>
                </w:rPr>
                <w:t>Item 1C.</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94">
              <w:r>
                <w:rPr>
                  <w:rStyle w:val="InternetLink"/>
                  <w:rFonts w:ascii="Times New Roman;sans-serif" w:hAnsi="Times New Roman;sans-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94">
              <w:r>
                <w:rPr>
                  <w:rStyle w:val="InternetLink"/>
                  <w:rFonts w:ascii="Times New Roman;sans-serif" w:hAnsi="Times New Roman;sans-serif"/>
                  <w:b w:val="false"/>
                  <w:strike w:val="false"/>
                  <w:dstrike w:val="false"/>
                  <w:color w:val="000000"/>
                  <w:sz w:val="20"/>
                  <w:u w:val="none"/>
                  <w:effect w:val="none"/>
                </w:rPr>
                <w:t>54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97">
              <w:r>
                <w:rPr>
                  <w:rStyle w:val="InternetLink"/>
                  <w:rFonts w:ascii="Times New Roman;sans-serif" w:hAnsi="Times New Roman;sans-serif"/>
                  <w:b w:val="false"/>
                  <w:color w:val="0000FF"/>
                  <w:sz w:val="20"/>
                  <w:u w:val="single"/>
                </w:rPr>
                <w:t>Item 2.</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97">
              <w:r>
                <w:rPr>
                  <w:rStyle w:val="InternetLink"/>
                  <w:rFonts w:ascii="Times New Roman;sans-serif" w:hAnsi="Times New Roman;sans-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97">
              <w:r>
                <w:rPr>
                  <w:rStyle w:val="InternetLink"/>
                  <w:rFonts w:ascii="Times New Roman;sans-serif" w:hAnsi="Times New Roman;sans-serif"/>
                  <w:b w:val="false"/>
                  <w:strike w:val="false"/>
                  <w:dstrike w:val="false"/>
                  <w:color w:val="000000"/>
                  <w:sz w:val="20"/>
                  <w:u w:val="none"/>
                  <w:effect w:val="non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00">
              <w:r>
                <w:rPr>
                  <w:rStyle w:val="InternetLink"/>
                  <w:rFonts w:ascii="Times New Roman;sans-serif" w:hAnsi="Times New Roman;sans-serif"/>
                  <w:b w:val="false"/>
                  <w:color w:val="0000FF"/>
                  <w:sz w:val="20"/>
                  <w:u w:val="single"/>
                </w:rPr>
                <w:t>Item 3.</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00">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00">
              <w:r>
                <w:rPr>
                  <w:rStyle w:val="InternetLink"/>
                  <w:rFonts w:ascii="Times New Roman;sans-serif" w:hAnsi="Times New Roman;sans-serif"/>
                  <w:b w:val="false"/>
                  <w:strike w:val="false"/>
                  <w:dstrike w:val="false"/>
                  <w:color w:val="000000"/>
                  <w:sz w:val="20"/>
                  <w:u w:val="none"/>
                  <w:effect w:val="non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03">
              <w:r>
                <w:rPr>
                  <w:rStyle w:val="InternetLink"/>
                  <w:rFonts w:ascii="Times New Roman;sans-serif" w:hAnsi="Times New Roman;sans-serif"/>
                  <w:b w:val="false"/>
                  <w:color w:val="0000FF"/>
                  <w:sz w:val="20"/>
                  <w:u w:val="single"/>
                </w:rPr>
                <w:t>Item 4.</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03">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03">
              <w:r>
                <w:rPr>
                  <w:rStyle w:val="InternetLink"/>
                  <w:rFonts w:ascii="Times New Roman;sans-serif" w:hAnsi="Times New Roman;sans-serif"/>
                  <w:b w:val="false"/>
                  <w:strike w:val="false"/>
                  <w:dstrike w:val="false"/>
                  <w:color w:val="000000"/>
                  <w:sz w:val="20"/>
                  <w:u w:val="none"/>
                  <w:effect w:val="non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09">
              <w:r>
                <w:rPr>
                  <w:rStyle w:val="InternetLink"/>
                  <w:rFonts w:ascii="Times New Roman;sans-serif" w:hAnsi="Times New Roman;sans-serif"/>
                  <w:b w:val="false"/>
                  <w:color w:val="0000FF"/>
                  <w:sz w:val="20"/>
                  <w:u w:val="single"/>
                </w:rPr>
                <w:t>Item 5.</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fa81d3889754b6996e19de133659039_109">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09">
              <w:r>
                <w:rPr>
                  <w:rStyle w:val="InternetLink"/>
                  <w:rFonts w:ascii="Times New Roman;sans-serif" w:hAnsi="Times New Roman;sans-serif"/>
                  <w:b w:val="false"/>
                  <w:strike w:val="false"/>
                  <w:dstrike w:val="false"/>
                  <w:color w:val="000000"/>
                  <w:sz w:val="20"/>
                  <w:u w:val="none"/>
                  <w:effect w:val="non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12">
              <w:r>
                <w:rPr>
                  <w:rStyle w:val="InternetLink"/>
                  <w:rFonts w:ascii="Times New Roman;sans-serif" w:hAnsi="Times New Roman;sans-serif"/>
                  <w:b w:val="false"/>
                  <w:color w:val="0000FF"/>
                  <w:sz w:val="20"/>
                  <w:u w:val="single"/>
                </w:rPr>
                <w:t>Item 6.</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12">
              <w:r>
                <w:rPr>
                  <w:rStyle w:val="InternetLink"/>
                  <w:rFonts w:ascii="Times New Roman;sans-serif" w:hAnsi="Times New Roman;sans-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12">
              <w:r>
                <w:rPr>
                  <w:rStyle w:val="InternetLink"/>
                  <w:rFonts w:ascii="Times New Roman;sans-serif" w:hAnsi="Times New Roman;sans-serif"/>
                  <w:b w:val="false"/>
                  <w:strike w:val="false"/>
                  <w:dstrike w:val="false"/>
                  <w:color w:val="000000"/>
                  <w:sz w:val="20"/>
                  <w:u w:val="none"/>
                  <w:effect w:val="none"/>
                </w:rPr>
                <w:t>57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15">
              <w:r>
                <w:rPr>
                  <w:rStyle w:val="InternetLink"/>
                  <w:rFonts w:ascii="Times New Roman;sans-serif" w:hAnsi="Times New Roman;sans-serif"/>
                  <w:b w:val="false"/>
                  <w:color w:val="0000FF"/>
                  <w:sz w:val="20"/>
                  <w:u w:val="single"/>
                </w:rPr>
                <w:t>Item 7.</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1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15">
              <w:r>
                <w:rPr>
                  <w:rStyle w:val="InternetLink"/>
                  <w:rFonts w:ascii="Times New Roman;sans-serif" w:hAnsi="Times New Roman;sans-serif"/>
                  <w:b w:val="false"/>
                  <w:strike w:val="false"/>
                  <w:dstrike w:val="false"/>
                  <w:color w:val="000000"/>
                  <w:sz w:val="20"/>
                  <w:u w:val="none"/>
                  <w:effect w:val="none"/>
                </w:rPr>
                <w:t>57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45">
              <w:r>
                <w:rPr>
                  <w:rStyle w:val="InternetLink"/>
                  <w:rFonts w:ascii="Times New Roman;sans-serif" w:hAnsi="Times New Roman;sans-serif"/>
                  <w:b w:val="false"/>
                  <w:color w:val="0000FF"/>
                  <w:sz w:val="20"/>
                  <w:u w:val="single"/>
                </w:rPr>
                <w:t>Item 7A.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45">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45">
              <w:r>
                <w:rPr>
                  <w:rStyle w:val="InternetLink"/>
                  <w:rFonts w:ascii="Times New Roman;sans-serif" w:hAnsi="Times New Roman;sans-serif"/>
                  <w:b w:val="false"/>
                  <w:strike w:val="false"/>
                  <w:dstrike w:val="false"/>
                  <w:color w:val="000000"/>
                  <w:sz w:val="20"/>
                  <w:u w:val="none"/>
                  <w:effect w:val="none"/>
                </w:rPr>
                <w:t>72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48">
              <w:r>
                <w:rPr>
                  <w:rStyle w:val="InternetLink"/>
                  <w:rFonts w:ascii="Times New Roman;sans-serif" w:hAnsi="Times New Roman;sans-serif"/>
                  <w:b w:val="false"/>
                  <w:color w:val="0000FF"/>
                  <w:sz w:val="20"/>
                  <w:u w:val="single"/>
                </w:rPr>
                <w:t>Item 8.</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48">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48">
              <w:r>
                <w:rPr>
                  <w:rStyle w:val="InternetLink"/>
                  <w:rFonts w:ascii="Times New Roman;sans-serif" w:hAnsi="Times New Roman;sans-serif"/>
                  <w:b w:val="false"/>
                  <w:strike w:val="false"/>
                  <w:dstrike w:val="false"/>
                  <w:color w:val="000000"/>
                  <w:sz w:val="20"/>
                  <w:u w:val="none"/>
                  <w:effect w:val="none"/>
                </w:rPr>
                <w:t>73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32">
              <w:r>
                <w:rPr>
                  <w:rStyle w:val="InternetLink"/>
                  <w:rFonts w:ascii="Times New Roman;sans-serif" w:hAnsi="Times New Roman;sans-serif"/>
                  <w:b w:val="false"/>
                  <w:color w:val="0000FF"/>
                  <w:sz w:val="20"/>
                  <w:u w:val="single"/>
                </w:rPr>
                <w:t>Item 9.</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3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32">
              <w:r>
                <w:rPr>
                  <w:rStyle w:val="InternetLink"/>
                  <w:rFonts w:ascii="Times New Roman;sans-serif" w:hAnsi="Times New Roman;sans-serif"/>
                  <w:b w:val="false"/>
                  <w:strike w:val="false"/>
                  <w:dstrike w:val="false"/>
                  <w:color w:val="000000"/>
                  <w:sz w:val="20"/>
                  <w:u w:val="none"/>
                  <w:effect w:val="none"/>
                </w:rPr>
                <w:t>117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35">
              <w:r>
                <w:rPr>
                  <w:rStyle w:val="InternetLink"/>
                  <w:rFonts w:ascii="Times New Roman;sans-serif" w:hAnsi="Times New Roman;sans-serif"/>
                  <w:b w:val="false"/>
                  <w:color w:val="0000FF"/>
                  <w:sz w:val="20"/>
                  <w:u w:val="single"/>
                </w:rPr>
                <w:t>Item 9A.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35">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35">
              <w:r>
                <w:rPr>
                  <w:rStyle w:val="InternetLink"/>
                  <w:rFonts w:ascii="Times New Roman;sans-serif" w:hAnsi="Times New Roman;sans-serif"/>
                  <w:b w:val="false"/>
                  <w:strike w:val="false"/>
                  <w:dstrike w:val="false"/>
                  <w:color w:val="000000"/>
                  <w:sz w:val="20"/>
                  <w:u w:val="none"/>
                  <w:effect w:val="none"/>
                </w:rPr>
                <w:t>118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38">
              <w:r>
                <w:rPr>
                  <w:rStyle w:val="InternetLink"/>
                  <w:rFonts w:ascii="Times New Roman;sans-serif" w:hAnsi="Times New Roman;sans-serif"/>
                  <w:b w:val="false"/>
                  <w:color w:val="0000FF"/>
                  <w:sz w:val="20"/>
                  <w:u w:val="single"/>
                </w:rPr>
                <w:t>Item 9B.</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38">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38">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41">
              <w:r>
                <w:rPr>
                  <w:rStyle w:val="InternetLink"/>
                  <w:rFonts w:ascii="Times New Roman;sans-serif" w:hAnsi="Times New Roman;sans-serif"/>
                  <w:b w:val="false"/>
                  <w:color w:val="0000FF"/>
                  <w:sz w:val="20"/>
                  <w:u w:val="single"/>
                </w:rPr>
                <w:t>Item 9C.</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41">
              <w:r>
                <w:rPr>
                  <w:rStyle w:val="InternetLink"/>
                  <w:rFonts w:ascii="Times New Roman;sans-serif" w:hAnsi="Times New Roman;sans-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41">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47">
              <w:r>
                <w:rPr>
                  <w:rStyle w:val="InternetLink"/>
                  <w:rFonts w:ascii="Times New Roman;sans-serif" w:hAnsi="Times New Roman;sans-serif"/>
                  <w:b w:val="false"/>
                  <w:color w:val="0000FF"/>
                  <w:sz w:val="20"/>
                  <w:u w:val="single"/>
                </w:rPr>
                <w:t>Item 10.</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47">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47">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0">
              <w:r>
                <w:rPr>
                  <w:rStyle w:val="InternetLink"/>
                  <w:rFonts w:ascii="Times New Roman;sans-serif" w:hAnsi="Times New Roman;sans-serif"/>
                  <w:b w:val="false"/>
                  <w:color w:val="0000FF"/>
                  <w:sz w:val="20"/>
                  <w:u w:val="single"/>
                </w:rPr>
                <w:t>Item 11.</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0">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50">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3">
              <w:r>
                <w:rPr>
                  <w:rStyle w:val="InternetLink"/>
                  <w:rFonts w:ascii="Times New Roman;sans-serif" w:hAnsi="Times New Roman;sans-serif"/>
                  <w:b w:val="false"/>
                  <w:color w:val="0000FF"/>
                  <w:sz w:val="20"/>
                  <w:u w:val="single"/>
                </w:rPr>
                <w:t>Item 12.</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53">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6">
              <w:r>
                <w:rPr>
                  <w:rStyle w:val="InternetLink"/>
                  <w:rFonts w:ascii="Times New Roman;sans-serif" w:hAnsi="Times New Roman;sans-serif"/>
                  <w:b w:val="false"/>
                  <w:color w:val="0000FF"/>
                  <w:sz w:val="20"/>
                  <w:u w:val="single"/>
                </w:rPr>
                <w:t>Item 13.</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56">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9">
              <w:r>
                <w:rPr>
                  <w:rStyle w:val="InternetLink"/>
                  <w:rFonts w:ascii="Times New Roman;sans-serif" w:hAnsi="Times New Roman;sans-serif"/>
                  <w:b w:val="false"/>
                  <w:color w:val="0000FF"/>
                  <w:sz w:val="20"/>
                  <w:u w:val="single"/>
                </w:rPr>
                <w:t>Item 14.</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59">
              <w:r>
                <w:rPr>
                  <w:rStyle w:val="InternetLink"/>
                  <w:rFonts w:ascii="Times New Roman;sans-serif" w:hAnsi="Times New Roman;sans-serif"/>
                  <w:b w:val="false"/>
                  <w:color w:val="0000FF"/>
                  <w:sz w:val="20"/>
                  <w:u w:val="single"/>
                </w:rPr>
                <w:t>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59">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65">
              <w:r>
                <w:rPr>
                  <w:rStyle w:val="InternetLink"/>
                  <w:rFonts w:ascii="Times New Roman;sans-serif" w:hAnsi="Times New Roman;sans-serif"/>
                  <w:b w:val="false"/>
                  <w:color w:val="0000FF"/>
                  <w:sz w:val="20"/>
                  <w:u w:val="single"/>
                </w:rPr>
                <w:t>Item 15.</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65">
              <w:r>
                <w:rPr>
                  <w:rStyle w:val="InternetLink"/>
                  <w:rFonts w:ascii="Times New Roman;sans-serif" w:hAnsi="Times New Roman;sans-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65">
              <w:r>
                <w:rPr>
                  <w:rStyle w:val="InternetLink"/>
                  <w:rFonts w:ascii="Times New Roman;sans-serif" w:hAnsi="Times New Roman;sans-serif"/>
                  <w:b w:val="false"/>
                  <w:strike w:val="false"/>
                  <w:dstrike w:val="false"/>
                  <w:color w:val="000000"/>
                  <w:sz w:val="20"/>
                  <w:u w:val="none"/>
                  <w:effect w:val="none"/>
                </w:rPr>
                <w:t>122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68">
              <w:r>
                <w:rPr>
                  <w:rStyle w:val="InternetLink"/>
                  <w:rFonts w:ascii="Times New Roman;sans-serif" w:hAnsi="Times New Roman;sans-serif"/>
                  <w:b w:val="false"/>
                  <w:color w:val="0000FF"/>
                  <w:sz w:val="20"/>
                  <w:u w:val="single"/>
                </w:rPr>
                <w:t>Item 16.</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68">
              <w:r>
                <w:rPr>
                  <w:rStyle w:val="InternetLink"/>
                  <w:rFonts w:ascii="Times New Roman;sans-serif" w:hAnsi="Times New Roman;sans-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68">
              <w:r>
                <w:rPr>
                  <w:rStyle w:val="InternetLink"/>
                  <w:rFonts w:ascii="Times New Roman;sans-serif" w:hAnsi="Times New Roman;sans-serif"/>
                  <w:b w:val="false"/>
                  <w:strike w:val="false"/>
                  <w:dstrike w:val="false"/>
                  <w:color w:val="000000"/>
                  <w:sz w:val="20"/>
                  <w:u w:val="none"/>
                  <w:effect w:val="none"/>
                </w:rPr>
                <w:t>126</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71">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271">
              <w:r>
                <w:rPr>
                  <w:rStyle w:val="InternetLink"/>
                  <w:rFonts w:ascii="Times New Roman;sans-serif" w:hAnsi="Times New Roman;sans-serif"/>
                  <w:b w:val="false"/>
                  <w:strike w:val="false"/>
                  <w:dstrike w:val="false"/>
                  <w:color w:val="000000"/>
                  <w:sz w:val="20"/>
                  <w:u w:val="none"/>
                  <w:effect w:val="none"/>
                </w:rPr>
                <w:t>127</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Annual Report on Form 10-K are the property of Life360, Inc. All other trademarks, trade names and service marks appearing in this Annual Report on Form 10-K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(this “Annual Report”) contains forward-looking statements that are based on our management’s beliefs and assumptions and on information currently available to our management. Some of the statements under “Risk Factors,” “Management’s Discussion and Analysis of Financial Condition and Results of Operations,” “Business” and elsewhere in this Annual Report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as of the date of this Annual Report and our projections of the future, about which we cannot be certain. Forward-looking statements in this Annual Report include, but are not limited to, statements about</w:t>
      </w:r>
      <w:r>
        <w:rPr>
          <w:rFonts w:ascii="Times New Roman;sans-serif" w:hAnsi="Times New Roman;sans-serif"/>
          <w:b w:val="false"/>
          <w:color w:val="000000"/>
          <w:sz w:val="20"/>
        </w:rPr>
        <w:t xml:space="preserv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further penetrate our existing member base, maintain and expand our member base, increase monetization of our member base, and expand in new use cases;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maintain the value and reputation of our brands;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increased competition in our markets and our ability to compete effectively in our industry;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anticipate market needs or develop new products and services or enhance existing products and services to meet those needs;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anticipated trends, developments, and challenges in our industry, business and in the markets in which we operate;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growth strategy and business plan and our ability to effectively manage our growth and meet future capital requirements;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expand internationally and the significance of our global opportunity;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market acceptance of our location sharing services, tracking products and digital subscription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increase sales of our products and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expectations concerning relationships with third parties; including suppliers, manufacturers and fulfillment partners;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continue to manufacture our hardware products on reasonable terms, including our ability to continue our relationships with Jabil, Inc. (“Jabil”) on terms similar to our current agreement with Jabil, or at all;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develop, and the success of, new monetization features, such as the introduction of advertisements in our app, and improve on existing features;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uncertainties with respect to the legal system in the People’s Republic of China (the “PRC”) and in Malaysia, where our primary manufacturer’s facilities are located, and of disruption in the supply chain from Malaysia and the PRC;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seasonal trends on our results of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identify, recruit, and retain skilled personnel, including key members of senior management;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successfully acquire and integrate companies and assets, including Tile, Inc. (“Tile”) and Jio, Inc. (“Jiobit”), and to expand and diversify our operations through strategic acquisitions and partnerships;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expectation regarding future financial performance, including our expectations regarding our revenue, cost of revenue, and operating expenses, and our ability to achieve or maintain future profitability;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an economic downturn or economic uncertainty on consumer discretionary spending and demand for our products and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economic and industry trends, projected growth or trend analysis;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compliance with laws and regulations that currently apply or may become applicable to our business both in the United States and internationally, including with respect to data privacy and security, consumer protection, location sharing, precise geolocation data (including of children), item tracking, targeting and children’s privacy protections;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maintain, protect, and enhance our intellectual property;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succeed in our core mission of simplifying safety for families through ESG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You should refer to the “</w:t>
      </w:r>
      <w:r>
        <w:rPr>
          <w:rFonts w:ascii="Times New Roman;sans-serif" w:hAnsi="Times New Roman;sans-serif"/>
          <w:b w:val="false"/>
          <w:color w:val="000000"/>
          <w:sz w:val="20"/>
        </w:rPr>
        <w:t>Item 1A. Risk Factors</w:t>
      </w:r>
      <w:r>
        <w:rPr>
          <w:color w:val="000000"/>
          <w:shd w:fill="FFFFFF" w:val="clear"/>
        </w:rPr>
        <w:t xml:space="preserve">” </w:t>
      </w:r>
      <w:r>
        <w:rPr>
          <w:rFonts w:ascii="Times New Roman;sans-serif" w:hAnsi="Times New Roman;sans-serif"/>
          <w:b w:val="false"/>
          <w:color w:val="000000"/>
          <w:sz w:val="20"/>
          <w:shd w:fill="FFFFFF" w:val="clear"/>
        </w:rPr>
        <w:t>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Annual Report</w:t>
      </w:r>
      <w:r>
        <w:rPr>
          <w:rFonts w:ascii="Times New Roman;sans-serif" w:hAnsi="Times New Roman;sans-serif"/>
          <w:b w:val="false"/>
          <w:color w:val="000000"/>
          <w:sz w:val="20"/>
        </w:rPr>
        <w:t>.</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is a leading technology platform used to locate the people, pets and things that matter most to families. Life360 has created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acquired Jiobit and Tile in September 2021 and January 2022, respectively, to create a comprehensive cross-platform location tracking solution for people, pets and things. Jiobit is a leading platform-agnostic wearable location device for young children, pets and seniors and Tile is a leading cross platform brand in finding objects. The suite of Life360 product and service offerings, including the Life360, Tile and Jiobit mobile applications, and related third-party services (the “Life360 Service”), is system and device agnostic, allowing our products and services to work seamlessly for families, regardless of the different platforms and devices that each family member may elect to use.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generated from the sale of subscriptions and hardware tracking devices to access our services across our three brands—Life360, Tile and Jiobit. In addition, a portion of our revenue for the years ended December 31, 2023, 2022, and 2021 was generated indirectly and is categorized as other revenue on our Consolidated Statements of Operations and Comprehensive Loss. Indirect revenue includes revenue from the sale of aggregated data (non-personally identifiable information) for the purposes of data insights from our member base to our partners, and revenue from the sale of third-party products and services, including through the placement of ads within our platform. For example, we generate revenue through the display of auto insurance products within the Life360 Platform.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Life360 generated: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Total revenue of $304.5 million, $228.3 million, and $112.6 million, respectively; and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Net loss of $28.2 million, $91.6 million, and $33.6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is driven by member engagement and customer value, so our priority is driving continued innovation, delight, and value that continues to broaden our audience and enrich the role we play in their lives. We believe these investments will help us grow membership in new and existing markets so that we remain a trusted brand and indispensable tool for families at every life stage.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members are our best acquisition engine. We believe that word of mouth referrals, coupled with increased investments in marketing and member acquisition initiatives will drive strong new member growth for Life360. We are also increasing our subscription value propositions and improving customer awareness of these benefits to grow subscription adoption and revenue per Paying Circle. Further, we are opening new revenue streams, including advertising, that leverage our highly engaged base of 61 million monthly active users, while taking a cautious approach to ensure that we maintain the highest levels of customer satisfaction for free and paid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Products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Life360 Subscription Offerings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Life360 mobile application operates under a “freemium” model where its core offering is available to users at no charge. In addition, three paid membership subscription options are available for users looking for a wider variety of features, such as additional safety features for the everyday family: Life360 Silver, Life360 Gold, and Life360 Platinum, which offer users a comprehensive suite of premium safety services. Pricing for the paid memberships in the United States of the Life360 Platform currently ranges from $7.99 per month for Life360 Silver to $24.99 per month for Life360 Platinum.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Memberships are available in the United States, United Kingdom and Canada. Outside of these three markets, Life360 offers the free membership and a single paid membership option, which is priced at $4.99 per month in local currency equivalent and offers place alerts, location history and individual driver reports.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Life360 Platform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four key product features that combined make up the Life360 Platform: (i) location coordination and safety, (ii) driving safety, (iii) digital safety, and (iv) emergency assistance. Each of these features keeps members connected to the important people in their lives by organizing them into groups (“Circles”). A member selects who to invite to their Circle and what information a Circle, or any individual member within that Circle, receives.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Location coordination and safety features include real-time location, location history and smart notifications such as location-specific alerts, driving alerts, crash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Tile Product 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Tile branded hardware tracking devices come in various shapes, sizes and price points for different use cases. The Tile network leverages the Life360 member base, generating even higher confidence that we can locate lost devices of Tile customers. Tile devices are sold through online and brick and mortar retail channels as well as directly via Tile.com. Single Tile devices’ recommended retail prices range from $24.99 to $39.99 with additional bundles at higher price points. Tile devices are also available internationally at locally relevant prices.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Tile Subscription Offerings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Tile mobile application offers a free service as well as two paid subscription options: Premium and Premium Protect, which offer additional services such as warranties and item reimbursement.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Jiobit Product 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Jiobit product line offers wearable location devices for young children, pets, and seniors. Currently, Jiobit is offered exclusively in the United States via online retailers. Customers purchase a Jiobit device at the current retail price of $129.99 and a monthly subscription to access Jiobit location tracking services.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Jiobit Subscription Offerings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Jiobit device requires a monthly subscription plan to stay connected to the Jiobit services. Subscription prices vary based on the duration of the contract and range from $8.33 per month with a one-year commitment to $16.99 per month with no commitment. Monthly contracts offer features such as location history, SOS notifications, and access to the Jiobit desktop portal.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Technology Platform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help families stay connected and safe, we have developed a scalable mobile-first technology platform that supports our business while protecting our operational integrity, security and performance. Highlights of our technology platform include a robust location engine design, scalable and modern technology infrastructure, and seamless third-party integration.</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Location Engine Design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designed an end-to-end location technology solution that allows us to deliver real-time location-based experiences and includes functionality such as storage, processing and communication of events, locations, drives, maps, places, networking and visualization of device characteristics for people, pets and things.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Tile finding network, which allows Tile users to locate their devices via the Tile app, has been integrated into the Life360 Platform. This integration allows members and Circles to keep track of their things and connect with each other through one seamless Life360 Platform.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third-party services for our backend platform and infrastructure to connect to our apps and custom hardware devices. Using these services grants us access to a highly distributed, scalable, reliable and secure architecture for global delivery.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Third-Party Integration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extend the features and functionality of our platform, we integrate third-party software into our products where applicable. Our platform seamlessly integrates with our partnership offerings with several software-as-a-service vendors. This enhances our offerings with capabilities and features such as contextual auto insurance ads, identity theft protection, data breach alerts, and voice service integrations.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industry is becoming increasingly competitive,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Employees and Culture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Life360’s core values are designed to create a culture that supports our vision of an ambitious, professionally driven organization that can simplify safety so families can live fully: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Be a Good Person.</w:t>
      </w:r>
      <w:r>
        <w:rPr>
          <w:color w:val="000000"/>
        </w:rPr>
        <w:t xml:space="preserve"> </w:t>
      </w:r>
      <w:r>
        <w:rPr>
          <w:rFonts w:ascii="Times New Roman;sans-serif" w:hAnsi="Times New Roman;sans-serif"/>
          <w:b w:val="false"/>
          <w:color w:val="000000"/>
          <w:sz w:val="20"/>
        </w:rPr>
        <w:t xml:space="preserve">Everyone at Life360 respects each other and maintains a high level of integrity.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i/>
          <w:color w:val="000000"/>
          <w:sz w:val="20"/>
        </w:rPr>
        <w:t>Be Direct with Respect.</w:t>
      </w:r>
      <w:r>
        <w:rPr>
          <w:color w:val="000000"/>
        </w:rPr>
        <w:t xml:space="preserve"> </w:t>
      </w:r>
      <w:r>
        <w:rPr>
          <w:rFonts w:ascii="Times New Roman;sans-serif" w:hAnsi="Times New Roman;sans-serif"/>
          <w:b w:val="false"/>
          <w:color w:val="000000"/>
          <w:sz w:val="20"/>
        </w:rPr>
        <w:t xml:space="preserve">We communicate directly, even when it’s hard. This is always done in support of the other person’s development, and we are intentionally inclusive and always respectful. </w:t>
      </w:r>
    </w:p>
    <w:p>
      <w:pPr>
        <w:pStyle w:val="TextBody"/>
        <w:bidi w:val="0"/>
        <w:spacing w:lineRule="auto" w:line="288" w:before="60" w:after="283"/>
        <w:ind w:left="0" w:right="0" w:hanging="360"/>
        <w:jc w:val="left"/>
        <w:rPr/>
      </w:pPr>
      <w:r>
        <w:rPr>
          <w:color w:val="000000"/>
        </w:rPr>
        <w:t>•</w:t>
      </w:r>
      <w:r>
        <w:rPr>
          <w:rFonts w:ascii="Times New Roman;sans-serif" w:hAnsi="Times New Roman;sans-serif"/>
          <w:b/>
          <w:i/>
          <w:color w:val="000000"/>
          <w:sz w:val="20"/>
        </w:rPr>
        <w:t>Members Over Metrics.</w:t>
      </w:r>
      <w:r>
        <w:rPr>
          <w:color w:val="000000"/>
        </w:rPr>
        <w:t xml:space="preserve"> </w:t>
      </w:r>
      <w:r>
        <w:rPr>
          <w:rFonts w:ascii="Times New Roman;sans-serif" w:hAnsi="Times New Roman;sans-serif"/>
          <w:b w:val="false"/>
          <w:color w:val="000000"/>
          <w:sz w:val="20"/>
        </w:rPr>
        <w:t xml:space="preserve">We value metrics and use them to influence strategy and measure results, but at our core we always focus on building an exceptional experience for families.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i/>
          <w:color w:val="000000"/>
          <w:sz w:val="20"/>
        </w:rPr>
        <w:t>High Intensity, High Impact.</w:t>
      </w:r>
      <w:r>
        <w:rPr>
          <w:color w:val="000000"/>
        </w:rPr>
        <w:t xml:space="preserve"> </w:t>
      </w:r>
      <w:r>
        <w:rPr>
          <w:rFonts w:ascii="Times New Roman;sans-serif" w:hAnsi="Times New Roman;sans-serif"/>
          <w:b w:val="false"/>
          <w:color w:val="000000"/>
          <w:sz w:val="20"/>
        </w:rPr>
        <w:t xml:space="preserve">We do whatever it takes to get the job done. We are in a fast moving and competitive environment and we have a team that is in it to win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approximately 383 full-time employees and approximately 125 contractors, all of whom have the flexibility to work remotely or out of our San Mateo, California and Vancouver, Canada offices. Life360 aims to provide a work environment in which all of our people can excel regardless of race, religion, age, disability, gender identity, sexual orientation or marital status. Our Diversity Policy reflects a strong commitment to diversity, and a recognition of the value of attracting people with different backgrounds, knowledge, experience and abilities. We believe that diversity contributes to our business success, and benefits all of our stakeholders. As of December 31, 2023, our company wide employees consisted of approximately 37% female, 62% male, and 1% non-binary. Our U.S. employees consisted of approximately 33% Asian, 3% Black/African-American, 8% Hispanic or Latino, 5% of two or more races, and 51% White. We are committed to implementing further initiatives to increase the diversity of our workforce.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view the quality of our products and services as our key long-term strategic differentiator, and as such, we are committed to providing continuous learning and development opportunities for our people. Employees are provided access to career ladders and are encouraged to create individual development plans to focus on growth to the next level in their role. Our standing Thursday “deep-dives” are where our people can learn from the expertise of their colleagues. We also provide full day and full week-long courses in “best practices” and broad and specialist business training to further promote personal and professional growth. In addition, our people have opportunities for cohort learning as well as personalized learning via the LinkedIn Learning Platform throughout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Environmental, Social and Corporate Governance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accomplish our core mission of simplifying safety for families through ESG initiatives based on four key areas: people, environment, community and governance.</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People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different ideas, perspectives and backgrounds create a stronger and more creative work environment that delivers better results. Together, we continue to build an inclusive culture that encourages, supports, and celebrates the diverse voices of our employees. This fuels our innovation and connects us closer to our customers and the communities we serve. We strive to create a workplace that reflects the communities we serve and where everyone feels empowered to bring their authentic best selves to work. Our workplace culture is supported by a range of policies adopted by our Board of Directors (our “Board”) that reflect our beliefs, including a Diversity Policy. </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Environment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that climate change will have an increasingly significant impact on all aspects of society. We are committed to quantifying the environmental footprint of our business operations by measuring the following emissions: direct greenhouse gas emissions that occur from sources that are controlled or owned by us (“Scope 1 Emissions”), indirect greenhouse gas emissions associated with the purchase of electricity, steam, heat or cooling (“Scope 2 Emissions”) and results of activities from assets not owned or controlled by us, but that indirectly impact our value chain (“Scope 3 Emissions”). By quantifying our impact, we will be able to implement an emission reduction plan that targets the greatest contributors to our carbon footprint.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achieved carbon neutrality across Scope 1, 2, and 3 Emissions for calendar years 2021 and 2020. We did not achieve carbon neutrality across Scope 1, 2, or 3 Emissions for the 2022 calendar year. We are in the process of finalizing the reporting of Scope 1, 2 and 3 Emissions for the 2023 calendar year. </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Community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aim to simplify safety so families can live fully. Our products and services deliver peace of mind and safety in the online and physical worlds. Additionally, we engage in community outreach by supporting and matching employee contributions to three non-profit organizations committed to supporting families: UNICEF USA, Best Friends Animal Society and St. Jude Children’s Research Hospital.</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Governance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robust governance frameworks and responsible business practices to ensure the financial sustainability of the Company for all stakeholders including shareholders, employees, customers and suppliers. We have established a disciplined process to identify, assess and analyze risk, and ensure appropriate risk monitoring and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ESG reports are available at https://investors.life360.com/investor-relations, which is provided for reference only and is not incorporated by reference into this Annual Report on Form 10-K. We expect our 2023 calendar year ESG report to be available on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substantial resources in research and development to enhance our customer offerings and competitiveness. 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Our research and development expenses were $101.0 million, $102.5 million and $51.0 million for the years ended December 31, 2023, 2022, and 2021, respectively. We intend to continue to significantly invest in research and development to bring new customer experiences and devices to market and expand our platform capabilities.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Manufacturing, Logistics and Fulfillment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the manufacturing of our Tile and Jiobit products to our contract manufacturer,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 and suppliers. In order to mitigate risks associated with a single supply source, and to ensure we can scale our manufacturing base as we continue to expand, we routinely evaluate new partners, manufacturers and suppliers.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Tile entered into a manufacturing agreement with Jabil on March 8, 2017, for an initial term of five years. Under our agreement with Jabil, Jabil manufactures our products using design specifications, quality assurance programs, and standards that we establish. We additionally grant Jabil a non-exclusive, royalty-free, non-transferable right and license to use certain Tile intellectual property as it relates to Jabil’s obligations under the agreement. We pay for and own the majority of tooling and other equipment specifically required to manufacture our products. We have purchase commitments based on our purchase orders and demand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are operating under an extension agreement to our initial agreement with Jabil, which expired in March 2022, and are in the process of negotiating a new agreement. Jabil has provided us with written confirmation of its intention to continue our relationship on the same terms as our original manufacturing agreement, and to enter into a new agreement with us on similar terms.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Intellectual Property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acquired patent assets to protect our proprietary technology.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we hold and maintain a global trademark portfolio. In the U.S., we own trademark registrations for our “Life360”, “Jiobit”, and “Tile” marks and logos. We also own applications and registrations for “Tile”, “Tile-formative” and other trademarks in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use on our website and in our vendor terms and conditions. For information regarding risks related to our intellectual property, please see “Item 1A. Risk Factors—Risks Related to Our Technology and Intellectual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subscriptions have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in large part due to seasonal holiday demand.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Facilities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leased real estate space under non-cancellable operating lease agreements in San Mateo, California and Chicago, Illinois. As of December 31, 2023, the Company had terminated the operating lease agreement in Chicago, Illinois. As of December 31, 2022, the Company relocated its corporate headquarters to San Mateo, California. Our office in San Mateo generally accommodates principal, development, engineering, marketing and administrative activities.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is subject to many U.S. federal and state and foreign laws and regulations that involve matters central to our business. These include laws and regulations that relate to data privacy,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 constantly evolving and being tested in courts and by regulators and may be interpreted, applied, created, or amended, in a manner that could harm our business. Additionally,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see the section entitled “Item 1A. Risk Factors—Risks Related to Legal Matters and Our Regulatory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Government Regulation of Data Privacy and Security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process personal or other sensitive data. This data may relate to our users, employees, partners, vendors, and others. This data may include contact details, payment card information, geolocation data, as well as information collected from and about children and minors.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Telephone Consumer Protection Act of 1991 (“TCPA”), the Children’s Online Privacy Protection Act of 1998 (“COPPA”), the Controlling the Assault of Non-Solicited Pornography And Marketing Act of 2003 (“CAN-SPAM”), the California Consumer Privacy Act of 2018 (“CCPA”), the European Union’s General Data Protection Regulation 2016/679 (“EU GDPR”), the EU GDPR as it forms part of United Kingdom (“UK”) law by virtue of section 3 of the European Union (Withdrawal) Act 2018 and the Data Protection Act 2018 (collectively the “UK GDPR”, with the EU GDPR and UK GDPR together referred to as the “GDPR”), EU Digital Services Act (“DSA”), the Age Appropriate Design Code enacted by the UK Information Commissioner’s Office, the Privacy and Electronic Communications Directive 2002/58/EC on Privacy and Electronic Communications (the “ePrivacy Directive”), and the Payment Card Industry Data Security Standard (“PCI DSS”).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CCPA and the GDPR are examples of the increasingly stringent and evolving regulatory frameworks related to personal data processing that may increase our compliance obligations and exposure for any noncompliance. Similar laws have been enacted or proposed in the past few years in other U.S. states (including in Colorado, Connecticut, Utah and Virginia) and other foreign jurisdictions.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is also focused on the regulation of digital services. The DSA came into force in 2022, with the majority of the substantive provisions taking effect in 2024. The DSA may increase our compliance costs, require changes to our user interfaces, processes, operations, and business practices which may adversely affect our ability to attract, retain and provide our services to users, and may otherwise adversely affect our business, operations and financial condition.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about the laws and regulations to which we are or may become subject and about the risks to our business associated with such laws and regulations, see the section entitled “Risk Factors—Risks Related to Privacy and Cybersecurity.” </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www.life360.com. We make available on our website, free of charge, our Annual Reports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The SEC maintains a website that contains reports, proxy and information statements and other information regarding our filings at www.sec.gov. The ASX maintains a website that contains documents required under Australian securities laws and other information regarding our filings at www.asx.com.au.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ASX filings and public webcasts. These items are available at investors.life360.com under “Financials and Filings”.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found on our website is not incorporated by reference into this Annual Report on Form 10-K or any other report we file with or furnish to the SEC. </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Jurisdiction of Incorporation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incorporated in the State of Delaware, United States of America, and is a registered foreign entity in Australia. As a foreign Company registered in Australia, the Company is subject to different reporting and regulatory regimes than Australian companies. As a foreign Company registered in Australia, the Company is not subject to Chapters 6, 6A, 6B and 6C of the Corporations Act 2001 (Cth) of Australia (“Corporations Act”) dealing with the acquisition of shares (including substantial shareholdings and takeovers). </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Delaware Law, Certificate of Incorporation and Bylaws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provisions of Delaware General Corporation Law (“DGCL”), shares are freely transferable and subject to restrictions imposed by the U.S. federal or state securities laws, by the Company’s certificate of incorporation, as amended (“Certificate of Incorporation”) or bylaws (“Bylaws”), or by an agreement signed with the holders of the shares at issuance. The Company’s Certificate of Incorporation and Bylaws do not impose any specific restrictions on transfer. However, provisions of the DGCL,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Board may consider inadequate and encourage persons seeking to acquire control of the Company to first negotiate with the Board.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benefits of increased protection of its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pStyle w:val="TextBody"/>
        <w:bidi w:val="0"/>
        <w:spacing w:before="240" w:after="283"/>
        <w:ind w:left="0" w:right="0" w:firstLine="450"/>
        <w:jc w:val="left"/>
        <w:rPr/>
      </w:pPr>
      <w:r>
        <w:rPr/>
      </w:r>
    </w:p>
    <w:p>
      <w:pPr>
        <w:pStyle w:val="TextBody"/>
        <w:bidi w:val="0"/>
        <w:spacing w:before="240" w:after="283"/>
        <w:ind w:left="0" w:right="0" w:firstLine="450"/>
        <w:jc w:val="left"/>
        <w:rPr/>
      </w:pPr>
      <w:r>
        <w:rPr/>
      </w:r>
    </w:p>
    <w:p>
      <w:pPr>
        <w:pStyle w:val="TextBody"/>
        <w:bidi w:val="0"/>
        <w:spacing w:before="240" w:after="283"/>
        <w:ind w:left="0" w:right="0" w:firstLine="450"/>
        <w:jc w:val="left"/>
        <w:rPr/>
      </w:pPr>
      <w:r>
        <w:rPr/>
      </w:r>
    </w:p>
    <w:p>
      <w:pPr>
        <w:pStyle w:val="TextBody"/>
        <w:bidi w:val="0"/>
        <w:spacing w:before="240" w:after="283"/>
        <w:ind w:left="0" w:right="0" w:firstLine="450"/>
        <w:jc w:val="left"/>
        <w:rPr/>
      </w:pPr>
      <w:r>
        <w:rPr/>
      </w:r>
    </w:p>
    <w:p>
      <w:pPr>
        <w:pStyle w:val="TextBody"/>
        <w:bidi w:val="0"/>
        <w:spacing w:before="240" w:after="283"/>
        <w:ind w:left="0" w:right="0" w:firstLine="450"/>
        <w:jc w:val="left"/>
        <w:rPr/>
      </w:pPr>
      <w:r>
        <w:rPr/>
      </w:r>
    </w:p>
    <w:p>
      <w:pPr>
        <w:pStyle w:val="TextBody"/>
        <w:bidi w:val="0"/>
        <w:spacing w:before="24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Chess Depository Interests (“CDIs”)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Life360’s CDIs are issued in reliance on the exemption from registration contained in Regulation S of the U.S. Securities Act of 1933 (the “Securities Act”) for offers of securities which are made outside the U.S. Accordingly, the CDIs, have not been, and will not be, registered under the Securities Act or the laws of any state or other jurisdiction in the U.S. As a result of relying on the exemption pursuant to Regulation S,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ASX to any person other than a U.S. person who is not a QIB. Hedging transactions with regard to the CDIs may only be conducted in accordance with the Securities Act.</w:t>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shd w:fill="FFFFFF" w:val="clear"/>
        </w:rPr>
        <w:t>Our business is subject to a high degree of risk. You should carefully consider the risks described below, as well as the other information in this Annual Report on Form 10-K, including our financial statements and the related notes and “</w:t>
      </w:r>
      <w:r>
        <w:rPr>
          <w:rFonts w:ascii="Times New Roman;sans-serif" w:hAnsi="Times New Roman;sans-serif"/>
          <w:b w:val="false"/>
          <w:color w:val="000000"/>
          <w:sz w:val="20"/>
        </w:rPr>
        <w:t>Management’s Discussion and Analysis of Financial Condition and Results of Operations.</w:t>
      </w:r>
      <w:r>
        <w:rPr>
          <w:color w:val="000000"/>
          <w:shd w:fill="FFFFFF" w:val="clear"/>
        </w:rPr>
        <w:t xml:space="preserve">” </w:t>
      </w:r>
      <w:r>
        <w:rPr>
          <w:rFonts w:ascii="Times New Roman;sans-serif" w:hAnsi="Times New Roman;sans-serif"/>
          <w:b w:val="false"/>
          <w:i/>
          <w:color w:val="000000"/>
          <w:sz w:val="20"/>
          <w:shd w:fill="FFFFFF" w:val="clear"/>
        </w:rPr>
        <w:t>The occurrence of any of the events or developments described below could harm our business, financial condition, results of operations and prospects. In such an event, the market price of our common stock could decline.</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business is subject to numerous risks and uncertainties. These risks and uncertainties may cause our operations to vary materially from those contemplated by our forward-looking statements. These risk factors include: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If we fail to monetize members through subscription plans, our business, financial condition and results of operations may be harmed.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in the past, and may in the future need to change our pricing models to compete successfully.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Inappropriate actions by certain of our members could be attributed to us and cause damage to our brands.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could be harmed if we are unable to accurately forecast demand for our products and services and to adequately manage our product inventory.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do not successfully coordinate the worldwide manufacturing and distribution of our products, we could lose sales, which could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key data partners, and any termination of our agreements with such partners could have a material adverse effect on our revenues,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future success depends on the continuing efforts of our executive officers and other key employees and our ability to attract and retain highly skilled personnel and senior management.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Investment in new business strategies and acquisitions could disrupt our ongoing business, present new risks and materially adversely affect our business, reputation, results of operations and financial condition.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limited operating history of our new brands, products and services makes it difficult to evaluate our current business and future prospects.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grown rapidly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231F20"/>
          <w:sz w:val="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pStyle w:val="TextBody"/>
        <w:bidi w:val="0"/>
        <w:spacing w:lineRule="auto" w:line="288" w:before="60" w:after="283"/>
        <w:ind w:left="0" w:right="0" w:hanging="360"/>
        <w:jc w:val="left"/>
        <w:rPr/>
      </w:pPr>
      <w:r>
        <w:rPr>
          <w:color w:val="231F20"/>
        </w:rPr>
        <w:t>•</w:t>
      </w:r>
      <w:r>
        <w:rPr>
          <w:rFonts w:ascii="Times New Roman;sans-serif" w:hAnsi="Times New Roman;sans-serif"/>
          <w:b w:val="false"/>
          <w:color w:val="000000"/>
          <w:sz w:val="20"/>
        </w:rPr>
        <w:t>Unstable market and economic conditions may adversely affect consumer discretionary spending and demand for our products and services.</w:t>
      </w:r>
    </w:p>
    <w:p>
      <w:pPr>
        <w:pStyle w:val="TextBody"/>
        <w:bidi w:val="0"/>
        <w:spacing w:lineRule="auto" w:line="288" w:before="60" w:after="283"/>
        <w:ind w:left="0" w:right="0" w:hanging="360"/>
        <w:jc w:val="left"/>
        <w:rPr/>
      </w:pPr>
      <w:r>
        <w:rPr>
          <w:color w:val="231F20"/>
        </w:rPr>
        <w:t>•</w:t>
      </w:r>
      <w:r>
        <w:rPr>
          <w:rFonts w:ascii="Times New Roman;sans-serif" w:hAnsi="Times New Roman;sans-serif"/>
          <w:b w:val="false"/>
          <w:color w:val="000000"/>
          <w:sz w:val="20"/>
        </w:rPr>
        <w:t>Our operating margins may decline as a result of increasing product costs and inflationary pressures.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actual or perceived failure to comply with laws and regulations concerning data privacy and security, consumer protection, advertising, location tracking, digital tracking technologies, and those related to children’s data could lead to regulatory investigations or actions; litigation; fines and penalties; changes to or disruption of our business operations; reputational harm; loss of revenue or profits; declines in user growth or engagement; and other material adverse business consequences.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our information technology systems or data, or those of third parties upon which we rely, are or were compromised, we could experience adverse consequences resulting from such compromise.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success depends, in part, on the integrity of our information technology systems, of third-party systems and infrastructures, on the continued and unimpeded access to our products and services on the internet, and on our ability to enhance, expand and adapt these systems and infrastructures in a timely and cost-effective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fail to adequately obtain, protect and maintain our intellectual property rights or prevent third parties from making unauthorized use of such rights.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market price of our CDIs has been, and common stock may be, volatile, which could cause the value of our common stock to decline.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identified a material weakness in our internal control over financial reporting in the past..If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members increasingly engage with other competitive products or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 behavior on any of our apps or with respect to any of our products or services changes, including decreases in the frequency of their use;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lose confidence in the quality or usefulness of our products or services or have concerns related to safety, security, privacy (for example, children’s data and precise geolocation data), well-being or other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or subscribers may not be willing to pay for subscriptions or hardware purchases;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feel that their experience is diminished as a result of the decisions we make with respect to the frequency, prominence, format, size and quality of ads that we display;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introduce new features, products or services that members find engaging, or if we introduce new products or services, or make changes to existing products and services that are not favorably received;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initiatives designed to attract and retain members and increase engagement are unsuccessful or discontinued, whether as a result of actions by us, third parties or otherwise;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third-party initiatives that may enable greater use of our products and services, including low-cost or discounted data plans, are discontinued;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and about children and minors and their devices, privacy, security, or advertising;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detect or combat inappropriate, fraudulent, criminal or abusive activity on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provide adequate customer service to members, marketers or other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protect our brands or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our partners or companies in our industry are or may become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and about children and minors and their devices;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there is decreased engagement with our products and services as a result of internet shutdowns or other actions by governments that affect the accessibility of our products and services in any of our markets;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there are changes mandated or necessitated by legislation, regulatory authorities or litigation that adversely affect our products, services, members or partners;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condition and results of operations are subject to foreign currency fluctuation risks.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monetize members through subscription plans, our business, financial condition and results of operations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operates under a “freemium” model in which the Life360 app is available to members at no charge, while Memberships with additional features are available via a paid monthly or annual subscription. 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one of our third-party platform providers (each a “Channel Partner”) introduced AirTag™, a tracker that uses ultra-wideband technology to allow members to track and find items through our Channel Partner’s Find My® app, an iOS location sharing app developed by our Channel Partner for iOS devices, to allow approved users to access the GPS location of the users’ devices.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and about children and minors and their devices. See “Item 1. Business - Competition” for additional information about our direct and indirect competitors.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Potential competitors may also include operators of mobile operating systems and app stores. These mobile platform competitors could use strong or dominant positions in one or more markets, and access to existing large pools of potential users and personal information regarding those users, to gain competitive advantages over us.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in the future need to change our pricing models to compete successfully.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price increases on our United States based premium offerings. If we continue to increase prices for our products and services, demand for our solutions could decline as members adopt less expensive competing products and services, and our market share could suffer. Our U.S. Life360 iOS and Android subscriptions price increases took effect in December 2022 and April 2023, respectively. The intense competition we face in the family safety, location-based services and item tracking technology markets, in addition to general economic and business conditions, including inflation and rising interest rates, can result in downward pressure on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we will not be able to grow our member base outside of the United States in a way that provides the scale required to offer the full functionality of the Life360 Service to a particular geography, or to a scale that will enable us to generate indirect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br/>
        <w:br/>
      </w:r>
      <w:r>
        <w:rPr>
          <w:rFonts w:ascii="Times New Roman;sans-serif" w:hAnsi="Times New Roman;sans-serif"/>
          <w:b/>
          <w:i/>
          <w:color w:val="000000"/>
          <w:sz w:val="20"/>
        </w:rPr>
        <w:t>Inappropriate actions by certain of our members could be attributed to us and cause damage to our brands.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members may be physically, financially, emotionally or otherwise harmed by other individuals through the use of one of our products or through features of our products. If one or more of our members suffers or alleges to have suffered any such harm as a result of the Life360 Service,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reputation of our brands may also be materially adversely affected by the actions of our members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Additionally, while our policies attempt to address illegal, offensive or inappropriate use of our products, we cannot control how our members engage on our products. These safeguards may not be sufficient to avoid harm to our reputation and brands, especially if such hostile, offensive or inappropriate use is well-publicized.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business could be harmed if we are unable to accurately forecast demand for our products and services and to adequately manage our product 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 inability to correctly forecast the success of a particular product or service could harm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however, we are not exclusively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products and services (including the Life360 app, Tile app and Jiobit app) through third-party publishers and distribution channels. Our mobile applications are almost exclusively accessed through our Channel Partners.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one of our Channel Partners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December 31, 2023 and 2022, Amazon.com accounted for less than 10% and approximately 13% of our total revenue, respectively. The Company had no retail distributors which made up greater than 10% of total revenue during the fiscal year ended December 31, 2021.</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rely on a limited number of suppliers, manufacturers, and fulfillment partners for our smart trackers. A loss of any of these partners could negatively affect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to manufacture and transport our smart trackers, including in some cases only a single supplier for some of our products and components. We outsource the manufacturing of our Tile and Jiobit devices to one contract manufacturer, using our design specifications. Jiobit also utilizes other contract manufacturers for additional accessory production. To ensure the quality of our products, we conduct routine product audits.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work with third-party fulfillment partners that package and deliver our products to multiple locations worldwide, which allows us to reduce order fulfillment time, reduce shipping costs, and improve inventory flexibility. Our reliance on a limited number of manufacturers and fulfillment partners for each of our smart trackers increases our risk since we do not currently have alternative or replacement manufacturers beyond these key parties. In the event of interruption from any of our manufacturers or fulfillment partners, we may not be able to increase capacity from other sources or develop alternate or secondary sources without incurring material additional costs and substantial delays. Furthermore, our primary manufacturer’s facilities are located in the PRC and Malaysia. Thus, our business could be adversely affected if one or more of our suppliers is impacted by a natural disaster, political, social or economic or political instability, bank failures, changing foreign regulations, labor unrest, pandemics, or any other interruption at a particular location.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fulfillment partners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pStyle w:val="TextBody"/>
        <w:bidi w:val="0"/>
        <w:spacing w:lineRule="auto" w:line="288" w:before="24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control over our suppliers, manufacturers, fulfillment partners and inflation in costs, which subjects us to risks, including,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inability to satisfy demand for our smart trackers;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control over delivery timing and product reliability;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ability to monitor the manufacturing process and components used in our smart trackers;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limited ability to develop comprehensive manufacturing specifications that take into account any materials shortages or substitutions;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variance in the manufacturing capability of our third-party manufacturers;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design and manufacturing defects;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price increases;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failure of a significant supplier, manufacturer, or fulfillment partner to perform its obligations to us for technical, market, or other reasons;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establishing additional supplier, manufacturer, or fulfillment partner relationships if we experience difficulties with our existing suppliers, manufacturers, or fulfillment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shortages of materials or components;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misappropriation of our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exposure to natural catastrophes, political unrest, terrorism, labor disputes, and economic instability resulting in the disruption of trade from foreign countries in which our smart trackers are manufactured or the components thereof are sourced;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local economic conditions in the jurisdictions where our suppliers, manufacturers, and fulfillment partners are located including as a result of global supply chain issues;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insufficient warranties and indemnities on components supplied to our manufacturers or performance by our partners.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European Union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especially during seasons of peak demand, could cause us to experience a significant disruption in our ability to produce and deliver our products and services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do not successfully coordinate the worldwide manufacturing and distribution of our products, we could lose sales, which could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products being manufactured in the PRC and Malaysia, we are reliant on third parties to get our products to distributors around the world. Transportation costs, fuel costs, labor unrest, political unrest, natural disasters, regional or global pandemics,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primary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primary manufacturer to operate and may increase its costs. If our primary manufacturer incurs increased costs, it may attempt to pass such costs on to us. Any such increased expenses or disruptions to the operations of our primary manufacturer could adversely impact our results of operations, as well as our ability to deliver our products to our members in a timely manner and to meet demand for our smart trackers.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primary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primary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disruption in our supply chain from our primary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international members represented over 40% of our total Monthly Active Users (“MAUs”) and accounted for approximately 12% of revenue. Offering our apps for download internationally and rolling out full-service memberships outside of the United States, particularly in countries in which we have limited experience, exposes us to a number of additional risks including,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operational and compliance challenges caused by distance, language, and cultural differences;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staffing and managing international operations and differing labor regulations for contractors and certain Tile employees working internationally;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differing levels of social and technological acceptance and adoption of our products and services or lack of acceptance of them generally and the risk that our products and services may not resonate as deeply in certain international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foreign currency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restrictions on the transfer of funds among countries and back to the United States, as well as costs associated with repatriating funds to the United States;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differing and potentially adverse tax laws and consequences;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compliance challenges due to different, overlapping and evolving requirements and processes set out in different laws and regulatory environments, particularly in the case of data privacy, data security, intermediary liability, and consumer protection;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competitive environments that favor local businesses or local knowledge of such environments;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 of international data hosting platforms and other third-party platforms;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low usage and/or penetration of internet connected consumer electronic devices;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political, legal, social or economic instability;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laws and legal systems less developed or less predictable than those in the United States;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trade sanctions, political unrest, terrorism, war, pandemics and epidemics or the threat of any of these events;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breaches or violation of any export and import laws, anti-bribery or anti-corruption laws, anti-money laundering rules or other rules or regulations applicable to our business, including but not limited to the Foreign Corrupt Practices Act of 1977, as amended.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or all of the risks described above could adversely affect our international operations, which could in turn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rely on key data partners, and any termination of our agreements with such data partners could have a material adverse effect on our revenues,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indirect revenue from key partners through the sale of data insights derived from the personal data we collect from our members. This revenue represented approximately 7%, 10% and 17% of our revenue for the years ended December 31, 2023, 2022, and 2021, respectively. Termination of agreements with key partners may adversely impact our future financial performance.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Life360 announced a new partnership agreement with a key data partner (“Data Partner”), a provider of anonymized aggregated analytics for the retail ecosystem. As part of this partnership, the Data Partner has provided data processing and analytics services to Life360 and has the right to commercialize aggregated data insights. This partnership marked the beginning of Life360’s exit from its legacy data sales model and transition to commercialize aggregated data, while still providing certain members the option to opt out of even aggregated data sales. There is a risk that demand for this aggregated data will decrease, which could adversely impact our ability to renew the agreement upon the expiration of the initial term. There is also a risk that the supply of aggregated data by other parties will increase which may adversely impact our ability to continue to generate revenue from the sale of aggregated data at the end of the current contract term. In addition, under limited circumstances where we may terminate the agreement before the end of the term, we could be liable for termination payments ranging from $5 million to $10 million. In addition, we have agreed to pay the Data Partner liquidated damages in the amount of $20 million if we fail to timely cure a breach of the exclusivity requirements under the agreement.</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future success depends on the continuing efforts of our executive officers and other key employees and our ability to attract and retain highly skilled personnel and senior management.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w:t>
      </w:r>
      <w:r>
        <w:rPr>
          <w:rFonts w:ascii="Times New Roman;sans-serif" w:hAnsi="Times New Roman;sans-serif"/>
          <w:b w:val="false"/>
          <w:color w:val="231F20"/>
          <w:sz w:val="20"/>
        </w:rPr>
        <w:t xml:space="preserve">Our employees, consultants, third-party providers, partners and competitors could engage in misconduct that materially adversely affects us.”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employees, consultants, third-party providers, partners and competitors could engage in misconduct that materially adversely affects us.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consultants, third-party providers, partners and competitors could engage in misconduct, including the misuse of data and intentional failures to comply with applicable laws and regulations (including those related to cybersecurity or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offer high-quality customer support, our customer satisfaction may suffer, and it may have a negative impact on our business and reputation.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cannot maintain our corporate culture as we grow, our business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Investment in new business strategies and acquisitions could disrupt our ongoing business, present risks not originally contemplated and materially adversely affect our business, reputation, results of operations and financial condition.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and in the future may invest, in new business strategies or acquisitions. Such endeavors may involve significant risks and uncertainties, including distraction of management from current operations, greater-than-expected liabilities and expenses, economic, political, legal and regulatory challenges associated with operating in new businesses, regions or countries, inadequate return on capital, potential impairment of tangible and intangible assets, and significant write-offs. Investment and acquisition transactions are exposed to additional risks, including failing to obtain required regulatory approvals on a timely basis or at all, or the imposition of onerous conditions that could delay or prevent us from completing a transaction or otherwise limit our ability to fully realize the anticipated benefits of a transaction. These new ventures are inherently risky and may not be successful. The failure of any significant investment could materially adversely affect our business, reputation,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acquisitions of Jiobit and Tile present numerous risks that may affect our ability to realize the anticipated strategic and financial goals from the acquisitions.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Risks we may face in connection with our acquisitions and integrations of Jiobit and Tile include,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realize the benefits we expect to receive from the transactions, including anticipated synergies;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have difficulties managing Jiobit’s or Tile’s technologies and lines of business or retaining key personnel from Jiobit or Tile;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financial condition and results of operations may be adversely impacted by (i) claims or liabilities related to Jiobit’s or Tile’s business including, among others, private party litigation (including class actions) and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manufacturing of Tile and Jiobit products is outsourced to a single manufacturer and if the contract is terminated or not renewed, we would be required to enter into a new agreement with another manufacturer that may not be available on reasonable terms, potentially resulting in new and unexpected operational complexities and costs;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fail to maintain existing agreements with Jiobit and Tile partners and alternative partnerships may not be available on reasonable terms, or at all;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experience difficulties managing hardware inventories, including tracking movements, supply chain, and associated costs of managing hardware inventories;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have a material adverse effect on our business, financial condition and results of operations. See “—Investment in new business strategies and acquisitions could disrupt our ongoing business, present risks not originally contemplated and materially adversely affect our business, reputation,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user metrics and other estimates are subject to inherent challenges in measurement, and real or perceived inaccuracies in those metrics may negatively affect our reputation and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metrics, including MAUs, Paying Circles (defined below), subscription fees paid by Paying Circles for Life360 Memberships, Average Revenue per Paying Circle (“ARPPC”), Tile subscriptions and Jiobit subscriptions to evaluate growth trends, measure our performance, and make strategic decisions.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and services are used across large populations globally.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litigation, and our business, financial condition and results of operations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had operating losses each year since our inception and we may not achieve or maintain profitability in the future.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limited operating history of our new brands, products and services makes it difficult to evaluate our current business and future prospects.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insurance coverage may be inadequate to cover future claims or losses.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restructuring and the associated headcount reduction may not result in anticipated savings, could result in total costs and expenses that are greater than expected and could disrupt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January 2023, we implemented a workforce restructure, including reductions in both headcount and expenses. Although we realized a decrease in personnel-related expenses and stock-based compensation costs for the year ended December 31, 2023 as a result of our restructuring efforts, we may not fully realize the anticipated benefits, savings and improvements in our cost structure due to unforeseen difficulties, delays or unexpected costs. If we are unable to realize expected operational efficiencies and the cost savings from the restructuring, our operating results and financial condition would be adversely affected. Due to our restructuring, we may not be able to effectively manage our operations or retain qualified personnel, which may result in weaknesses to our infrastructure and operations, increased risk that we may be unable to comply with legal and regulatory requirements, increased risks to our internal controls and disclosure controls, and loss of employees and reduced productivity among remaining employees.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restructuring may result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We may be required to rely more heavily on temporary or part-time employees, third party contractors and consultants to assist with managing our operations. These consultants are not our employees and may have commitments to, or consulting or advisory contracts with, other entities that may limit their availability to us. We will have only limited control over the activities of these consultants and can generally expect these individuals to devote only limited time to our activities. Failure of any of these persons to devote sufficient time and resources to our business could harm our business. Employee litigation related to the headcount reduction could be costly and prevent management from fully concentrating on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our management is unable to successfully manage this transition and restructuring activities, our expenses may be more than expected and we may be unable to implement our business strategy. As a result, our business, prospects, financial condition and results of operations could be negatively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Adverse developments affecting financial institutions, companies in the financial services industry, or the financial services industry generally, such as actual events or concerns involving liquidity, defaults or non-performance, could adversely affect our operations and liquidity. </w:t>
      </w:r>
    </w:p>
    <w:p>
      <w:pPr>
        <w:pStyle w:val="TextBody"/>
        <w:bidi w:val="0"/>
        <w:spacing w:lineRule="auto" w:line="288" w:before="120" w:after="283"/>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There is no guarantee that the U.S. Department of Treasury, Federal Deposit Insurance Corporation (“FDIC”) and Federal Reserve Board will provide access to uninsured funds in the future in the event of the closure of banks or financial institutions in a timely fashion or at all. For example, in March 2023, Silicon Valley Bank (“SVB”) was closed by the California Department of Financial Protection and Innovation, which appointed the FDIC as receiver. Although we did not experience any losses in our accounts with SVB, at the time we had cash and cash equivalents at SVB that exposed us to credit risk prior to the completion by the FDIC of the resolution of SVB in a manner that fully protected all depositors.</w:t>
      </w:r>
    </w:p>
    <w:p>
      <w:pPr>
        <w:pStyle w:val="TextBody"/>
        <w:bidi w:val="0"/>
        <w:spacing w:lineRule="auto" w:line="288" w:before="240" w:after="283"/>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the failure of other banks and financial institutions and the measures taken by governments, businesses and other organizations in response to these events could adversely impact our business, financial condition and results of operations.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Unstable market and economic conditions may adversely affect consumer discretionary spending and demand for our products and services.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Global credit and financial markets have recently experienced extreme volatility and disruptions, including declines in consumer confidence, concerns about declines in economic growth, bank failures, the ongoing elevated rate of inflation, increases in borrowing rates, the availability and cost of consumer credit and credit availability, and uncertainty about economic stability, and ongoing geopolitical conflict. Our general business strategy may be adversely affected by any economic downturn, volatile business environment or continued unpredictable and unstable market conditions.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affected by 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members may not engage with the lead generation offering or other advertisements at the scale necessary for potential advertising partners to spend any of their advertising budget on the offering. There is a risk that advertisers will not utilize the lead generation offering. A failure to grow the lead generation offering or other advertisements may have a material adverse impact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operating margins may decline as a result of increasing product costs and inflationary pressures.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require additional capital to support business growth and objectives, and this capital might not be available to us on reasonable terms, if at all, and may result in stockholder dilution.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In addition, we may not be able to access a portion of our existing cash, cash equivalents and investments due to market conditions. For example, on March 10, 2023 and March 12,2023, the FDIC took control and was appointed receiver of SVB and Signature Bank, respectively.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adversely impact our ability to meet our operating expenses, result in breaches of our contractual obligations or result in significant disruptions to our business, any of which could have a material adverse effect on our business and financial condition.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accounting method for our outstanding convertible notes, embedded derivatives and other similar financial instruments could have a material effect on our reported financial results.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outstanding convertible notes, Embedded Derivatives (defined below) and other similar financial instruments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 In addition, we may be required to make cash payments upon the termination of any of these derivative contracts.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prove to be incorrect, our results of operations could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Annual Report on Form 10-K. We base our estimates on short duration historical experience and on various other assumptions that we believe to be reasonable under the circumstances, as provided in the section titled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required to delay recognition of some of our revenue, which may harm our financial results in any given period.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condition and results of operations are subject to foreign currency fluctuation risks.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Privacy and Cybersecurity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user growth or engagement; and other material adverse business consequences.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 including California, Colorado, Connecticut, Utah and Virginia — have enacted comprehensive privacy laws that impose certain obligations on covered businesses.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 For example, the California Consumer Privacy Act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Other states, such as Virginia and Colorado, have also enacted comprehensive consumer privacy laws, and similar laws are being considered in several other states, as well as at the federal and local levels. These state laws (including the CCPA) may provide individuals with rights to their personal data, such as the right to access, correct, or delete certain personal data, and opt-out of certain data processing activities, such as targeted advertising, profiling, and automated decision-making. If individuals were to exercise these rights at a significant volume or pace, such actions may impact our business and ability to provide our products and services. These developments may further complicate compliance efforts and may increase legal risk and compliance costs for us and the third parties upon whom we rely.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privacy and consumer protection laws also govern specific technologies that we employ or how we market to, and otherwise communicate with, our members. For example, the Controlling the Assault of Non-Solicited Pornography and Marketing Act (CAN-SPAM) and the Telephone Consumer Protection Act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(the “FCC”)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that may subject us to applicable biometric privacy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$51,744 per violation as well as injunctive and equitable relief for violations. COPPA requirements may be modified, interpreted, or applied in new manners that we may be unable to anticipate or prepare for appropriately. Additional laws and regulations that apply to children’s data under certain circumstances have been adopted or proposed in recent years, including the EU GDPR and the UK GDPR, the DSA,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may govern personal data privacy and security. Without limitation, the following personal data laws may apply to our operations such as EU GDPR, the UK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all impose strict requirements for processing personal data. For example, local data protection authorities in both the EEA and UK may take an enforcement action against us with respect to a violation of their applicable requirements. Under the EU GDPR, companies may face temporary or definitive bans on data processing and other corrective actions; fines of up to 20 million Euros under the EU GDPR and 17.5 million pounds sterling under the UK GDPR, or 4% of annual global revenue, whichever is greater, and private litigation related to processing of personal data brought by classes of data subjects or consumer protection organizations authorized at law to represent their interests.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be unable to transfer personal data from Europe, the UK, and other jurisdictions to the United States or other countries due to data localization requirements or limitations on cross-border data flows. Europe, the UK,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in all circumstances to transfer personal data to the United States, as they alone may not necessarily be sufficient as transfers must be assessed on a case-by-case basis and the requirements may change if they are challenged.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personnel currently use generative artificial intelligence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Our use of this technology could result in additional compliance costs, regulatory investigations and actions, and consumer lawsuits. 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users, which could materially impair the results of our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European Union and UK privacy laws on cookies, tracking technologies and e-marketing. In the European Union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European Union, EU Member State and UK privacy laws on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ranging from $5,000 to $100,000 per month by credit card companies,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the GDPR prohibits certain processing of the personal information of children under the age of thirteen to sixteen (depending on jurisdiction) without parental consent.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For example, the UK’s Age Appropriate Design Code requires online services to consider the privacy and data protection impacts of children’s use of such services and to build in protections and controls to address such risks.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take certain efforts designed to comply with these laws and regulations, we may in the future face claims under COPPA, the GDPR, the CCPA or other laws relating to children’s privacy. There are also a number of legislative or regulatory proposals pending before the U.S. Congress, the FTC, various state legislative bodies and foreign governments concerning child or teen safety, content regulation and data protection that could affect us if enacted in the future.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the third parties upon which we rely may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sans-serif" w:hAnsi="Times New Roman;sans-serif"/>
          <w:b w:val="false"/>
          <w:color w:val="231F20"/>
          <w:sz w:val="20"/>
        </w:rPr>
        <w:t>Additionally, to offer 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presently have identified certain vulnerabilities in our information systems, we take steps designed to mitigate the risks associated with such known vulnerabilities. These steps include implementing compensating controls and other protective measures designed to address certain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in 2023, we experienced two credential stuffing attacks that resulted in unauthorized access to a limited number of members’ personal data. In response to each attack, we launched an investigation to determine what occurred, what information was potentially affected and how we could implement further actions designed to prevent similar incidents in the future (such as allowing users to enable multi-factor authentication). Our investigation revealed that the credential stuffing attacks likely leveraged user credentials from other data breaches (not associated with us). We determined that neither of these incidents were material to the Company.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and Intellectual Property</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Our success depends, in part, on the integrity of third-party systems and infrastructures and on continued and unimpeded access to our products and services on the internet.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our Channel Partners.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Similarly, under our warranty program agreement with Cover Genius Warranty Services, LLC (“Cover Genius”), Cover Genius administers warranties and service contracts on behalf of Tile. If the Cover Genius contract were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success depends, in part, on the integrity of our information technology systems and infrastructures and on our ability to enhance, expand and adapt these systems and infrastructures in a timely and cost-effective manner.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protect and maintain our intellectual property rights or prevent third parties from making unauthorized use of such rights.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were to be disclosed or misappropriated, or if any such information were independently developed by a competitor, our competitive position would be materially adversely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use of “open source” software could subject our proprietary software to general release, adversely affect our ability to sell our products and services and subject us to possible litigation.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Our Regulatory Environment</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FCC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is also focused on the regulation of digital services. The DSA came into force in 2022, with the majority of the substantive provisions taking effect in 2024. The DSA may increase our compliance costs, require changes to our user interfaces, processes, operations, and business practices which may adversely affect our ability to attract, retain and provide our services to users, and may otherwise adversely affect our business, operations and financial condition.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comply with laws regulating subscriptions and auto-payment renewals, which could have a material adverse effect on our business, reputation,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federal and state laws that govern the ability of users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Adverse litigation judgments or settlements resulting from legal proceedings in which we may be involved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our net operating losses to offset future taxable income may be subject to certain limitations.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2023, we have approximately $197.5 million and $81.0 million of federal and state net operating loss carryforwards, respectively, available to offset future taxable income which, if not utilized, will begin to expire in varying amounts in 2027.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taxation related risks in multiple jurisdictions.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the Company. These changes could increase our total tax burden in the future. Moreover, the U.S. government may enact significant changes to the taxation of business entities including, among others, the imposition of minimum taxes or surtaxes on certain types of income (such as the recent United States Inflation Reduction Act which, among other changes, introduced a 15% corporate minimum tax on certain United States corporations and a 1% excise tax on certain stock redemptions by the United States corporations). Furthermore, if the U.S. or other foreign tax authorities change applicable tax laws or practices, our overall taxes could increase, and our business, financial condition and results of operations may be adversely impacted.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Actions by governments to restrict access to Life360 in their countries, or that otherwise impair our ability to sell advertising in their countries, could substantially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may seek to censor content available on the Life360 Service,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the Life360 Service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additional tariffs on Chinese-origin goods are imposed, related countermeasures are taken by the PRC, or we experience supply chain transformation setbacks, it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economic sanction laws that could subject us to liability and impair our ability to compete in international markets.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CDIs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market price of our CDIs has been, and common stock may be, volatile, which could cause the value of our common stock to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CDIs on the ASX has been volatile, and even if a trading market for our common stock develops, the market price of our common stock may be highly volatile and could be subject to wide fluctuations. In addition, the trading volume in our CDIs and common stock if a market develops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if a market develops, regardless of our actual operating performance,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public reaction to our press releases, announcements and filings with the SEC and ASX;</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operating and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fluctuations in market prices and trading volumes of technology;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market valuations of similar companies;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commencement of or involvement in litigation;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economic and political conditions, financial markets, and/or the technology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interest rate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actions by our stockholders;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failure of securities analysts to cover our common stock and/or changes in their recommendations and estimates of 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future sales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trading prices and trading volumes of our CDIs on the ASX;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other factors described in these “Risk Factors”.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securities may in the future trade on more than one stock exchange and this may result in price variations between the markets and volatility in our stock price. Our CDIs are currently listed on the ASX and we may list our common stock on a U.S. securities exchange in the future. Trading in our common stock and CDIs therefore may take place in different currencies (U.S. dollars on the U.S. securities exchange and Australian dollars on the ASX),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a U.S. securities exchange. Such arbitrage activities could cause our stock price in the market with the higher value to decrease to the price set by the market with the lower value and could also lead to significant volatility in the price of our common stock or CDIs.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securities and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would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Our common stock may never be listed on a major U.S. stock exchange.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not currently traded on any U.S. securities exchange. No market may ever develop for our common stock, or if developed, may not be sustained in the future. The holders of our shares of common stock and persons who desire to purchase them in any trading market that might develop in the future should be aware that there might be significant state law restrictions upon the ability of investors to resell our shares. Accordingly, even if we are successful in having the shares available for trading on the over-the-counter markets, investors should consider any secondary market for our common shares to be a limited one.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are not able to maintain sufficient cash funds, we may cease trading on the ASX.</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different characteristics of the capital markets in Australia and the United States may negatively affect the trading prices of our CDIs and common stock, and may limit our ability to take certain actions typically performed by a U.S. company.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ASX listing and associated Australian regulatory requirements, and may in the future determine to concurrently list our shares on a U.S. securities exchange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the United States generally or to the same extent, or vice versa.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listing and regulatory requirements of the ASX may limit our ability to take certain actions typically performed by a U.S. company. For example, the ASX Listing Rules limit the amount of equity securities that a listed company can issue without the approval of its stockholders over any 12 month period to 15% of the outstanding share capital on issue at the start of the period, unless an exception applies. Failure to obtain this approval may make it more difficult for us to issue equity securities in the future at a time and at a price that we deem appropriate. ASX rules also require stockholder approval for the granting of options and restricted stock units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which may include the need to obtain stockholder approval to do so.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 common stock, the ASX Listing Rules may limit our ability to issue equity securities, either as a counter-measure to the takeover bid or to fund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Provisions of our charter documents and Delaware law may inhibit a takeover, which could limit the price investors might be willing to pay in the future for our common stock.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We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commencing with this Annual Report on Form 10-K for the year ended December 31, 2023.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w:t>
      </w:r>
      <w:r>
        <w:rPr>
          <w:color w:val="000000"/>
          <w:shd w:fill="FFFFFF" w:val="clear"/>
        </w:rPr>
        <w:t xml:space="preserve"> </w:t>
      </w:r>
      <w:r>
        <w:rPr>
          <w:rFonts w:ascii="Times New Roman;sans-serif" w:hAnsi="Times New Roman;sans-serif"/>
          <w:b w:val="false"/>
          <w:color w:val="000000"/>
          <w:sz w:val="20"/>
          <w:shd w:fill="FFFFFF" w:val="clear"/>
        </w:rPr>
        <w:t xml:space="preserve">However, there can be no assurance that remedial measures will continue to operate or that they will prevent other control deficiencies or material weaknesses, and we may identify additional material weaknesses in our internal control over financial reporting in the future. If we identify additional material weaknesses in our internal control over financial reporting in the future, </w:t>
      </w:r>
      <w:r>
        <w:rPr>
          <w:rFonts w:ascii="Times New Roman;sans-serif" w:hAnsi="Times New Roman;sans-serif"/>
          <w:b w:val="false"/>
          <w:color w:val="000000"/>
          <w:sz w:val="20"/>
        </w:rPr>
        <w:t>there could be errors in our annual or interim consolidated financial statements that could result in a restatement of our financial statements or could cause us to fail to meet our reporting obligations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As a further result, our access to capital markets and perceptions of our creditworthiness could be adversely affected, any of which could diminish investor confidence in us and cause a decline in the price of our common stock and CDIs.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The forum selection clause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The exclusive forum provision does not apply to any actions brought to enforce a duty or liability created by the Securities Act, as amended, the Exchange Act or any other claim for which the U.S. federal courts have exclusive jurisdiction.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U.S. reporting company, we incur significant legal, accounting, reporting, and other expenses that we have not previously incurred, including costs associated with the SEC reporting company requirements. We also have incurred, and will continue to incur, costs associated with compliance with the rules and regulations of the SEC, the Sarbanes-Oxley Act, and the Dodd-Frank Wall Street Reform and Consumer Protection Act, and various other costs of a reporting company. Registration under the Exchange Act requires the filing of ongoing annual, quarterly, and current reports on Forms 10-K, 10-Q and 8-K, respectively.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SEC reports are in addition to the periodic filings required by the ASX Listing Rules. In 2022, the ASX granted us a waiver of certain ASX Listing Rules to permit us to file our annual, quarterly, and current reports on Forms 10-K, 10-Q and 8-K, respectively, in place of ASX annual, half-year and quarterly filings. In the absence of the waiver, we would be required to make annual, half-year and quarterly filings with the ASX in addition to the SEC periodic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must also ensure continued compliance with the Delaware law and, as we will be listed on the ASX and registered as a foreign company in Australia, we will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or other exchange on which our securities may be traded.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delay recognition of some of our revenue, which may harm our financial results in any given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delay recognition of revenue for a significant period of time after entering into a future agreement due to a variety of factors, including but not limited to, whether: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transaction involves acceptance criteria or other terms that may delay revenue recognition; or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transaction involves performance milestones or payment terms that depend upon contingencies; 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customer requires significant modifications, configurations or complex interfaces that could delay delivery or acceptance of our products or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factors and other specific revenue recognition requirements under GAAP, we must have very precise terms in our contracts to recognize revenue when we initially provide access to our platform or other products.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licensing arrangements that could reduce the amount of revenue we recognize upon delivery of our other products and could adversely affect our short-term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Severe weather, natural disasters, global pandemics, acts of war or terrorism, theft, civil unrest, government expropriation or other external events could have significant effects on our business.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Severe weather and natural disasters, including hurricanes, tornados, earthquakes, fires, droughts and floods, acts of war or terrorism (such as the recent escalation in regional conflicts exemplified by Russia’s invasion of Ukraine), epidemics and global pandemics (such as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layered approach to cybersecurity leveraging multiple levels of controls designed to mitigate and minimize cybersecurity risks and protect the confidentiality, integrity, and availability of our critical systems and information. We have established and implemented policies and processes designed to assess, identify, and manage risks from cyber security threats, including product and SaaS security, and have integrated these into our operating model and enterprise risk management processes. We monitor for, and assess, material risks from cyber security threats such as unauthorized occurrences or events on or conducted through our information systems that may result in adverse effects to the confidentiality, integrity, or availability of our information systems or information, including personal information, proprietary information and intellectual property.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Identification and Assessment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identify and assess risk, we maintain a cybersecurity risk register which is reviewed regularly and updated as appropriate. These risk assessments include identification of reasonably foreseeable internal and external risks, the likelihood and potential damages that could result from such risks (to the extent known), and the potential sufficiency of existing mitigating policies, procedures, systems, and safeguards. Risk is scored based on the potential impact to the business (inherent risk) and re-scored based on mitigations in place (residual risk). Following this assessment, we determine opportunities for further mitigating identified risks.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Mitigation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implement and maintain various technical, physical, and organizational measures, processes, standards and policies designed to manage and mitigate material risks from cybersecurity threats, including product and SaaS security. These measures vary depending on the environment and threat. For example, we monitor our information systems, networks, and devices for potential threats, utilizing multiple mechanisms. We maintain Network Security Operations (NSO) and Site Reliability Engineering (SRE) teams to respond to potential threats or anomalies. We update vendor-provided tools (e.g. data management systems, financial reporting systems and infrastructure systems) in an effort to address identified vulnerabilities or threat vectors arising through vendor-provided products and services. We have adopted policies and standards aimed at implementing product security, including: conducting third-party penetration testing of our SaaS solutions; developing code based on a Security Software Development Lifecycle (SSDLC) process; and using automated tools for static code analysis and open-source scanning.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material systems are governed by our change management processes. Certain systems are scanned for static and dynamic vulnerabilities. Automatic and manual penetration tests of certain environments are performed frequently and often through third-party testing groups.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processes in place designed to control access to material systems and such processes are reviewed and updated as appropriate. We utilize certain controls such as two-factor authentication, intelligent anomaly detection and centralized identity and access management tools, designed to mitigate the risk of inappropriate access to internal user accounts.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to assist us from time to time to identify, assess, and manage material risks from cybersecurity threats, including for example dynamic vulnerability testing, third party library vulnerability scanning, end-point management, enterprise monitoring tool, Attack Surface Management, web application firewall (WAF)/distributed denial-of-service (DDoS)/constant delivery network (CDN)/domain name server (DNS) protection, and backups and recovery. We also utilize service providers to assist with cybersecurity risk assessments.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Vendor Management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providing our products and services, we make extensive use of third-party vendors and applications. We onboard material vendors through a vendor review process, which includes a security assessment and a determination of what is required (for example, policies, procedures, technical controls, or physical controls) in an effort to securely configure any interaction with them. Vendors providing certain services may be subject to greater scrutiny, including reviews of any relevant certifications and/or independent testing of their products or systems. Certain vendors are reviewed annually in an effort to assess continued compliance with their obligations to us, and as relevant, the risk that they pose to our cybersecurity posture. Such reviews typically depend on the nature of the data and/or systems that these vendors may have access to or with which they otherwise interact.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“Risk Factors—Risks Related to Privacy and Cybersecurity.”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Responsibilities of the Board of Directors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provides oversight of our risk management process, including risks from cybersecurity threats. Our Board is responsible for monitoring and assessing strategic risk exposure and the mitigation and remediation of cybersecurity incidents, and our executive officers (including our CEO, CFO, and COO) are responsible for the day-to-day management of the material risks we face, including cybersecurity risks. Our Board administers its cybersecurity risk oversight function as a whole, as well as through the Audit and Risk Committee (“ARC”). Our corporate security team informs the Board and ARC of certain cybersecurity risks and threats during quarterly meetings and provide materials shared in connection with such meetings, as well as ad hoc updates when there are material developments or changes that may impact cybersecurity risk to the company. Refer to “Item 10. Directors, Executive Officers and Corporate Governance” section of this Annual Report for additional information regarding the ARC and other committees of the Board as well as the ARC charter.</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Responsibilities of Management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security team consists of the Manager of Security Engineering, a Senior Security Engineer, a Senior SRE and a Security Engineering Contractor. The corporate security team is primarily responsible for assessing and managing material risks from cyber security threats, defining and overseeing our corporate security program, reviewing technical designs and vendors for security risks, and managing our security tools and infrastructure. Our corporate security team supervises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information technology systems environment, including those described in “Risk Management and Strategy.” The corporate security team reports to the Senior Manager of Information Technology, who reports to the Senior Director of Engineering Operations which maintains responsibility for our cyber security program.</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security team has a combined professional experience of several decades in cybersecurity and related fields, including software and hardware engineering, information technology systems, devops, and security program management. They hold a range of certifications in security and technology, such as in LCSPC, ISO/IEC 27001:2013, OSCP, SANS SEC, CSSLP and AWS. Several team members participate in groups that focus on information security such as OWASP, Open Security Summit and other professional organizations and projects.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Manager of Security Engineering provides frequent briefings to management regarding the Company’s cyber security risks and risk-mitigation efforts, which may include recent incidents and related responses, newly identified risks, changes to the security program, and activities of third parties and vendors, as appropriate. Management provides cybersecurity updates to executive management and the Board through meetings and materials shared in connection with those meetings, as well as ad hoc updates when there are material developments or changes.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Incident Response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incident response procedures are designed to escalate certain cyber security incidents to our executive officers and the Board as appropriate. Upon initial discovery of a potential incident, a member of the corporate security team leads the initial potential incident response efforts. Potential incidents are scored based on impact (including potential impact), and if certain criteria are met, the technical response team is broadened to include a representative from the Company’s legal team and other relevant stakeholders (such as executive management) as appropriate. Our incident response team or its designee, provides relevant updates to the Chief Executive Officer or other Company senior management and the Board,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we moved our corporate headquarters from San Francisco, California to San Mateo, California, where we lease approximately 7,390 square feet of space under a lease that expires on November 30, 2026. Our corporate headquarters currently accommodates our principal, development, engineering, marketing and administrative activities.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The information set forth under Note 11 </w:t>
      </w:r>
      <w:r>
        <w:rPr>
          <w:color w:val="000000"/>
        </w:rPr>
        <w:t>“</w:t>
      </w:r>
      <w:r>
        <w:rPr>
          <w:rFonts w:ascii="Times New Roman;sans-serif" w:hAnsi="Times New Roman;sans-serif"/>
          <w:b w:val="false"/>
          <w:color w:val="000000"/>
          <w:sz w:val="20"/>
        </w:rPr>
        <w:t>Commitments and Contingencies” in the notes to the consolidated financial statements under the caption “Litigation”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began trading on the Australian Securities Exchange under the symbol “360” on May 10, 2019. Prior to that time, there was no public market for our common stock.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22, 2024, there were approximately 591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w:t>
      </w:r>
      <w:r>
        <w:rPr>
          <w:color w:val="000000"/>
        </w:rPr>
        <w:t xml:space="preserve"> </w:t>
      </w:r>
      <w:r>
        <w:rPr>
          <w:rFonts w:ascii="Times New Roman;sans-serif" w:hAnsi="Times New Roman;sans-serif"/>
          <w:b w:val="false"/>
          <w:color w:val="000000"/>
          <w:sz w:val="20"/>
          <w:shd w:fill="FFFFFF" w:val="clear"/>
        </w:rPr>
        <w:t>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shows a comparison of the change in the cumulative total return for our common stock, the S&amp;P 500 Index, and the ASX 200 Index between June 30, 2019, the first quarter end after our common stock commenced trading on the Australian Securities Exchange on May 10, 2019, and December 31, 2023. All values assume an initial investment of $100 and reinvestment of any dividends. The comparisons are based on historical data and are not indicative of, nor intended to forecast, the future performance of our common stock.</w:t>
      </w:r>
    </w:p>
    <w:p>
      <w:pPr>
        <w:pStyle w:val="TextBody"/>
        <w:bidi w:val="0"/>
        <w:spacing w:lineRule="auto" w:line="288" w:before="120" w:after="283"/>
        <w:ind w:left="0" w:right="0" w:firstLine="450"/>
        <w:jc w:val="both"/>
        <w:rPr/>
      </w:pPr>
      <w:r>
        <w:rPr>
          <w:color w:val="000000"/>
        </w:rPr>
        <w:t>    </w:t>
      </w:r>
      <w:r>
        <w:rPr/>
        <w:drawing>
          <wp:inline distT="0" distB="0" distL="0" distR="0">
            <wp:extent cx="6000750" cy="3324225"/>
            <wp:effectExtent l="0" t="0" r="0" b="0"/>
            <wp:docPr id="6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 descr=""/>
                    <pic:cNvPicPr>
                      <a:picLocks noChangeAspect="1" noChangeArrowheads="1"/>
                    </pic:cNvPicPr>
                  </pic:nvPicPr>
                  <pic:blipFill>
                    <a:blip r:embed="rId2"/>
                    <a:stretch>
                      <a:fillRect/>
                    </a:stretch>
                  </pic:blipFill>
                  <pic:spPr bwMode="auto">
                    <a:xfrm>
                      <a:off x="0" y="0"/>
                      <a:ext cx="6000750" cy="3324225"/>
                    </a:xfrm>
                    <a:prstGeom prst="rect">
                      <a:avLst/>
                    </a:prstGeom>
                  </pic:spPr>
                </pic:pic>
              </a:graphicData>
            </a:graphic>
          </wp:inline>
        </w:drawing>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presented within the graph above is presented in USD. The USD value of our common stock is equivalent to the CDI value (the AUD value of our common stock traded on the Australian Securities Exchange) multiplied by 3 (CDI conversion ratio) and then multiplied by the applicable foreign currency exchange rate between the USD and the AUD for the applicable period.</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6. [Reserved]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financial condition and results of operations (MD&amp;A) should be read in conjunction with our consolidated financial statements, related notes and other financial information appearing elsewhere in this Annual Report on Form 10-K. In addition to historical consolidated financial information, the following discussion contains forward-looking statements that involve risks and uncertainties. Our actual results could differ materially from those discussed in the forward-looking statements as a result of a variety of factors, including but not limited to those discussed in “Risk Factors” and “Forward-Looking Statements” in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our financial condition and results of operations for the year ended December 31, 2023 compared to the year ended December 31, 2022 is presented below. A discussion of our financial condition and results of operations for the year ended December 31, 2022 compared to the year ended December 31, 2021 is included under “Management’s Discussion and Analysis of Financial Condition and Results of Operations” within our Form 10-K filed with the SEC on March 23,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is a leading technology platform used to locate the people, pets and things that matter most to families. Life360 is creating a new category at the intersection of family, technology, and safety to help keep families connected and safe. The Company’s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 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Life360 generated: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Total revenues of $304.5 million and $228.3 million, respectively, representing year-over-year growth of 33%;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Subscription revenues of $220.8 million and $153.3 million, respectively, representing year-over-year growth of 44%;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Hardware revenues of $58.2 million and $47.9 million, respectively, representing year-over-year growth of 21%;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Other revenues of $25.5 million and $27.1 million, respectively, representing year-over-year decline of 6%;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Gross profit of $222.6 million and $148.6 million, respectively, representing year-over-year growth of 50%;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Net loss of $28.2 million and $91.6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focus on growing our customers and revenue, and achieving profitability while investing for the future and managing risk, expenses and capital, the following factors and others identified in the section of this Annual Report on Form 10-K titled “Item 1A. Risk Factors” have been important to our business and we expect them to impact our operations in future periods: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Ability to Retain Trusted Brand</w:t>
      </w:r>
      <w:r>
        <w:rPr>
          <w:rFonts w:ascii="Times New Roman;sans-serif" w:hAnsi="Times New Roman;sans-serif"/>
          <w:b w:val="false"/>
          <w:color w:val="000000"/>
          <w:sz w:val="20"/>
        </w:rPr>
        <w:t xml:space="preserve">. We strongly believe in our vision to become the indispensable safety membership for families, with a suite of safety services that span every life stage of the family. Our business model and future success are dependent on the value and reputation of the Life360, Jiobit and Tile brands. Our brand is trusted by approximately 61 million members as of December 31, 2023, and because we know the value of trust is immeasurable, we will continue to work tirelessly to ensure that we provide useful, reliable, trustworthy and innovative products and services.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Attract, Retain and Convert Members</w:t>
      </w:r>
      <w:r>
        <w:rPr>
          <w:rFonts w:ascii="Times New Roman;sans-serif" w:hAnsi="Times New Roman;sans-serif"/>
          <w:b w:val="false"/>
          <w:color w:val="000000"/>
          <w:sz w:val="20"/>
        </w:rPr>
        <w:t xml:space="preserve">. Our business model is based on attracting new members to our platform, converting free members to subscribers, and retaining and expanding subscriptions over time. Our continued success depends in part on our ability to offer compelling new products and features to our members, and to continue providing a quality user experience to convert and retain paying subscribers. We will also seek to increase brand awareness and customer adoption of our platform through various programs and digital and broad-scale advertising.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Maintaining Efficient Member Acquisition</w:t>
      </w:r>
      <w:r>
        <w:rPr>
          <w:rFonts w:ascii="Times New Roman;sans-serif" w:hAnsi="Times New Roman;sans-serif"/>
          <w:b w:val="false"/>
          <w:color w:val="000000"/>
          <w:sz w:val="20"/>
        </w:rPr>
        <w:t xml:space="preserve">. Our investment in developing effective services and devices creates an efficient member acquisition model which drives strong unit economics. Our member acquisition model is complemented by our word-of-mouth and freemium models.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Ability to Attract New and Repeat Purchasers of Our Hardware Tracking Devices.</w:t>
      </w:r>
      <w:r>
        <w:rPr>
          <w:color w:val="000000"/>
        </w:rPr>
        <w:t xml:space="preserve"> </w:t>
      </w:r>
      <w:r>
        <w:rPr>
          <w:rFonts w:ascii="Times New Roman;sans-serif" w:hAnsi="Times New Roman;sans-serif"/>
          <w:b w:val="false"/>
          <w:color w:val="000000"/>
          <w:sz w:val="20"/>
        </w:rPr>
        <w:t xml:space="preserve">Attracting new and repeat purchasers depends on our ability to design and release compelling smart trackers and market them effectively. Additionally we face increasing competition from better funded global companies. We pioneered the finding category and we continue to invest in the development of hardware products assessing new and existing technologies with a priority on providing a great member finding experience.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Growth in Average Revenue Per Paying Circle</w:t>
      </w:r>
      <w:r>
        <w:rPr>
          <w:rFonts w:ascii="Times New Roman;sans-serif" w:hAnsi="Times New Roman;sans-serif"/>
          <w:b w:val="false"/>
          <w:color w:val="000000"/>
          <w:sz w:val="20"/>
        </w:rPr>
        <w:t xml:space="preserve">. Our business model is dependent upon our ability to grow and maintain a large member base, including growing the number of Paying Circles. We have a sophisticated understanding of our members, and as a result, the services we provide are core to families and hard to switch.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Expanding the Offerings on Our Platform</w:t>
      </w:r>
      <w:r>
        <w:rPr>
          <w:rFonts w:ascii="Times New Roman;sans-serif" w:hAnsi="Times New Roman;sans-serif"/>
          <w:b w:val="false"/>
          <w:color w:val="000000"/>
          <w:sz w:val="20"/>
        </w:rPr>
        <w:t xml:space="preserve">. We are continually evaluating new product offerings that are aligned with our core competencies and the 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allows subscribers to track family members and pets wearing Jiobit devices via GPS-enabled trackers on the Jiobit app. We will continue to invest in and launch products where we see opportunities to grow our platform.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Attracting and Retaining Talent</w:t>
      </w:r>
      <w:r>
        <w:rPr>
          <w:rFonts w:ascii="Times New Roman;sans-serif" w:hAnsi="Times New Roman;sans-serif"/>
          <w:b w:val="false"/>
          <w:color w:val="000000"/>
          <w:sz w:val="20"/>
        </w:rPr>
        <w:t xml:space="preserve">. We compete for talent in the technology industry. Our business relies on the ability to attract and retain talent, including engineers, data scientists, designers and software developers. As of December 31, 2023, we had approximately 508 employees and contractors. Our core values are aimed at simplifying safety for families and we believe there are people who want to work at a values-driven company like Life360. We believe that our ability to recruit talent is aided by our reputation.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Seasonality</w:t>
      </w:r>
      <w:r>
        <w:rPr>
          <w:rFonts w:ascii="Times New Roman;sans-serif" w:hAnsi="Times New Roman;sans-serif"/>
          <w:b w:val="false"/>
          <w:color w:val="000000"/>
          <w:sz w:val="20"/>
        </w:rPr>
        <w:t xml:space="preserve">. We experience seasonality in our user growth, engagement, Paying Circles growth and monetization on our platform. 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due to seasonal holiday demand. As the majority of revenue is generated within the United States,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International Expansion</w:t>
      </w:r>
      <w:r>
        <w:rPr>
          <w:rFonts w:ascii="Times New Roman;sans-serif" w:hAnsi="Times New Roman;sans-serif"/>
          <w:b w:val="false"/>
          <w:color w:val="000000"/>
          <w:sz w:val="20"/>
        </w:rPr>
        <w:t xml:space="preserve">. We believe our global opportunity is significant, and to address this opportunity, we intend to continue to invest in sales and marketing efforts and infrastructure and personnel to support our international expansion, including undertaking initiatives such as the international launch of our subscription offerings in United Kingdom for the year ended December 31, 2023. Our growth will depend in part on the adoption and sales of our products and services in international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describes certain line items in our Consolidated Statements of Operations and Comprehensive Loss.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Subscription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 </w:t>
      </w:r>
    </w:p>
    <w:p>
      <w:pPr>
        <w:pStyle w:val="TextBody"/>
        <w:bidi w:val="0"/>
        <w:spacing w:lineRule="auto" w:line="288" w:before="360" w:after="283"/>
        <w:jc w:val="both"/>
        <w:rPr/>
      </w:pPr>
      <w:r>
        <w:rPr>
          <w:rFonts w:ascii="Times New Roman;sans-serif" w:hAnsi="Times New Roman;sans-serif"/>
          <w:b w:val="false"/>
          <w:i/>
          <w:color w:val="000000"/>
          <w:sz w:val="20"/>
          <w:u w:val="single"/>
        </w:rPr>
        <w:t>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our hardware revenue from the sale of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we executed a new partnership agreement with a key data partner, a prominent provider of aggregated analytics for the retail ecosystem. The agreement includes fixed monthly revenue amounts for access to aggregated data for the duration of the three-year agreement. Other revenue also includes partnership revenue.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and Gross Margin </w:t>
      </w:r>
    </w:p>
    <w:p>
      <w:pPr>
        <w:pStyle w:val="TextBody"/>
        <w:bidi w:val="0"/>
        <w:spacing w:lineRule="auto" w:line="288" w:before="120" w:after="283"/>
        <w:jc w:val="both"/>
        <w:rPr/>
      </w:pPr>
      <w:r>
        <w:rPr>
          <w:rFonts w:ascii="Times New Roman;sans-serif" w:hAnsi="Times New Roman;sans-serif"/>
          <w:b w:val="false"/>
          <w:i/>
          <w:color w:val="000000"/>
          <w:sz w:val="20"/>
          <w:u w:val="single"/>
        </w:rPr>
        <w:t>Cost of Subscription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increasing the capacity and enhancing the capability and reliability of our infrastructure to support user growth and increased use of our platform. We expect that cost of revenue will increase in absolute dollars in future periods. </w:t>
      </w:r>
    </w:p>
    <w:p>
      <w:pPr>
        <w:pStyle w:val="TextBody"/>
        <w:bidi w:val="0"/>
        <w:spacing w:lineRule="auto" w:line="288" w:before="360" w:after="283"/>
        <w:jc w:val="both"/>
        <w:rPr/>
      </w:pPr>
      <w:r>
        <w:rPr>
          <w:rFonts w:ascii="Times New Roman;sans-serif" w:hAnsi="Times New Roman;sans-serif"/>
          <w:b w:val="false"/>
          <w:i/>
          <w:color w:val="000000"/>
          <w:sz w:val="20"/>
          <w:u w:val="single"/>
        </w:rPr>
        <w:t>Cost of 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Cost of Other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includes cloud-based hosting costs, as well as costs of product operations functions and personnel-related costs associated with our data platform. Personnel-related expenses include salaries, bonuses, benefits, and stock-based compensation for operations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pPr>
      <w:r>
        <w:rPr>
          <w:rFonts w:ascii="Times New Roman;sans-serif" w:hAnsi="Times New Roman;sans-serif"/>
          <w:b w:val="false"/>
          <w:i/>
          <w:color w:val="000000"/>
          <w:sz w:val="20"/>
          <w:u w:val="single"/>
        </w:rPr>
        <w:t>Gross Profit and Gross Profit Margin</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Expenses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selling and marketing, and general and administrative expenses.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Research and Development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Sales and Marketing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General and Administrative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Notes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convertible notes to investors in July 2021 (the “July 2021 Convertible Notes”), and as part of the purchase consideration related to the Company’s acquisition of Jiobit (the “Jiobit Acquisition”) in September 2021 (the “September 2021 Convertible Notes” and together with the July 2021 Convertible Notes, the “Convertible Notes”). The September 2021 Convertible Notes are recorded at fair value and are revalued at each reporting period.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Liability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liability fair value adjustment relates to the change in the fair value of the embedded conversion and redemption features associated with the July 2021 Convertible Notes.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(benefit from)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consolidated statement of operations and comprehensive loss for the years ended December 31, 2023, 2022, and 2021. We have derived this data from our consolidated financial statements included elsewhere in this Annual Report on Form 10-K. This information should be read in conjunction with our consolidated financial statements and related notes included elsewhere in this Annual Report on Form 10-K. The results of historical periods are not necessarily indicative of the results of operations for any future period.</w:t>
      </w:r>
    </w:p>
    <w:p>
      <w:pPr>
        <w:pStyle w:val="TextBody"/>
        <w:bidi w:val="0"/>
        <w:spacing w:before="0" w:after="0"/>
        <w:jc w:val="left"/>
        <w:rPr/>
      </w:pPr>
      <w:r>
        <w:rPr/>
      </w:r>
    </w:p>
    <w:tbl>
      <w:tblPr>
        <w:tblW w:w="8525" w:type="dxa"/>
        <w:jc w:val="left"/>
        <w:tblInd w:w="0" w:type="dxa"/>
        <w:tblLayout w:type="fixed"/>
        <w:tblCellMar>
          <w:top w:w="28" w:type="dxa"/>
          <w:left w:w="28" w:type="dxa"/>
          <w:bottom w:w="28" w:type="dxa"/>
          <w:right w:w="28" w:type="dxa"/>
        </w:tblCellMar>
      </w:tblPr>
      <w:tblGrid>
        <w:gridCol w:w="1523"/>
        <w:gridCol w:w="1337"/>
        <w:gridCol w:w="1340"/>
        <w:gridCol w:w="211"/>
        <w:gridCol w:w="826"/>
        <w:gridCol w:w="109"/>
        <w:gridCol w:w="109"/>
        <w:gridCol w:w="109"/>
        <w:gridCol w:w="109"/>
        <w:gridCol w:w="211"/>
        <w:gridCol w:w="826"/>
        <w:gridCol w:w="109"/>
        <w:gridCol w:w="109"/>
        <w:gridCol w:w="109"/>
        <w:gridCol w:w="109"/>
        <w:gridCol w:w="211"/>
        <w:gridCol w:w="796"/>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cost of revenue</w:t>
            </w:r>
            <w:r>
              <w:rPr>
                <w:rFonts w:ascii="Times New Roman;sans-serif" w:hAnsi="Times New Roman;sans-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tbl>
      <w:tblPr>
        <w:tblW w:w="7195" w:type="dxa"/>
        <w:jc w:val="left"/>
        <w:tblInd w:w="0" w:type="dxa"/>
        <w:tblLayout w:type="fixed"/>
        <w:tblCellMar>
          <w:top w:w="28" w:type="dxa"/>
          <w:left w:w="28" w:type="dxa"/>
          <w:bottom w:w="28" w:type="dxa"/>
          <w:right w:w="28" w:type="dxa"/>
        </w:tblCellMar>
      </w:tblPr>
      <w:tblGrid>
        <w:gridCol w:w="1248"/>
        <w:gridCol w:w="1099"/>
        <w:gridCol w:w="1102"/>
        <w:gridCol w:w="211"/>
        <w:gridCol w:w="721"/>
        <w:gridCol w:w="109"/>
        <w:gridCol w:w="109"/>
        <w:gridCol w:w="109"/>
        <w:gridCol w:w="109"/>
        <w:gridCol w:w="211"/>
        <w:gridCol w:w="721"/>
        <w:gridCol w:w="109"/>
        <w:gridCol w:w="109"/>
        <w:gridCol w:w="109"/>
        <w:gridCol w:w="109"/>
        <w:gridCol w:w="233"/>
        <w:gridCol w:w="233"/>
        <w:gridCol w:w="54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results of operations as a percentage of revenue: </w:t>
      </w:r>
    </w:p>
    <w:tbl>
      <w:tblPr>
        <w:tblW w:w="7110" w:type="dxa"/>
        <w:jc w:val="left"/>
        <w:tblInd w:w="0" w:type="dxa"/>
        <w:tblLayout w:type="fixed"/>
        <w:tblCellMar>
          <w:top w:w="28" w:type="dxa"/>
          <w:left w:w="28" w:type="dxa"/>
          <w:bottom w:w="28" w:type="dxa"/>
          <w:right w:w="28" w:type="dxa"/>
        </w:tblCellMar>
      </w:tblPr>
      <w:tblGrid>
        <w:gridCol w:w="1523"/>
        <w:gridCol w:w="1337"/>
        <w:gridCol w:w="1340"/>
        <w:gridCol w:w="232"/>
        <w:gridCol w:w="234"/>
        <w:gridCol w:w="271"/>
        <w:gridCol w:w="109"/>
        <w:gridCol w:w="109"/>
        <w:gridCol w:w="109"/>
        <w:gridCol w:w="232"/>
        <w:gridCol w:w="234"/>
        <w:gridCol w:w="271"/>
        <w:gridCol w:w="109"/>
        <w:gridCol w:w="109"/>
        <w:gridCol w:w="109"/>
        <w:gridCol w:w="232"/>
        <w:gridCol w:w="234"/>
        <w:gridCol w:w="316"/>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cost of revenue</w:t>
            </w:r>
            <w:r>
              <w:rPr>
                <w:rFonts w:ascii="Times New Roman;sans-serif" w:hAnsi="Times New Roman;sans-serif"/>
                <w:b w:val="false"/>
                <w:color w:val="000000"/>
                <w:sz w:val="13"/>
              </w:rPr>
              <w:t>(1)</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Comparison of the years ended December 31, 2023 and 2022:</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Revenue </w:t>
      </w:r>
    </w:p>
    <w:tbl>
      <w:tblPr>
        <w:tblW w:w="6836" w:type="dxa"/>
        <w:jc w:val="left"/>
        <w:tblInd w:w="0" w:type="dxa"/>
        <w:tblLayout w:type="fixed"/>
        <w:tblCellMar>
          <w:top w:w="28" w:type="dxa"/>
          <w:left w:w="28" w:type="dxa"/>
          <w:bottom w:w="28" w:type="dxa"/>
          <w:right w:w="28" w:type="dxa"/>
        </w:tblCellMar>
      </w:tblPr>
      <w:tblGrid>
        <w:gridCol w:w="669"/>
        <w:gridCol w:w="587"/>
        <w:gridCol w:w="58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$76.2 million, or 33%, during the year ended December 31, 2023 as compared to the year ended December 31, 2022.</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$67.5 million, or 44%, during the year ended December 31, 2023 as compared to the year ended December 31, 2022, primarily due to an increase in the number of paid subscriptions. Additionally, subscription revenue in the current period benefited from the impact of the monthly subscription price increases (over 50%) for U.S. Life360 subscriptions, which were implemented beginning in August 2022.</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revenue increased $10.3 million, or 21%, during the year ended December 31, 2023 as compared to the year ended December 31, 2022, due to an increased number of net hardware units shipped, lower returns, and benefits of bundled Life360 subscription and hardware offerings.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decreased $1.6 million, or 6%, during the year ended December 31, 2023 as compared to the year ended December 31, 2022, due to the short-term impacts of our strategic shift to focus on a single aggregated data partner and the terms associated with the arrangement. </w:t>
      </w:r>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 Gross Profit, and Gross Margin </w:t>
      </w:r>
    </w:p>
    <w:tbl>
      <w:tblPr>
        <w:tblW w:w="7113" w:type="dxa"/>
        <w:jc w:val="left"/>
        <w:tblInd w:w="0" w:type="dxa"/>
        <w:tblLayout w:type="fixed"/>
        <w:tblCellMar>
          <w:top w:w="28" w:type="dxa"/>
          <w:left w:w="28" w:type="dxa"/>
          <w:bottom w:w="28" w:type="dxa"/>
          <w:right w:w="28" w:type="dxa"/>
        </w:tblCellMar>
      </w:tblPr>
      <w:tblGrid>
        <w:gridCol w:w="663"/>
        <w:gridCol w:w="582"/>
        <w:gridCol w:w="58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64"/>
        <w:gridCol w:w="166"/>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increased $0.3 million, or 1%, during the year ended December 31, 2023 as compared to the year ended December 31, 2022, primarily related to increases of $1.2 million in technology expenses, $1.0 million in contractor expenses, and $0.1 million in depreciation and amortization associated with our growth. The increases were partially offset by a decrease of $1.5 million in personnel-related and stock-based compensation costs attributable to our integration with Tile and the restructuring of the combined workforce. We also saw a decrease of $1.8 million in membership offering costs as a result of the discontinuation of certain battery replacement related membership benefits, partially offset by a $1.3 million increase in other membership offering costs in line with the increase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gross margin increased to 86% during the year ended December 31, 2023 from 80% during the year ended December 31, 2022, primarily due to the subscription price increases for U.S. Life360 subscriptions, which were implemented beginning in August 2022, and a decrease in membership offering costs related to the discontinuation of certain battery related membership benefits.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hardware revenue increased by $1.9 million, or 4%, during the year ended December 31, 2023 as compared to the year ended December 31, 2022, primarily due to an increase of $4.4 million in product, freight and battery expenses in line with the increased number of units sold. We also saw an increase of $0.8 million in personnel-related and stock-based compensation costs attributable to the increased volume of stock-based awards granted throughout the year ended December 31, 2023, and an increase of $0.3 million in professional and outside services and contractor spend to support our growth. The increases were offset by a $2.3 million decrease in fulfillment, logistics, and other expenses largely reflecting the efficiencies achieved post Tile Acquisition, a $1.1 million decrease in technology expenses related to improved efficiencies post-acquisition with Tile, and a $0.4 million decrease in membership offering costs related to the discontinuation of certain battery related membership benefits. The remaining increase of $0.2 million is attributable to other cost of hardware revenue associated with our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gross margin increased to 19% during the year ended December 31, 2023 from 5% during the year ended December 31, 2022, primarily due to efficiencies achieved within the Company as decreased fulfillment and logistics costs were incurred as a percentage of revenue during the year ended December 31, 2023 as compared to the year ended December 31, 2022. The improvement in hardware gross margin was also due to a release of reserve for hardware returns recorded in the three months ended June 30, 2023.</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decreased by $0.1 million, or 2%, during the year ended December 31, 2023 as compared to the year ended December 31, 2022, primarily due to a decrease of $0.3 million in personnel-related expenses and stock-based compensation costs associated with the reduction in workforce which took place during the three months ended March 31, 2023. The decrease was partially offset by an increase of $0.2 million in technology expenses, to support the existing customer base. </w:t>
      </w:r>
    </w:p>
    <w:p>
      <w:pPr>
        <w:pStyle w:val="TextBody"/>
        <w:bidi w:val="0"/>
        <w:spacing w:before="0" w:after="0"/>
        <w:jc w:val="both"/>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gross margin decreased slightly to 86% during the year ended December 31, 2023 from 87% during the year ended December 31, 2022, primarily due to costs outpacing the decreased other revenue. </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Research and Development</w:t>
      </w:r>
      <w:r>
        <w:rPr>
          <w:color w:val="000000"/>
        </w:rPr>
        <w:t xml:space="preserve"> </w:t>
      </w:r>
    </w:p>
    <w:tbl>
      <w:tblPr>
        <w:tblW w:w="7239"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164"/>
        <w:gridCol w:w="166"/>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$1.5 million, or 1%, during the year ended December 31, 2023 as compared to the year ended December 31, 2022. The decrease was primarily due to decreases of $2.6 million in technology expenses, $1.8 million in professional and outside services spend, and $1.1 million in contractor spend, due to our decreased need as a result of the Tile and Jiobit businesses being fully integrated. These decreases were offset by an increase of $2.8 million in personnel-related and stock-based compensation, primarily related to an increased volume of stock grants awarded to employees and an increase of $0.9 million related to a raw materials inventory write-off. The remaining increase of $0.3 million is attributable to other research and development expenses.</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Sales and Marketing</w:t>
      </w:r>
      <w:r>
        <w:rPr>
          <w:color w:val="000000"/>
        </w:rPr>
        <w:t xml:space="preserve"> </w:t>
      </w:r>
    </w:p>
    <w:tbl>
      <w:tblPr>
        <w:tblW w:w="6325" w:type="dxa"/>
        <w:jc w:val="left"/>
        <w:tblInd w:w="0" w:type="dxa"/>
        <w:tblLayout w:type="fixed"/>
        <w:tblCellMar>
          <w:top w:w="28" w:type="dxa"/>
          <w:left w:w="28" w:type="dxa"/>
          <w:bottom w:w="28" w:type="dxa"/>
          <w:right w:w="28" w:type="dxa"/>
        </w:tblCellMar>
      </w:tblPr>
      <w:tblGrid>
        <w:gridCol w:w="634"/>
        <w:gridCol w:w="558"/>
        <w:gridCol w:w="56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$6.7 million, or 7%, during the year ended December 31, 2023 as compared to the year ended December 31, 2022. The increase was primarily due to a $10.1 million increase in marketing expenses consisting of increases of $11.3 million in Channel Partner commission charges due to increased subscription sales and $2.1 million in paid user acquisition spend, partially offset by a $3.3 million decrease in other marketing spend. The increases were partially offset by a decrease of $2.4 million in professional and outside services and contractor spend due to our decreased need as a result of the Tile and Jiobit businesses being fully integrated. We also saw a decrease of $0.7 million in personnel and related costs and stock-based compensation primarily due to the reduction in workforce which took place during the three months ended March 31, 2023. The remaining decrease of $0.3 million is attributable to other sales and marketing expenses.</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General and Administrative</w:t>
      </w:r>
      <w:r>
        <w:rPr>
          <w:color w:val="000000"/>
        </w:rPr>
        <w:t xml:space="preserve"> </w:t>
      </w:r>
    </w:p>
    <w:tbl>
      <w:tblPr>
        <w:tblW w:w="6880"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$4.5 million, or 9%, during the year ended December 31, 2023 as compared to the year ended December 31, 2022. The increase was primarily due to a $5.3 million gain on revaluation of contingent consideration related to the Jiobit Acquisition recorded during the year ended December 31, 2022 and a $0.1 million increase in technology costs. The increase was partially offset by a $0.3 million decrease in personnel and related costs and stock-based compensation primarily due to the reduction in workforce which took place during the three months ended March 31, 2023, and a decrease of $1.6 million in professional and outside services due to continued operational efficiencies. The remaining increase of $1.0 million is attributable to other general and administrative expenses.</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Convertible Notes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recorded a loss associated with the convertible notes fair value adjustment of $0.7 million and a gain of $1.8 million, respectively. The changes in fair value are primarily driven by the share price volatility and reduction in time to convert.</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Derivative Liability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the Company recorded a loss associated with the derivative liability fair value adjustment of $0.1 million and a gain of $1.3 million, respectively. The changes are due to the revaluation of the derivative liability at each reporting period and are related to embedded redemption features bifurcated from the July 2021 Convertible Notes issued to investors. </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$3.2 million, or 24,731%, during the year ended December 31, 2023 as compared to the year ended December 31, 2022. The increase was driven by an increase in dividend income earned due to a higher average gross yield and favorable currency revaluation impacts in the current periods compared to the same periods in the prior year. Other income (expense) includes interest income, dividend income, foreign exchange losses, and interest expense associated with the July 2021 Convertible Notes.</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(benefit from) income taxes increased $0.3 million, or 97%, during the year ended December 31, 2023 as compared to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Key Operating Metrics </w:t>
      </w:r>
    </w:p>
    <w:tbl>
      <w:tblPr>
        <w:tblW w:w="6643" w:type="dxa"/>
        <w:jc w:val="left"/>
        <w:tblInd w:w="0" w:type="dxa"/>
        <w:tblLayout w:type="fixed"/>
        <w:tblCellMar>
          <w:top w:w="28" w:type="dxa"/>
          <w:left w:w="28" w:type="dxa"/>
          <w:bottom w:w="28" w:type="dxa"/>
          <w:right w:w="28" w:type="dxa"/>
        </w:tblCellMar>
      </w:tblPr>
      <w:tblGrid>
        <w:gridCol w:w="868"/>
        <w:gridCol w:w="755"/>
        <w:gridCol w:w="776"/>
        <w:gridCol w:w="264"/>
        <w:gridCol w:w="905"/>
        <w:gridCol w:w="136"/>
        <w:gridCol w:w="136"/>
        <w:gridCol w:w="136"/>
        <w:gridCol w:w="136"/>
        <w:gridCol w:w="264"/>
        <w:gridCol w:w="773"/>
        <w:gridCol w:w="136"/>
        <w:gridCol w:w="136"/>
        <w:gridCol w:w="136"/>
        <w:gridCol w:w="136"/>
        <w:gridCol w:w="203"/>
        <w:gridCol w:w="203"/>
        <w:gridCol w:w="544"/>
      </w:tblGrid>
      <w:tr>
        <w:trPr/>
        <w:tc>
          <w:tcPr>
            <w:tcW w:w="86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years ended December 31,</w:t>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AMR</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Paying Circles</w:t>
            </w:r>
            <w:r>
              <w:rPr>
                <w:rFonts w:ascii="Times New Roman;sans-serif" w:hAnsi="Times New Roman;sans-serif"/>
                <w:b w:val="false"/>
                <w:color w:val="000000"/>
                <w:sz w:val="13"/>
              </w:rPr>
              <w:t>1</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ARPPC</w:t>
            </w:r>
            <w:r>
              <w:rPr>
                <w:rFonts w:ascii="Times New Roman;sans-serif" w:hAnsi="Times New Roman;sans-serif"/>
                <w:b w:val="false"/>
                <w:color w:val="000000"/>
                <w:sz w:val="13"/>
              </w:rPr>
              <w:t>1</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Subscriptions</w:t>
            </w:r>
            <w:r>
              <w:rPr>
                <w:rFonts w:ascii="Times New Roman;sans-serif" w:hAnsi="Times New Roman;sans-serif"/>
                <w:b w:val="false"/>
                <w:color w:val="000000"/>
                <w:sz w:val="13"/>
              </w:rPr>
              <w:t>1, 2</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ARPPS</w:t>
            </w:r>
            <w:r>
              <w:rPr>
                <w:rFonts w:ascii="Times New Roman;sans-serif" w:hAnsi="Times New Roman;sans-serif"/>
                <w:b w:val="false"/>
                <w:color w:val="000000"/>
                <w:sz w:val="13"/>
              </w:rPr>
              <w:t>1, 2</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hardware units shipped</w:t>
            </w:r>
            <w:r>
              <w:rPr>
                <w:rFonts w:ascii="Times New Roman;sans-serif" w:hAnsi="Times New Roman;sans-serif"/>
                <w:b w:val="false"/>
                <w:color w:val="000000"/>
                <w:sz w:val="13"/>
              </w:rPr>
              <w:t>2</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ASP</w:t>
            </w:r>
            <w:r>
              <w:rPr>
                <w:rFonts w:ascii="Times New Roman;sans-serif" w:hAnsi="Times New Roman;sans-serif"/>
                <w:b w:val="false"/>
                <w:color w:val="000000"/>
                <w:sz w:val="13"/>
              </w:rPr>
              <w:t>2</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4244"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6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Metrics presented as of and for the periods ended December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pStyle w:val="TextBody"/>
        <w:bidi w:val="0"/>
        <w:spacing w:lineRule="auto" w:line="288" w:before="120" w:after="283"/>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Metrics presented for the year ended December 31, 2022 are adjusted to include pre-acquisition data for Tile related to periods before the acquisition of Tile on January 5, 2022.</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Annualized Monthly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December 31, 2023, and 2022 was $274.1 million and $224.4 million, respectively, representing an increase of 22% year-over-year.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Monthly Active Users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large and growing global member base as of December 31, 2023. A Life360 monthly active user (“MAU”) is defined as a unique user who engages with our Life360 branded services each month, which includes both paying and non-paying members. As of December 31, 2023 and 2022, we had approximately 61.4 million and 48.6 million MAUs on the Life360 Platform, respectively, representing an increase of 26% year-over-year. We believe this has been driven by continued strong new user growth and retention.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Paying Circles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 Paying Circle as a group of Life360 users with a paying subscription who has been billed as of the end of period. Each subscription covers all members in the payor’s Circle so everyone in the Circle can utilize the benefits of a Life360 Membership, including access to premium location, driving, digital and emergency safety insights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had approximately 1.8 million and 1.5 million paid subscribers to services under our Life360 brand, respectively, representing an increase of 21% year-over-year. We grow the number of Paying Circles by increasing our free member base, converting free members to subscribers, and retaining them over time with the provision of high-quality family and safety services. Below is a comparison of Paying Circles as of December 31, 2022 using the current and prior definitions (in millions).</w:t>
      </w:r>
    </w:p>
    <w:tbl>
      <w:tblPr>
        <w:tblW w:w="4858" w:type="dxa"/>
        <w:jc w:val="left"/>
        <w:tblInd w:w="0" w:type="dxa"/>
        <w:tblLayout w:type="fixed"/>
        <w:tblCellMar>
          <w:top w:w="28" w:type="dxa"/>
          <w:left w:w="28" w:type="dxa"/>
          <w:bottom w:w="28" w:type="dxa"/>
          <w:right w:w="28" w:type="dxa"/>
        </w:tblCellMar>
      </w:tblPr>
      <w:tblGrid>
        <w:gridCol w:w="1048"/>
        <w:gridCol w:w="920"/>
        <w:gridCol w:w="926"/>
        <w:gridCol w:w="399"/>
        <w:gridCol w:w="399"/>
        <w:gridCol w:w="1166"/>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(current definition)</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(prior definition)</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Circle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Circle (“ARPPC”) as subscription revenue derived from the Life360 mobile application, excluding certain revenue adjustments related to bundled Life360 subscription and hardware offerings, for the reported period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our ARPPC was $121.09 and $96.95, respectively, representing a 25% increase year-over-year. The year-over-year increase in ARPPC is a result of subscription price increases for U.S. Life360 subscriptions, which were implemented beginning in August 2022.</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ARPPC is a key indicator utilized by Life360 to determine the effective penetration of our tiered product offering for Paying Circles. The increase in pricing for new Paying Circles beginning in August 2022 has led to subscribers signing up for higher price products over time, increasing ARPPC.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comparison of ARPPC for the year ended December 31, 2022 using the current definitions.</w:t>
      </w:r>
    </w:p>
    <w:p>
      <w:pPr>
        <w:pStyle w:val="TextBody"/>
        <w:bidi w:val="0"/>
        <w:spacing w:before="0" w:after="0"/>
        <w:jc w:val="both"/>
        <w:rPr/>
      </w:pPr>
      <w:r>
        <w:rPr/>
      </w:r>
    </w:p>
    <w:tbl>
      <w:tblPr>
        <w:tblW w:w="4288" w:type="dxa"/>
        <w:jc w:val="left"/>
        <w:tblInd w:w="0" w:type="dxa"/>
        <w:tblLayout w:type="fixed"/>
        <w:tblCellMar>
          <w:top w:w="28" w:type="dxa"/>
          <w:left w:w="28" w:type="dxa"/>
          <w:bottom w:w="28" w:type="dxa"/>
          <w:right w:w="28" w:type="dxa"/>
        </w:tblCellMar>
      </w:tblPr>
      <w:tblGrid>
        <w:gridCol w:w="841"/>
        <w:gridCol w:w="739"/>
        <w:gridCol w:w="744"/>
        <w:gridCol w:w="362"/>
        <w:gridCol w:w="1059"/>
        <w:gridCol w:w="543"/>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ARPPC (current definition)</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ARPPC (prior definition)</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define Subscriptions as the number of paying subscribers associated with the Life360, Tile and Jiobit brands who have been billed as of the end of the period. As of December 31, 2023 and 2022, we had approximately 2.4 million and 2.1 million paid subscribers to services under Life360, Tile, and Jiobit brands, respectively, representing an increase of 17% year-over-year. We grow the number of Subscriptions by selling hardware units and increasing our free member base, converting free members to subscribers, and retaining them over time with the provision of location tracking and high-quality family and safety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comparison of Subscriptions as of December 31, 2022 using the current and prior definitions (in millions).</w:t>
      </w:r>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1022"/>
        <w:gridCol w:w="898"/>
        <w:gridCol w:w="900"/>
        <w:gridCol w:w="399"/>
        <w:gridCol w:w="399"/>
        <w:gridCol w:w="1166"/>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(current definition)</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(prior definition)</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ARPPS as total subscription revenue recognized,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ARPPS for the years ended December 31, 2023 and 2022 was $99.53 and $80.63, respectively, representing an increase of 23% year-over-year. ARPPS has increased year-over-year as a result of the U.S. Life360 subscription price increases, which were implemented beginning in August 2022.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comparison of ARPPS as of December 31, 2022 using the current and prior definitions.</w:t>
      </w:r>
    </w:p>
    <w:p>
      <w:pPr>
        <w:pStyle w:val="TextBody"/>
        <w:bidi w:val="0"/>
        <w:spacing w:before="0" w:after="0"/>
        <w:jc w:val="left"/>
        <w:rPr/>
      </w:pPr>
      <w:r>
        <w:rPr/>
      </w:r>
    </w:p>
    <w:tbl>
      <w:tblPr>
        <w:tblW w:w="4258" w:type="dxa"/>
        <w:jc w:val="left"/>
        <w:tblInd w:w="0" w:type="dxa"/>
        <w:tblLayout w:type="fixed"/>
        <w:tblCellMar>
          <w:top w:w="28" w:type="dxa"/>
          <w:left w:w="28" w:type="dxa"/>
          <w:bottom w:w="28" w:type="dxa"/>
          <w:right w:w="28" w:type="dxa"/>
        </w:tblCellMar>
      </w:tblPr>
      <w:tblGrid>
        <w:gridCol w:w="831"/>
        <w:gridCol w:w="729"/>
        <w:gridCol w:w="734"/>
        <w:gridCol w:w="362"/>
        <w:gridCol w:w="1059"/>
        <w:gridCol w:w="543"/>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ARPPS (current definition)</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ARPPS (prior definition)</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Hardware Units Shipped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users eligible for a Tile or Jiobit subscription. For the year ended December 31, 2023, Life360 sold approximately 4.0 million units, up approximately 12% as compared to the 3.6 million units sold during the year ended December 31, 2022, reflecting higher sales and lower returns compared to the prior period.</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Average Sales Price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net average sales price (“ASP”) of a unit, we divide hardware revenue recognized, excluding certain revenue adjustments related to bundled Life360 subscriptions and hardware offerings, for the reported period by the number of net hardware units shipped during the same period. ASP is largely driven by the price we charge customers, including the price we charge our retail partners, net of customer allowances, and directly to consumers. For the year ended December 31, 2023, the net ASP of a unit was $13.48, which is largely flat compared to $13.47 during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$69.0 million and restricted cash of $1.7 million. As of December 31, 2022, we had cash and cash equivalents of $75.4 million and restricted cash of $14.9 million.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On March 10, 2023, we had a banking relationship with SVB. As of the closure of SVB on March 10, 2023, we held $6.1 million in direct deposits with SVB, which represented approximately 6.4% of our total cash and cash equivalents as of that date. We also held </w:t>
      </w:r>
      <w:r>
        <w:rPr>
          <w:rFonts w:ascii="Times New Roman;sans-serif" w:hAnsi="Times New Roman;sans-serif"/>
          <w:b w:val="false"/>
          <w:color w:val="231F20"/>
          <w:sz w:val="20"/>
        </w:rPr>
        <w:t xml:space="preserve">$75.4 million in shares of money market mutual funds managed by Morgan Stanley, Blackrock and Western Asset, for which SVB acted as custodian. </w:t>
      </w:r>
      <w:r>
        <w:rPr>
          <w:rFonts w:ascii="Times New Roman;sans-serif" w:hAnsi="Times New Roman;sans-serif"/>
          <w:b w:val="false"/>
          <w:color w:val="000000"/>
          <w:sz w:val="20"/>
        </w:rPr>
        <w:t>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13, 2023, we regained access to our funds held in SVB accounts. On May 1, 2023 JPMorgan Chase acquired the substantial majority of assets and assumed certain liabilities of SVB from the FDIC. While we did not experience any losses in such accounts, the recent failure of SVB exposed us to credit risk as it relates to our direct deposits in excess of the FDIC insured limits, prior to the completion by the FDIC of the resolution of SVB in a manner that fully protected all depositors. We have transferred more than 80% of our accounts to one or more alternate depository institutions, the financial position of which management believes does not expose our company to credit risk or jeopardize our liquidity. Additionally, we may be impacted by adverse developments which affect financial institutions, transactional counterparties, other companies in the financial services industry, or the financial services industry generally, which have in the past and may in the future threaten our ability to access our existing cash and cash equivalents and could have a material adverse effect on our business and financial condition.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activities were as follows for the periods presented: </w:t>
      </w:r>
    </w:p>
    <w:tbl>
      <w:tblPr>
        <w:tblW w:w="10062" w:type="dxa"/>
        <w:jc w:val="left"/>
        <w:tblInd w:w="0" w:type="dxa"/>
        <w:tblLayout w:type="fixed"/>
        <w:tblCellMar>
          <w:top w:w="28" w:type="dxa"/>
          <w:left w:w="28" w:type="dxa"/>
          <w:bottom w:w="28" w:type="dxa"/>
          <w:right w:w="28" w:type="dxa"/>
        </w:tblCellMar>
      </w:tblPr>
      <w:tblGrid>
        <w:gridCol w:w="2126"/>
        <w:gridCol w:w="1870"/>
        <w:gridCol w:w="1884"/>
        <w:gridCol w:w="211"/>
        <w:gridCol w:w="796"/>
        <w:gridCol w:w="109"/>
        <w:gridCol w:w="109"/>
        <w:gridCol w:w="109"/>
        <w:gridCol w:w="109"/>
        <w:gridCol w:w="211"/>
        <w:gridCol w:w="901"/>
        <w:gridCol w:w="109"/>
        <w:gridCol w:w="109"/>
        <w:gridCol w:w="109"/>
        <w:gridCol w:w="109"/>
        <w:gridCol w:w="211"/>
        <w:gridCol w:w="82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paying users for subscriptions to our platform and hardware device sales. Our primary uses of cash from operating activities are for employee-related expenditures, inventory, infrastructure-related costs, commissions and other marketing expenses. Net cash provided by (used in) operating activities is impacted by our net loss adjusted for certain non-cash items, including depreciation and amortization expenses, amortization of costs capitalized to obtain contracts, change in fair value of convertible notes, derivative liability, and contingent consideration, and stock-based compensation, as well as the effect of changes in operating assets and liabilities.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December 31, 2023 and 2022, we had deferred revenue of $35.8 million and $32.8 million, respectively, of which $33.9 million and $30.1 million is expected to be recorded as revenue in the next 12 months, respectively, provided all other revenue recognition criteria have been met.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provided by operating activities was $7.5 million. The primary factors affecting our operating cash flows during this period were our net loss of $28.2 million, impacted by $49.1 million of non-cash adjustments, and $13.4 million of cash used by changes in our operating assets and liabilities. The non-cash adjustments primarily consisted of $38.5 million of stock-based compensation expense and $9.1 million of depreciation and amortization. The cash used by changes in our operating assets and liabilities was primarily due to an increase of $9.1 million in accounts receivable, net, a decrease of $7.9 million in accounts payable, and an increase of $6.7 million in prepaid expenses and other assets. These amounts were partially offset by a decrease of $5.8 million in inventory, an increase of $4.6 million in deferred revenue, and an increase of $2.2 million in accrued expenses and other liabilities due to increasing activity in line with the Company growth.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net cash used in operating activities was $57.1 million. The primary factors affecting our operating cash flows during this period were our net loss of $91.6 million, impacted by $37.3 million of non-cash charges, and $2.8 million of cash provided by changes in our operating assets and liabilities. The non-cash charges primarily consisted of $34.7 million in stock-based compensation, $9.2 million of depreciation and amortization, $5.3 million gain on revaluation of contingent consideration, $2.9 million of amortization of costs capitalized to obtain contracts, $1.8 million gain in convertible notes fair value adjustment, $1.5 million non-cash revenue from affiliate, and $1.3 million gain in derivative liability fair value adjustment. The cash provided by changes in our operating assets and liabilities was primarily due to a $10.6 million decrease in prepaid expenses and other assets, a $6.5 million decrease in accounts receivable, net, and a $4.7 million increase in deferred revenue. These amounts were partially offset by a $12.7 million decrease in accounts payable, a $7.7 million decrease in accrued expenses and other liabilities, a $3.3 million increase in costs capitalized to obtain contracts, a $0.5 million increase in inventory, and a $0.3 million increase in other noncurrent liabilities.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cash used in investing activities was $2.2 million, which primarily relates to $1.7 million of capitalization of internal use software costs in accordance with ASC 350-40, Intangibles - Goodwill and Other, Internal-Use Software and $0.5 million of purchases of property and equipment.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net cash used in investing activities was $111.6 million, which relates to $110.9 million of cash paid for the Tile Acquisition, net of cash acquired and $0.7 million related to the capitalization of internal use software costs. </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used by financing activities was $25.0 million, which primarily relates to the $13.1 million of released funds placed in an indemnity escrow fund for general representations and warranties related to the Tile acquisition, $14.0 million of taxes paid related to net settlement of equity awards, and $3.9 million of repayment of notes due to affiliates; offset by $5.8 million of proceeds from the exercise of options.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net cash provided by financing activities was $27.7 million, which primarily relates to $32.2 million of proceeds from a capital raise, $2.4 million of proceeds from the exercise of options, and $0.6 million of proceeds from the repayment of notes due from affiliates, partially offset by $4.1 million of taxes paid related to net settlement of equity awards and $3.5 million of repayment of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Other Commitments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consist of obligations under our convertible notes, operating leases for office space, and other purchase commitments. Our obligations under our convertible notes are described in Note 6, "Fair Value Measurements" and Note 9, "Convertible Notes" to our consolidated financial statements. Information regarding our non-cancellable lease and other purchase commitments as of December 31, 2023, can be found in Note 8, "Balance Sheet Components" and Note 11, "Commitments and Contingencies"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Management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of our significant accounting policies, which are described in Note 2, "Summary of Significant Accounting Policies" to our consolidated financial statements, the following accounting policies and specific estimates involve a greater degree of judgement and complexity.</w:t>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231F20"/>
          <w:sz w:val="20"/>
        </w:rPr>
      </w:pPr>
      <w:r>
        <w:rPr>
          <w:rFonts w:ascii="Times New Roman;sans-serif" w:hAnsi="Times New Roman;sans-serif"/>
          <w:b/>
          <w:i/>
          <w:color w:val="231F20"/>
          <w:sz w:val="20"/>
        </w:rPr>
        <w:t>Revenue Recognition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revenue from subscription fees (which include support fees), the sale of hardware tracking devices and accessories, and other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most of our sales arrangements contain standard terms and conditions, certain arrangements contain non-standard terms and conditions and include promises to transfer multiple goods or services. As a result, significant interpretation and judgment are sometimes required to determine the appropriate accounting for these transactions, including: (1) whether related performance obligations are considered distinct and should be accounted for separately versus together, (2) how the price should be allocated among separate performance obligations, and when to recognize revenue for each performance obligation; (3) developing an estimate of the stand-alone selling price (“SSP”), of each distinct performance obligation; and (4) estimating and accounting for variable consideration, which may include sales incentives and investment.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contracts with customers contain multiple performance obligations, primarily hardware and subscription services for hardware tracking devices. For arrangements with multiple performance obligations where the contracted price differs from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performance obligation. For business-to-business hardware sales, we will estimate the expected consideration amount after credits and discounts.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customers with incentives through various programs including promotional agreements and marketing development agreements. Sales incentives are considered variable consideration, which we estimate and record as a reduction to revenue. Incentives are influenced by historical experience, projected sales data and contractual terms.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judgments with respect to these assumptions and estimates could impact the timing or amount of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2, "Summary of Significant Accounting Policies" to our consolidated financial statements included in Item 8 of Part II hereof for a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we had $69.0 million and $75.4 million, respectively, of cash equivalents invested in cash and cash equivalents and money market funds. Our cash and cash equivalents are held for working capital purposes. As of December 31, 2023 and December 31, 2022, a hypothetical 10% relative change in interest rates would not have a material impact on our consolidated financial statements.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Inflation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we had $3.7 million and $7.0 million of liabilities that are measured at fair value, respectively. Fair value measurements include significant assumptions that are driven by market conditions and macroeconomic factors at measurement dates. Our consolidated results of operations are therefore subject to market fluctuations and may be affected in the future as a result of these fair value changes.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in connection with the acquisition of Jiobit, we issued convertible notes with a fair value of $11.6 million. We will repay the remaining one third of the unconverted principal balance plus accrued interest to the holders of such notes on the third annual anniversary of the issuance date, and they may be converted to common stock at any time at a fixed conversion price of $22.50 per share. Interest is accrued at the U.S. Prime rate plus 0.25%. We have elected the fair value option and remeasure the September 2021 Convertible Notes at their fair value at each reporting date to reflect the changes in fair value in earnings. Refer to Note 9, "Convertible Notes" to our consolidated financial statements for more information.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the fair market value of the September 2021 Convertible Notes will increase as interest rates rise and decrease as interest rates fall. In addition, the fair value of the September 2021 Convertible Notes fluctuates when the market price of our common stock fluctuates. The estimated fair value of the September 2021 Convertible Notes is determined using a combination of the present value of the cash flows and the Black-Scholes option pricing model. Changes in the interest rate environment could have an effect on our future cash flows and earnings, depending on whether the debt is held to maturity or converted to shares of our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53"/>
        <w:gridCol w:w="3062"/>
        <w:gridCol w:w="3078"/>
        <w:gridCol w:w="149"/>
        <w:gridCol w:w="149"/>
        <w:gridCol w:w="214"/>
      </w:tblGrid>
      <w:tr>
        <w:trPr/>
        <w:tc>
          <w:tcPr>
            <w:tcW w:w="3553"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to Consolidated Financial Statements</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51">
              <w:r>
                <w:rPr>
                  <w:rStyle w:val="InternetLink"/>
                  <w:rFonts w:ascii="Times New Roman;sans-serif" w:hAnsi="Times New Roman;sans-serif"/>
                  <w:b w:val="false"/>
                  <w:color w:val="0000FF"/>
                  <w:sz w:val="20"/>
                  <w:u w:val="single"/>
                </w:rPr>
                <w:t>Report of Independent Registered Public Accounting Firms</w:t>
              </w:r>
            </w:hyperlink>
            <w:r>
              <w:rPr>
                <w:color w:val="000000"/>
              </w:rPr>
              <w:t xml:space="preserve"> </w:t>
            </w:r>
            <w:r>
              <w:rPr>
                <w:rFonts w:ascii="Times New Roman;sans-serif" w:hAnsi="Times New Roman;sans-serif"/>
                <w:b w:val="false"/>
                <w:color w:val="000000"/>
                <w:sz w:val="20"/>
              </w:rPr>
              <w:t>(Deloitte and Touche LLP; San Francisco, CA; PCAOB ID #34 and BDO USA, LLP.; San Francisco, CA; PCAOB ID #243)</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fa81d3889754b6996e19de133659039_151">
              <w:r>
                <w:rPr>
                  <w:rStyle w:val="InternetLink"/>
                  <w:rFonts w:ascii="Times New Roman;sans-serif" w:hAnsi="Times New Roman;sans-serif"/>
                  <w:b w:val="false"/>
                  <w:strike w:val="false"/>
                  <w:dstrike w:val="false"/>
                  <w:color w:val="000000"/>
                  <w:sz w:val="20"/>
                  <w:u w:val="none"/>
                  <w:effect w:val="none"/>
                </w:rPr>
                <w:t>74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54">
              <w:r>
                <w:rPr>
                  <w:rStyle w:val="InternetLink"/>
                  <w:rFonts w:ascii="Times New Roman;sans-serif" w:hAnsi="Times New Roman;sans-serif"/>
                  <w:b w:val="false"/>
                  <w:color w:val="0000FF"/>
                  <w:sz w:val="20"/>
                  <w:u w:val="single"/>
                </w:rPr>
                <w:t xml:space="preserve">Consolidated Balance Sheets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54">
              <w:r>
                <w:rPr>
                  <w:rStyle w:val="InternetLink"/>
                  <w:rFonts w:ascii="Times New Roman;sans-serif" w:hAnsi="Times New Roman;sans-serif"/>
                  <w:b w:val="false"/>
                  <w:strike w:val="false"/>
                  <w:dstrike w:val="false"/>
                  <w:color w:val="000000"/>
                  <w:sz w:val="20"/>
                  <w:u w:val="none"/>
                  <w:effect w:val="none"/>
                </w:rPr>
                <w:t>77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57">
              <w:r>
                <w:rPr>
                  <w:rStyle w:val="InternetLink"/>
                  <w:rFonts w:ascii="Times New Roman;sans-serif" w:hAnsi="Times New Roman;sans-serif"/>
                  <w:b w:val="false"/>
                  <w:color w:val="0000FF"/>
                  <w:sz w:val="20"/>
                  <w:u w:val="single"/>
                </w:rPr>
                <w:t xml:space="preserve">Consolidated Statements of Operations and Comprehensive Loss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57">
              <w:r>
                <w:rPr>
                  <w:rStyle w:val="InternetLink"/>
                  <w:rFonts w:ascii="Times New Roman;sans-serif" w:hAnsi="Times New Roman;sans-serif"/>
                  <w:b w:val="false"/>
                  <w:strike w:val="false"/>
                  <w:dstrike w:val="false"/>
                  <w:color w:val="000000"/>
                  <w:sz w:val="20"/>
                  <w:u w:val="none"/>
                  <w:effect w:val="none"/>
                </w:rPr>
                <w:t>78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60">
              <w:r>
                <w:rPr>
                  <w:rStyle w:val="InternetLink"/>
                  <w:rFonts w:ascii="Times New Roman;sans-serif" w:hAnsi="Times New Roman;sans-serif"/>
                  <w:b w:val="false"/>
                  <w:color w:val="0000FF"/>
                  <w:sz w:val="20"/>
                  <w:u w:val="single"/>
                </w:rPr>
                <w:t xml:space="preserve">Consolidated Statements of Stockholders’ Equity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60">
              <w:r>
                <w:rPr>
                  <w:rStyle w:val="InternetLink"/>
                  <w:rFonts w:ascii="Times New Roman;sans-serif" w:hAnsi="Times New Roman;sans-serif"/>
                  <w:b w:val="false"/>
                  <w:strike w:val="false"/>
                  <w:dstrike w:val="false"/>
                  <w:color w:val="000000"/>
                  <w:sz w:val="20"/>
                  <w:u w:val="none"/>
                  <w:effect w:val="none"/>
                </w:rPr>
                <w:t>79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63">
              <w:r>
                <w:rPr>
                  <w:rStyle w:val="InternetLink"/>
                  <w:rFonts w:ascii="Times New Roman;sans-serif" w:hAnsi="Times New Roman;sans-serif"/>
                  <w:b w:val="false"/>
                  <w:color w:val="0000FF"/>
                  <w:sz w:val="20"/>
                  <w:u w:val="single"/>
                </w:rPr>
                <w:t xml:space="preserve">Consolidated Statements of Cash Flows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63">
              <w:r>
                <w:rPr>
                  <w:rStyle w:val="InternetLink"/>
                  <w:rFonts w:ascii="Times New Roman;sans-serif" w:hAnsi="Times New Roman;sans-serif"/>
                  <w:b w:val="false"/>
                  <w:strike w:val="false"/>
                  <w:dstrike w:val="false"/>
                  <w:color w:val="000000"/>
                  <w:sz w:val="20"/>
                  <w:u w:val="none"/>
                  <w:effect w:val="none"/>
                </w:rPr>
                <w:t>81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166">
              <w:r>
                <w:rPr>
                  <w:rStyle w:val="InternetLink"/>
                  <w:rFonts w:ascii="Times New Roman;sans-serif" w:hAnsi="Times New Roman;sans-serif"/>
                  <w:b w:val="false"/>
                  <w:color w:val="0000FF"/>
                  <w:sz w:val="20"/>
                  <w:u w:val="single"/>
                </w:rPr>
                <w:t>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81d3889754b6996e19de133659039_166">
              <w:r>
                <w:rPr>
                  <w:rStyle w:val="InternetLink"/>
                  <w:rFonts w:ascii="Times New Roman;sans-serif" w:hAnsi="Times New Roman;sans-serif"/>
                  <w:b w:val="false"/>
                  <w:strike w:val="false"/>
                  <w:dstrike w:val="false"/>
                  <w:color w:val="000000"/>
                  <w:sz w:val="20"/>
                  <w:u w:val="none"/>
                  <w:effect w:val="none"/>
                </w:rPr>
                <w:t>83</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Life360, Inc.</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Life360, Inc. (the “Company”) as of December 31, 2022, the related consolidated statements of operations and comprehensive loss, stockholders’ equity, and cash flows for each of the two years in the period ended December 31, 2022, and the related notes to the consolidated financial statements. In our opinion, the consolidated financial statements present fairly, in all material respects, the financial position of the Company at December 31, 2022, and the results of its operations and its cash flows for each of the two years in the period ended December 31, 2022,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2018 to 2023.</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23,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Life360,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Life360, Inc. and subsidiaries (the "Company") as of December 31, 2023, the related consolidated statements of operations and comprehensive loss,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29, 2024, expressed an unqualified opinion on the Company's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Subscription revenue — Refer to Note 2 to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a significant amount of its revenue from subscription sales. Subscriptions are considered single combined performance obligations and the subscription fees are fixed and recognized on a straight-line basis over the non-cancellable contractual term of the agreement. During the year ended December 31, 2023, the Company recognized subscription revenue of $220.8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subscription revenue as a critical audit matter given the significant volume of transactions. This required an increased extent of audit effort in performing procedures and evaluating audit evidence relating to the accuracy and occurrence of subscription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Company's subscription revenue included the following, among others: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tested the effectiveness of controls relating to the subscription revenue recognition process, including controls over the accuracy and occurrence of subscription revenue recognized.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tested the internal listing of subscriptions sold used by the Company to calculate subscription revenue by comparing the subscriptions sold to third-party information and cash receipts.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recalculated the amount of subscription revenue recorded using the internal listing of subscriptions sold.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917"/>
        <w:gridCol w:w="2314"/>
        <w:gridCol w:w="2309"/>
        <w:gridCol w:w="211"/>
        <w:gridCol w:w="826"/>
        <w:gridCol w:w="109"/>
        <w:gridCol w:w="109"/>
        <w:gridCol w:w="109"/>
        <w:gridCol w:w="109"/>
        <w:gridCol w:w="211"/>
        <w:gridCol w:w="826"/>
        <w:gridCol w:w="155"/>
      </w:tblGrid>
      <w:tr>
        <w:trPr/>
        <w:tc>
          <w:tcPr>
            <w:tcW w:w="2917"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 ($3,449 and $3,513 measured at fair value,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noncurrent ($0 and $3,425 measured at fair value,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11)</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100,000,000 shares authorized as of December 31, 2023 and December 31, 2022; 68,155,830 and 65,239,843 issued and outstanding as of December 31,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from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190"/>
        <w:gridCol w:w="1869"/>
        <w:gridCol w:w="1875"/>
        <w:gridCol w:w="219"/>
        <w:gridCol w:w="862"/>
        <w:gridCol w:w="109"/>
        <w:gridCol w:w="109"/>
        <w:gridCol w:w="109"/>
        <w:gridCol w:w="109"/>
        <w:gridCol w:w="219"/>
        <w:gridCol w:w="862"/>
        <w:gridCol w:w="109"/>
        <w:gridCol w:w="109"/>
        <w:gridCol w:w="109"/>
        <w:gridCol w:w="109"/>
        <w:gridCol w:w="240"/>
        <w:gridCol w:w="841"/>
        <w:gridCol w:w="156"/>
      </w:tblGrid>
      <w:tr>
        <w:trPr/>
        <w:tc>
          <w:tcPr>
            <w:tcW w:w="2190"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basic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 (Note 18)</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51,656,195 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diluted (Note 18)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51,656,195 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 except share and per share data)</w:t>
      </w:r>
    </w:p>
    <w:tbl>
      <w:tblPr>
        <w:tblW w:w="10831" w:type="dxa"/>
        <w:jc w:val="center"/>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53"/>
        <w:gridCol w:w="680"/>
        <w:gridCol w:w="183"/>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50,035,408 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warrants with convertible note (Note 9)</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conversion feature associated with convertible note (Note 9)</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issuance costs of $5,757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option awards assumed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60,221,799 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an acquisition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issuance costs of $1,050</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2,645,503 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settlement of contingent consideration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revesting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65,239,843 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935,007 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10205" w:type="dxa"/>
        <w:jc w:val="center"/>
        <w:tblInd w:w="0" w:type="dxa"/>
        <w:tblLayout w:type="fixed"/>
        <w:tblCellMar>
          <w:top w:w="28" w:type="dxa"/>
          <w:left w:w="28" w:type="dxa"/>
          <w:bottom w:w="28" w:type="dxa"/>
          <w:right w:w="28" w:type="dxa"/>
        </w:tblCellMar>
      </w:tblPr>
      <w:tblGrid>
        <w:gridCol w:w="790"/>
        <w:gridCol w:w="386"/>
        <w:gridCol w:w="388"/>
        <w:gridCol w:w="540"/>
        <w:gridCol w:w="541"/>
        <w:gridCol w:w="109"/>
        <w:gridCol w:w="109"/>
        <w:gridCol w:w="109"/>
        <w:gridCol w:w="109"/>
        <w:gridCol w:w="211"/>
        <w:gridCol w:w="361"/>
        <w:gridCol w:w="109"/>
        <w:gridCol w:w="109"/>
        <w:gridCol w:w="109"/>
        <w:gridCol w:w="109"/>
        <w:gridCol w:w="211"/>
        <w:gridCol w:w="826"/>
        <w:gridCol w:w="109"/>
        <w:gridCol w:w="109"/>
        <w:gridCol w:w="109"/>
        <w:gridCol w:w="109"/>
        <w:gridCol w:w="211"/>
        <w:gridCol w:w="406"/>
        <w:gridCol w:w="109"/>
        <w:gridCol w:w="109"/>
        <w:gridCol w:w="109"/>
        <w:gridCol w:w="109"/>
        <w:gridCol w:w="211"/>
        <w:gridCol w:w="846"/>
        <w:gridCol w:w="109"/>
        <w:gridCol w:w="109"/>
        <w:gridCol w:w="109"/>
        <w:gridCol w:w="109"/>
        <w:gridCol w:w="211"/>
        <w:gridCol w:w="256"/>
        <w:gridCol w:w="109"/>
        <w:gridCol w:w="109"/>
        <w:gridCol w:w="109"/>
        <w:gridCol w:w="109"/>
        <w:gridCol w:w="211"/>
        <w:gridCol w:w="826"/>
        <w:gridCol w:w="157"/>
      </w:tblGrid>
      <w:tr>
        <w:trPr/>
        <w:tc>
          <w:tcPr>
            <w:tcW w:w="7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68,155,830 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w:t>
      </w:r>
    </w:p>
    <w:tbl>
      <w:tblPr>
        <w:tblW w:w="10205" w:type="dxa"/>
        <w:jc w:val="left"/>
        <w:tblInd w:w="0" w:type="dxa"/>
        <w:tblLayout w:type="fixed"/>
        <w:tblCellMar>
          <w:top w:w="28" w:type="dxa"/>
          <w:left w:w="28" w:type="dxa"/>
          <w:bottom w:w="28" w:type="dxa"/>
          <w:right w:w="28" w:type="dxa"/>
        </w:tblCellMar>
      </w:tblPr>
      <w:tblGrid>
        <w:gridCol w:w="2284"/>
        <w:gridCol w:w="1948"/>
        <w:gridCol w:w="1961"/>
        <w:gridCol w:w="211"/>
        <w:gridCol w:w="783"/>
        <w:gridCol w:w="109"/>
        <w:gridCol w:w="109"/>
        <w:gridCol w:w="109"/>
        <w:gridCol w:w="109"/>
        <w:gridCol w:w="211"/>
        <w:gridCol w:w="783"/>
        <w:gridCol w:w="109"/>
        <w:gridCol w:w="109"/>
        <w:gridCol w:w="109"/>
        <w:gridCol w:w="109"/>
        <w:gridCol w:w="211"/>
        <w:gridCol w:w="783"/>
        <w:gridCol w:w="158"/>
      </w:tblGrid>
      <w:tr>
        <w:trPr/>
        <w:tc>
          <w:tcPr>
            <w:tcW w:w="2284"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in connection with revesting notes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revaluation of contingent consideration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 from investment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write-off</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in connection with membership benefit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advance on convertible note receivable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 escrow payment in connection with an acquisition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options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notes due from affiliates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borrowings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capital raise, net of $0, $1,050, and $5,757 of transaction costs, respectively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in advance of the issuance of convertible notes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Beginning of the Period</w:t>
            </w:r>
          </w:p>
        </w:tc>
        <w:tc>
          <w:tcPr>
            <w:tcW w:w="9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56,611 </w:t>
            </w:r>
          </w:p>
        </w:tc>
        <w:tc>
          <w:tcPr>
            <w:tcW w:w="1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10205" w:type="dxa"/>
        <w:jc w:val="left"/>
        <w:tblInd w:w="0" w:type="dxa"/>
        <w:tblLayout w:type="fixed"/>
        <w:tblCellMar>
          <w:top w:w="28" w:type="dxa"/>
          <w:left w:w="28" w:type="dxa"/>
          <w:bottom w:w="28" w:type="dxa"/>
          <w:right w:w="28" w:type="dxa"/>
        </w:tblCellMar>
      </w:tblPr>
      <w:tblGrid>
        <w:gridCol w:w="2276"/>
        <w:gridCol w:w="1998"/>
        <w:gridCol w:w="2003"/>
        <w:gridCol w:w="211"/>
        <w:gridCol w:w="721"/>
        <w:gridCol w:w="109"/>
        <w:gridCol w:w="109"/>
        <w:gridCol w:w="109"/>
        <w:gridCol w:w="109"/>
        <w:gridCol w:w="211"/>
        <w:gridCol w:w="721"/>
        <w:gridCol w:w="109"/>
        <w:gridCol w:w="109"/>
        <w:gridCol w:w="109"/>
        <w:gridCol w:w="109"/>
        <w:gridCol w:w="211"/>
        <w:gridCol w:w="826"/>
        <w:gridCol w:w="155"/>
      </w:tblGrid>
      <w:tr>
        <w:trPr/>
        <w:tc>
          <w:tcPr>
            <w:tcW w:w="227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connection with an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held as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settlement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recognized in connection with lease modification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recognized in connection with lease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convertible debt issued in connection with an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issued in connection with an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vested options assumed in connection with an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Relative fair value of warrants issue with convertible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convertible debt receivable in connection with an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conversion feature related to convertible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bifurcated derivative related to convertible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investing and financing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table of cash, cash and cash equivalents, and restricted cash reported within the balance sheets totaling the same such amounts shown above: </w:t>
      </w:r>
    </w:p>
    <w:tbl>
      <w:tblPr>
        <w:tblW w:w="8774" w:type="dxa"/>
        <w:jc w:val="left"/>
        <w:tblInd w:w="0" w:type="dxa"/>
        <w:tblLayout w:type="fixed"/>
        <w:tblCellMar>
          <w:top w:w="28" w:type="dxa"/>
          <w:left w:w="28" w:type="dxa"/>
          <w:bottom w:w="28" w:type="dxa"/>
          <w:right w:w="28" w:type="dxa"/>
        </w:tblCellMar>
      </w:tblPr>
      <w:tblGrid>
        <w:gridCol w:w="1717"/>
        <w:gridCol w:w="1507"/>
        <w:gridCol w:w="1515"/>
        <w:gridCol w:w="222"/>
        <w:gridCol w:w="759"/>
        <w:gridCol w:w="114"/>
        <w:gridCol w:w="109"/>
        <w:gridCol w:w="109"/>
        <w:gridCol w:w="109"/>
        <w:gridCol w:w="222"/>
        <w:gridCol w:w="759"/>
        <w:gridCol w:w="114"/>
        <w:gridCol w:w="109"/>
        <w:gridCol w:w="109"/>
        <w:gridCol w:w="109"/>
        <w:gridCol w:w="211"/>
        <w:gridCol w:w="82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940" w:type="dxa"/>
            <w:gridSpan w:val="12"/>
            <w:tcBorders/>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and cash equivalents, and restricted cash</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Life360, Inc. is a leading technology platform used to locate the people, pets and things that matter most to families. The Company was incorporated in the State of Delaware in 2007. The Company’s core offering, the Life360 mobile application, includes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Jiobit and Tile subscription services and hardware tracking devices and monetization arrangements with certain commercial third parties (“Data Revenue Partners”) through Lead Generation and license agreements including aggregated insights into the data collected from the Company’s user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Consolidation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and accompanying notes have been prepared in accordance with generally accepted accounting principles in the United States, or (“GAAP”), are presented in U.S. dollars unless otherwise stated, and include the accounts of Life360, Inc. and subsidiaries, Jiobit, Tile, Tile Europe Ltd and Tile Network Canada ULC. All inter-company transactions and balances have been eliminated.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 the determination of 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 allowance for credit losses, product returns, promotional and marketing allowances, inventory valuation,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w:t>
      </w:r>
      <w:r>
        <w:rPr>
          <w:color w:val="000000"/>
        </w:rPr>
        <w:t xml:space="preserve"> </w:t>
      </w:r>
      <w:r>
        <w:rPr>
          <w:rFonts w:ascii="Times New Roman;sans-serif" w:hAnsi="Times New Roman;sans-serif"/>
          <w:b w:val="false"/>
          <w:color w:val="000000"/>
          <w:sz w:val="20"/>
        </w:rPr>
        <w:t xml:space="preserve">(Topic 326):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ASU 2016-13 requires the use of the expected credit losses over the life impairment model of a broad scope of financial instruments including financial assets measured at amortized cost which includes loans, held-to-maturity debt securities and trade receivables, net investment in leases and certain off balance sheet credit exposures.</w:t>
      </w:r>
      <w:r>
        <w:rPr>
          <w:color w:val="000000"/>
        </w:rPr>
        <w:t xml:space="preserve"> </w:t>
      </w:r>
      <w:r>
        <w:rPr>
          <w:rFonts w:ascii="Times New Roman;sans-serif" w:hAnsi="Times New Roman;sans-serif"/>
          <w:b w:val="false"/>
          <w:color w:val="000000"/>
          <w:sz w:val="20"/>
        </w:rPr>
        <w:t xml:space="preserve">The guidance requires immediate recognition of estimated expected credit losses over the life of the financial instrument. The Company adopted ASU 2016-13 in January 1, 2023. The adoption of ASU 2016-13 did not have a material impact on its consolidated financial statements and related disclosures. </w:t>
      </w:r>
    </w:p>
    <w:p>
      <w:pPr>
        <w:pStyle w:val="TextBody"/>
        <w:bidi w:val="0"/>
        <w:spacing w:before="0" w:after="0"/>
        <w:jc w:val="both"/>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(Topic 805), </w:t>
      </w:r>
      <w:r>
        <w:rPr>
          <w:rFonts w:ascii="Times New Roman;sans-serif" w:hAnsi="Times New Roman;sans-serif"/>
          <w:b w:val="false"/>
          <w:i/>
          <w:color w:val="000000"/>
          <w:sz w:val="20"/>
        </w:rPr>
        <w:t>Accounting for Contract Assets and Contract Liabilities from Contracts with Customers</w:t>
      </w:r>
      <w:r>
        <w:rPr>
          <w:rFonts w:ascii="Times New Roman;sans-serif" w:hAnsi="Times New Roman;sans-serif"/>
          <w:b w:val="false"/>
          <w:color w:val="000000"/>
          <w:sz w:val="20"/>
        </w:rPr>
        <w:t xml:space="preserve">, which requires contract assets and contract liabilities (i.e., deferred revenue) acquired in a business combination to be recognized and measured by the acquirer on the acquisition date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recorded the acquired deferred revenue based on historical carrying value rather than fair value in the consolidated financial statements and related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In August 2020, the FASB issued ASU No. 2020-06, </w:t>
      </w:r>
      <w:r>
        <w:rPr>
          <w:rFonts w:ascii="Times New Roman;sans-serif" w:hAnsi="Times New Roman;sans-serif"/>
          <w:b w:val="false"/>
          <w:i/>
          <w:color w:val="000000"/>
          <w:sz w:val="20"/>
        </w:rPr>
        <w:t>Debt - Debt with Conversion and Other Options</w:t>
      </w:r>
      <w:r>
        <w:rPr>
          <w:color w:val="000000"/>
        </w:rPr>
        <w:t xml:space="preserve"> </w:t>
      </w:r>
      <w:r>
        <w:rPr>
          <w:rFonts w:ascii="Times New Roman;sans-serif" w:hAnsi="Times New Roman;sans-serif"/>
          <w:b w:val="false"/>
          <w:color w:val="000000"/>
          <w:sz w:val="20"/>
        </w:rPr>
        <w:t xml:space="preserve">(Subtopic 470-20): </w:t>
      </w:r>
      <w:r>
        <w:rPr>
          <w:rFonts w:ascii="Times New Roman;sans-serif" w:hAnsi="Times New Roman;sans-serif"/>
          <w:b w:val="false"/>
          <w:i/>
          <w:color w:val="000000"/>
          <w:sz w:val="20"/>
        </w:rPr>
        <w:t>Accounting for Convertible Instruments and Contracts in an Entity’s Own Equity</w:t>
      </w:r>
      <w:r>
        <w:rPr>
          <w:color w:val="000000"/>
        </w:rPr>
        <w:t xml:space="preserve"> </w:t>
      </w:r>
      <w:r>
        <w:rPr>
          <w:rFonts w:ascii="Times New Roman;sans-serif" w:hAnsi="Times New Roman;sans-serif"/>
          <w:b w:val="false"/>
          <w:color w:val="000000"/>
          <w:sz w:val="20"/>
        </w:rPr>
        <w:t xml:space="preserve">(“ASU 2020-06”), which simplifies the accounting for certain financial instruments with characteristics of liabilities and equity, including convertible instruments and contracts in an entity’s own equity. Among other changes, ASU 2020-06 removes from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2021, with early adoption permitted for reporting periods beginning after December 15, 2020 and can be adopted on either a fully retrospective or modified retrospective basis. On January 1, 2022, the Company adopted ASU 2020-06, and the standard did not have a material impact on its consolidated financial statements and related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not yet adopted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July 2023, the FASB issued ASU No. 2023-07 –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(Topic 280):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to improve the disclosures about a public entity’s reportable segments and address requests from investors for additional, more detailed information about a reportable segment’s expenses. The ASU 2023-07 introduces a new requirement to disclose significant segment expenses regularly provided to the chief operating decision maker (CODM) and extends certain annual disclosures to interim periods. The ASU improve reportable segment disclosure requirement through enhanced disclosures about significant segment expenses. The effective date for this amendment is for the fiscal year beginning after December 15, 2023, and interim periods within fiscal years beginning after December 15, 2024. Early adoption is permitted. This guidance will be applied retrospectively and effective for the Company starting in its annual disclosures for 2024 and interim periods starting 2025. The Company does not expect adoption of this ASU will have a material impact on its financial position or results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(Topic 740):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Subscription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subscription revenue includes related support and is comprised of Life360 mobile application subscriptions as well as subscription service plans for hardware tracking devices. The Company’s subscription contracts with customers are established at the point of mobile application download and purchase as indicated through acceptance of the Company’s Terms of Use. The Company’s subscription agreements generally have monthly or annual contractual terms and are billed and paid in advance.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subscription service plan for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 The Company recognizes revenues on a straight-line basis because the customer receives and consumes the benefits of the service ratably throughout the contractual period. The Company’s contracts are generally non-cancelable and do not provide for refunds to customers in the event of cancellations.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Hardware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hardware revenue from sale of hardware tracking devices and related accessories. For hardware and accessories, revenue is recognized when control is transferred to the customer.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The customers are billed upon shipment of hardware tracking devices. Sales taxes collected from customers and remitted to respective governmental authorities are recorded as liabilities and are not included in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hardware and the embedded operating system are one distinct performance obligation and are separate and distinct from the subscription service plans for hardware tracking device. The Company’s embedded operating system is a component of the hardware that is integral to the functionality of the hardware and only together produce the essential functionality of the hardware.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Life360 announced a new partnership agreement with a key Data Partner, a prominent provider of aggregated analytics for the retail ecosystem, in which executives of the Company have an immaterial ownership interest through a passive investment vehicle. As part of this partnership, the Data Partner will provide data processing and analytics services to Life360 and will have the right to commercialize aggregated data related to place visits during the term of the agreement. The partnership agreement includes fixed monthly revenue amounts for access to aggregated data for the duration of the three-year agreement. The Company has a stand ready obligation to provide aggregated user data over the term of the partnership agreement and recognizes revenue ratably based on the fixed monthly amounts. In connection with the agreement, the Data Partner issued the Company a warrant to purchase up to 5,100,167 shares of Series C Preferred Stock of the Data Partner at an exercise price of $4.90 per share (the “Investment”). The Company estimates and includes variable consideration related to the Investment, in the transaction price at contract inception to the extent it is probable that a significant reversal in the amount of cumulative revenue recognized will not occur when the uncertainty associated with the variable consideration is subsequently resolved. The partnership agreement has standard payment terms that require payment within 30 days.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of the warrant is considered non-cash consideration, which the Company measured at fair value on the date of issuance. The warrant was valued using a Black-Scholes option pricing model, and the fair value of approximately $5.4 million has been included as variable consideration in the transaction price of the data partnership agreement, and was included in prepaid expenses and other assets, noncurrent on the Company’s consolidated balance sheets. The warrant is amortized over the life of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data revenue also includes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Those customers historically had the ability to access certain portions of the Company’s user data over the contract term, in which certain customers pay a fee based on average active monthly users. In 2023, the Company has fully moved from Data MSAs to a single aggregated data sales model. The Company recognized fees for legacy data MSAs over time based on the fee per average active monthly user as the customer simultaneously received and consumed the benefit of the services that the Company provided over the term of the agreement.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Data revenue was $21.6 million, $23.2 million, and $18.7 million for the years ended December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revenue was $3.9 million, $3.9 million, and $6.4 million for the years ended December 31,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Obligations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contracts with customers contain multiple performance obligations, primarily hardware and subscription services for hardware tracking devices and hardware bundles (bundled Life360 subscription and hardware offerings). For these contracts, the Company accounts for individual performance obligations separately if they are distinct and distinct within the context of the contract.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multiple factors including consumer behaviors, the Company’s internal pricing model, and relative costs incurred plus a normal margin. The factors may vary depending upon the facts and circumstances related to each performance obligation. </w:t>
      </w:r>
    </w:p>
    <w:p>
      <w:pPr>
        <w:pStyle w:val="TextBody"/>
        <w:bidi w:val="0"/>
        <w:spacing w:lineRule="auto" w:line="288" w:before="120" w:after="283"/>
        <w:jc w:val="both"/>
        <w:rPr/>
      </w:pPr>
      <w:r>
        <w:rPr>
          <w:rFonts w:ascii="Times New Roman;sans-serif" w:hAnsi="Times New Roman;sans-serif"/>
          <w:b w:val="false"/>
          <w:color w:val="000000"/>
          <w:sz w:val="20"/>
        </w:rPr>
        <w:t xml:space="preserve">Our hardware sales arrangements typically contain multiple performance obligations, consisting of the hardware sale, application usage, hardware support, and in some cases, subscriptions. The Company provides warranties of up to twelve months for products with manufacturing defects or hardware failures. As part of Tile Premium subscriptions, the Company offers warranties to end-users covering the contractual service period (up to 3 years) for products with manufacturing defects or hardware failures. The warranties are not sold separately and do not represent separate performance obligations. Payment terms and conditions vary by contract type and are billed either in advance or have a standard payment term generally requiring payment within 30 to 60 days. Therefore, such warranties are accounted for under ASC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and the estimated costs of warranty claims are generally accrued as cost of revenue in the period the related revenue is recorded.</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Variable Consideration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hardware revenue at the net sales price, which includes certain estimates for variable consideration with its customers. The Company’s variable consideration is primarily in the form of promotional agreements and marketing development fund agreements in relation to the hardware tracking devices.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agreements are designed to enhance the sale of the Company’s products and consist of incentives to the Company’s customers. The Company estimates variable consideration using the expected value method. All forms of variable consideration are recorded as contra-revenue and a corresponding liability in its consolidated balance sheets. These estimates are based on the Company’s incentive program experience, historical and projected sales data and current contractual terms. The remaining portion of this liability is based on contractual amounts and does not require estimation.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Remaining Performance Obligations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$67.9 million as of December 31, 2023, of which the Company expects 85% to be recognized over the next twelve months.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includes all direct costs to deliver the Company’s subscription services. These costs include personnel-related costs associated with the Company’s cloud-based infrastructure and the Company’s customer support organization, third-party hosting fees, software, and maintenance costs, outside services associated with the delivery of the Company’s subscription services,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other revenue consists of cloud-based hosting costs, as well as costs of product operations functions and personnel-related costs associated with the Company’s data platform. Personnel-related expenses include salaries, bonuses, benefits, and stock-based compensation for operations personnel.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Costs Capitalized to Obtain Contracts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capitalized to obtain contracts comprise of revenue-share payments in connection with annual subscription sales of the Company’s mobile application on each respective third-party store platform as well as sales commissions paid to employees on hardware sales. Costs that are incremental and directly related to new customer sales contracts are accrued and capitalized upon execution of a non-cancelable customer contract, and subsequently expensed over an estimated period of benefit, which is currently estimated to be two to three years depending on the subscription type. The Company has elected the practical expedient under ASC 340-40 to expense incremental costs of obtaining a contract if the amortization periods is one year or less.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and Allowances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net of allowance for credit losses. The allowance for credit losses is based on the Company’s assessment of the collectibility of accounts by considering the age of each outstanding invoice, the collection history of each customer, and an evaluation of current expected risk of credit loss based on current economic conditions and reasonable and supportable forecasts of future economic conditions over the life of the receivable. The Company assesses collectibility by reviewing accounts receivable on an aggregated basis where similar characteristics exist and on an individual basis when specific customers with collectibility issues are identified.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as of December 31, 2023 and December 31, 2022 and total bad debt expense for the years ended December 31, 2023, 2022 and 2021 was immaterial.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Inventory and Contract Manufacturing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comprised of raw materials and finished goods related to hardware tracking devices and accessories. Inventory is stated at the lower of cost or net realizable value on a weighted average basis. The Company assesses the valuation of inventory and writes down the value for estimated excess and obsolete inventory based upon estimates of future demand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outsources a significant portion of its manufacturing to independent contract manufacturers in Asia. A significant portion of its cost of revenue consists of inventory purchased from these manufacturers. The Company’s inventory is held at third party warehouses and contract manufacturer premises.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Risk and Significant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operations, and financial results are subject to various risks and uncertainties including adverse global economic conditions, and competition in the Company’s industry that could adversely affect the Company’s business, financial conditions, results of operations and cash flows. These important factors, among others, could cause actual results to differ materially from any future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Deposits in Excess of Federally Insured Limits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maintains its cash balances at multiple financial institutions that are insured by the Federal Deposit Insurance Corporation (“FDIC”) up to $250,000. As of December 31, 2023, the Company’s cash balances exceeded amounts insured by the FDIC. As a result, the Company may be impacted by adverse developments within the financial services industry which have in the past and may in the future threaten our ability to access our existing cash and cash equivalents and could have a material adverse effect on our business and financial condition. While the Company has not experienced any losses in such accounts, the recent failure of Silicon Valley Bank (“SVB”) exposed the Company to significant credit risk prior to the completion by the FDIC of the resolution of SVB in a manner that fully protected all depositors. As of December 31, 2023, the Company has transferred the majority of its accounts to one or more alternate depository institutions, the financial position of which management believes does not expose the Company to significant credit risk.</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Major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primarily consist of individual consumers, who subscribe to the Company’s product offerings through market exchanges operated by our third-party platform providers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derives its accounts receivable from revenue earned from customers located in the United States and internationally. Channel and retail partners account for the majority of the Company’s revenue and accounts receivable for all periods presented.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information about the Company’s Channel Partners that processed our overall revenue transactions and retail partners who represented greater than 10% of our revenue and accounts receivable, respectively: </w:t>
      </w:r>
    </w:p>
    <w:tbl>
      <w:tblPr>
        <w:tblW w:w="4199" w:type="dxa"/>
        <w:jc w:val="left"/>
        <w:tblInd w:w="0" w:type="dxa"/>
        <w:tblLayout w:type="fixed"/>
        <w:tblCellMar>
          <w:top w:w="28" w:type="dxa"/>
          <w:left w:w="28" w:type="dxa"/>
          <w:bottom w:w="28" w:type="dxa"/>
          <w:right w:w="28" w:type="dxa"/>
        </w:tblCellMar>
      </w:tblPr>
      <w:tblGrid>
        <w:gridCol w:w="582"/>
        <w:gridCol w:w="510"/>
        <w:gridCol w:w="512"/>
        <w:gridCol w:w="180"/>
        <w:gridCol w:w="181"/>
        <w:gridCol w:w="271"/>
        <w:gridCol w:w="109"/>
        <w:gridCol w:w="109"/>
        <w:gridCol w:w="109"/>
        <w:gridCol w:w="180"/>
        <w:gridCol w:w="181"/>
        <w:gridCol w:w="271"/>
        <w:gridCol w:w="109"/>
        <w:gridCol w:w="109"/>
        <w:gridCol w:w="109"/>
        <w:gridCol w:w="180"/>
        <w:gridCol w:w="18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51" w:type="dxa"/>
        <w:jc w:val="left"/>
        <w:tblInd w:w="0" w:type="dxa"/>
        <w:tblLayout w:type="fixed"/>
        <w:tblCellMar>
          <w:top w:w="28" w:type="dxa"/>
          <w:left w:w="28" w:type="dxa"/>
          <w:bottom w:w="28" w:type="dxa"/>
          <w:right w:w="28" w:type="dxa"/>
        </w:tblCellMar>
      </w:tblPr>
      <w:tblGrid>
        <w:gridCol w:w="582"/>
        <w:gridCol w:w="510"/>
        <w:gridCol w:w="512"/>
        <w:gridCol w:w="254"/>
        <w:gridCol w:w="254"/>
        <w:gridCol w:w="632"/>
        <w:gridCol w:w="254"/>
        <w:gridCol w:w="254"/>
        <w:gridCol w:w="254"/>
        <w:gridCol w:w="254"/>
        <w:gridCol w:w="254"/>
        <w:gridCol w:w="737"/>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Gross Accounts Receivable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Partner A</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Supplier Concentration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costs related to research and development which primarily consist of personnel-related costs for our engineering, product, and design teams, material costs of building and developing prototypes for new products, mobile app development and allocated overhead.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Sales and Marketing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consist primarily of personnel-related costs, brand marketing costs, lead generation costs, sales incentives, sponsorships and amortization of acquired intangibles. Revenue-share payments to Channel Partners in connection with annual subscription sales of the Company’s mobile application on Channel Partner store platforms are considered to be incremental and recoverable costs of obtaining a contract with a customer and are deferred and typically amortized over an estimated period of benefit of two to three years depending on the subscription type.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Advertising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expenses are recorded in the period in which cost is incurred, and are presented within sales and marketing expense on the consolidated statements of operations. Advertising expense was $28.6 million, $17.0 million, and $7.1 million for the years ended December 31, 2023, 2022 and 2021, respectively.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Cash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of $1.7 million and $14.9 million were restricted from withdrawal as of December 31, 2023 and December 31, 2022, respectively. In April 2023, the Company released and paid $13.1 million of restricted cash which was previously held in indemnity escrow as part of the acquisition of Tile in January 2022 (the “Tile Acquisition”) for general representations and warranties, fifteen months after the acquisition date. Refer to Note 8, "Balance Sheet Components" for further details.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cash, noncurrent balance of $1.7 million as of December 31, 2023 relates to the letters of credit issued on behalf of the Company for indebtedness to trade creditors incurred in the ordinary course of business. The restricted cash, noncurrent balance of $1.6 million as of December 31, 2022 relates to funds placed in an indemnity escrow fund after the acquisition of Jiobit, and facility lease agreements.</w:t>
      </w: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levels of Inputs that may be used to measure fair value are as follows: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Observable inputs, such as quoted prices in active markets for identical assets or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prices, such as quoted prices for similar assets or liabilities, or other inputs that are observable or can be corroborated by observable market data for substantially the full term of the assets or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Valuations based on unobservable inputs to the valuation methodology and including data about assumptions market participants would use in pricing the asset or liability based on the best information available under the circumstances.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recorded carrying amounts of cash and cash equivalents, prepaid expenses, accounts payable, and accounts receivable as of December 31, 2023 and December 31, 2022, approximate fair value due to their short-term nature. Refer to Note 6, "Fair Value Measurements" for further details.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which includes construction-in-process that is capitalized and depreciated when placed into service, have estimated useful lives ranging from three to ten years. Leasehold improvements are amortized on a straight-line basis over the lesser of the estimated useful life or the term of the lease with expected renewals.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other income (expense), net in the period realized.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Internal Use Software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development costs related to internal use software projects, the Company capitalizes costs incurred during the application development stage. Costs related to preliminary project activities and post implementation activities are expensed as incurred. Internal use software is amortized on a straight-line basis over its estimated useful life of three years. The Company capitalized $1.7 million and $0.7 million during the years ended December 31, 2023 and 2022, respectively. Capitalized costs are included within intangible assets, net on the consolidated balance sheet.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Lease Obligations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8, "Balance Sheet Components" for additional lease disclosures.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Restructuring and Other Charges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generally includes significant actions involving employee-related severance charges, facilities consolidation and contract termination costs. Employee-related severance charges are largely based upon substantive severance plans, while some are mandated requirements in certain foreign jurisdictions. Severance costs generally include severance payments, outplacement services, health insurance coverage and legal costs. These charges are reflected in the period when both the actions are probable, at the balance sheet date, and the amounts are reasonably estimable. Right-of-use asset impairments are recognized on the date the premises have been vacated or the Company have ceased-use of the leased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12, 2023, the Company announced a workforce restructure which resulted in a reduction of the Company’s workforce of approximately 14%. The Company incurred $4.0 million in non-recurring personnel and severance related expenses in connection with the restructuring during the year ended December 31, 2023. As of December 31, 2023, all expenses incurred had been paid.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costs are recognized in the consolidated statements of operations for the year ended December 31, 2023 as follows (in thousands):</w:t>
      </w:r>
    </w:p>
    <w:tbl>
      <w:tblPr>
        <w:tblW w:w="5903" w:type="dxa"/>
        <w:jc w:val="left"/>
        <w:tblInd w:w="0" w:type="dxa"/>
        <w:tblLayout w:type="fixed"/>
        <w:tblCellMar>
          <w:top w:w="28" w:type="dxa"/>
          <w:left w:w="28" w:type="dxa"/>
          <w:bottom w:w="28" w:type="dxa"/>
          <w:right w:w="28" w:type="dxa"/>
        </w:tblCellMar>
      </w:tblPr>
      <w:tblGrid>
        <w:gridCol w:w="886"/>
        <w:gridCol w:w="777"/>
        <w:gridCol w:w="782"/>
        <w:gridCol w:w="109"/>
        <w:gridCol w:w="109"/>
        <w:gridCol w:w="697"/>
        <w:gridCol w:w="2035"/>
        <w:gridCol w:w="50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Personnel and Severance Related Expenses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Combinations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net tangible and intangible assets acquired. Goodwill amounts are not amortized but are tested for impairment at least annually during the fourth quarter, or more frequently if indicators of impairment exist. The Company tests for goodwill impairment annually as of October 31 of each year. There was no impairment of goodwill during the years ended December 31,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Intangible Assets, net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including acquired, trade names, customer relationships, acquired developed technology, and internal use software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years ended December 31, 2023, 2022 and 2021.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years ended December 31, 2023, 2022 and 2021.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Investment</w:t>
      </w:r>
    </w:p>
    <w:p>
      <w:pPr>
        <w:pStyle w:val="TextBody"/>
        <w:bidi w:val="0"/>
        <w:spacing w:lineRule="auto" w:line="288" w:before="120" w:after="283"/>
        <w:jc w:val="both"/>
        <w:rPr/>
      </w:pPr>
      <w:r>
        <w:rPr>
          <w:rFonts w:ascii="Times New Roman;sans-serif" w:hAnsi="Times New Roman;sans-serif"/>
          <w:b w:val="false"/>
          <w:color w:val="000000"/>
          <w:sz w:val="20"/>
        </w:rPr>
        <w:t>Investment relates to non-marketable equity securities held in a privately held company without a readily determinable market value. Non-marketable equity securities consist of warrants held to purchase shares of preferred stock of a Data Revenue Partner, refer to “Revenue Recognition</w:t>
      </w:r>
      <w:r>
        <w:rPr>
          <w:color w:val="000000"/>
        </w:rPr>
        <w:t xml:space="preserve">” </w:t>
      </w:r>
      <w:r>
        <w:rPr>
          <w:rFonts w:ascii="Times New Roman;sans-serif" w:hAnsi="Times New Roman;sans-serif"/>
          <w:b w:val="false"/>
          <w:color w:val="000000"/>
          <w:sz w:val="20"/>
        </w:rPr>
        <w:t xml:space="preserve">section above for additional information regarding the Company’s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a non-operating expense to the Company’s consolidated statements of operations and comprehensive loss. There have been no adjustments to the basis of the Company’s Investment to date. The carrying value of the Company’s Investment is included in prepaid expenses and other assets, noncurrent in the consolidated balance sheets. As of December 31, 2023 and 2022, the Company’s Investment was $5.5 million and $5.5 million, respectively.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and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The Company did not issue any stock options or restricted stock that had performance based vesting conditions for the year ended December 31, 2023. Refer to Note 14, "Equity Incentive Plan" for further details.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subsidiary is the respective local currency. Translation adjustments arising from the use of a differing exchange rate from period to period are included in accumulated other comprehensive income (loss) within the consolidated statements of stockholders’ equity. Foreign currency transaction gains and losses are included in interest and other, net in the consolidated statements of operations and were not material during the years ended December 31, 2023, 2022 or 2021. All assets and liabilities denominated in a foreign currency are translated into U.S. dollars at the exchange rate on the balance sheet date. Revenue and expenses are translated at the average exchange rate during the period.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uncertain tax positions in income tax expense. The Company did not accrue any interest or penalties related to income tax positions during the years ended December 31, 2023, 2022, and 2021. Refer to Note 11, "Commitments and Contingencies" for more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basic and diluted net loss per share in conformity with ASC 260, “Earnings per Share.” Basic net loss per share is calculated by dividing the net loss by the weighted-average number of shares of common stock outstanding during the period without consideration for potentially dilutive securities as they do not share in losses. Under the if-converted method, shares related to convertible notes, to the extent dilutive, are assumed to be converted into common stock at the beginning of the period. For purposes of this calculation, options to purchase common stock, common stock warrants, and unvested restricted stock units are considered common stock equivalents but have been excluded from the calculation of diluted net loss per share as the effect is antidilutive. Refer to Note 18, "Net Loss Per Share"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Segment and Geographic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geography is generally based on the address of the customer as defined in the contract with the customer. The following table sets forth revenue by geographic region (in thousands):</w:t>
      </w:r>
    </w:p>
    <w:tbl>
      <w:tblPr>
        <w:tblW w:w="6807" w:type="dxa"/>
        <w:jc w:val="left"/>
        <w:tblInd w:w="0" w:type="dxa"/>
        <w:tblLayout w:type="fixed"/>
        <w:tblCellMar>
          <w:top w:w="28" w:type="dxa"/>
          <w:left w:w="28" w:type="dxa"/>
          <w:bottom w:w="28" w:type="dxa"/>
          <w:right w:w="28" w:type="dxa"/>
        </w:tblCellMar>
      </w:tblPr>
      <w:tblGrid>
        <w:gridCol w:w="966"/>
        <w:gridCol w:w="849"/>
        <w:gridCol w:w="855"/>
        <w:gridCol w:w="211"/>
        <w:gridCol w:w="826"/>
        <w:gridCol w:w="109"/>
        <w:gridCol w:w="109"/>
        <w:gridCol w:w="109"/>
        <w:gridCol w:w="109"/>
        <w:gridCol w:w="211"/>
        <w:gridCol w:w="826"/>
        <w:gridCol w:w="109"/>
        <w:gridCol w:w="109"/>
        <w:gridCol w:w="109"/>
        <w:gridCol w:w="109"/>
        <w:gridCol w:w="211"/>
        <w:gridCol w:w="8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4.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the Company’s deferred revenue (in thousands):</w:t>
      </w:r>
    </w:p>
    <w:tbl>
      <w:tblPr>
        <w:tblW w:w="5664" w:type="dxa"/>
        <w:jc w:val="left"/>
        <w:tblInd w:w="0" w:type="dxa"/>
        <w:tblLayout w:type="fixed"/>
        <w:tblCellMar>
          <w:top w:w="28" w:type="dxa"/>
          <w:left w:w="28" w:type="dxa"/>
          <w:bottom w:w="28" w:type="dxa"/>
          <w:right w:w="28" w:type="dxa"/>
        </w:tblCellMar>
      </w:tblPr>
      <w:tblGrid>
        <w:gridCol w:w="1164"/>
        <w:gridCol w:w="1021"/>
        <w:gridCol w:w="1025"/>
        <w:gridCol w:w="211"/>
        <w:gridCol w:w="721"/>
        <w:gridCol w:w="109"/>
        <w:gridCol w:w="109"/>
        <w:gridCol w:w="109"/>
        <w:gridCol w:w="109"/>
        <w:gridCol w:w="211"/>
        <w:gridCol w:w="721"/>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 in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recognized $30.1 million of revenue that was included in the deferred revenue balance as of December 31, 2022. During the year ended December 31, 2022, the Company recognized $13.9 million of revenue that was included in the deferred revenue balance as of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Costs Capitalized to Obtain Contracts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the Company’s costs capitalized to obtain contracts, net (in thousands):</w:t>
      </w:r>
    </w:p>
    <w:tbl>
      <w:tblPr>
        <w:tblW w:w="7029" w:type="dxa"/>
        <w:jc w:val="left"/>
        <w:tblInd w:w="0" w:type="dxa"/>
        <w:tblLayout w:type="fixed"/>
        <w:tblCellMar>
          <w:top w:w="28" w:type="dxa"/>
          <w:left w:w="28" w:type="dxa"/>
          <w:bottom w:w="28" w:type="dxa"/>
          <w:right w:w="28" w:type="dxa"/>
        </w:tblCellMar>
      </w:tblPr>
      <w:tblGrid>
        <w:gridCol w:w="1733"/>
        <w:gridCol w:w="1522"/>
        <w:gridCol w:w="1530"/>
        <w:gridCol w:w="211"/>
        <w:gridCol w:w="616"/>
        <w:gridCol w:w="109"/>
        <w:gridCol w:w="109"/>
        <w:gridCol w:w="109"/>
        <w:gridCol w:w="109"/>
        <w:gridCol w:w="211"/>
        <w:gridCol w:w="616"/>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contracts,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costs capitalized to obtain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costs to obtain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costs to obtain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contracts,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Fair Value Measurements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these instruments as of December 31, 2023 and December 31, 2022 are classified as follows (in thousands): </w:t>
      </w:r>
    </w:p>
    <w:tbl>
      <w:tblPr>
        <w:tblW w:w="7260" w:type="dxa"/>
        <w:jc w:val="left"/>
        <w:tblInd w:w="0" w:type="dxa"/>
        <w:tblLayout w:type="fixed"/>
        <w:tblCellMar>
          <w:top w:w="28" w:type="dxa"/>
          <w:left w:w="28" w:type="dxa"/>
          <w:bottom w:w="28" w:type="dxa"/>
          <w:right w:w="28" w:type="dxa"/>
        </w:tblCellMar>
      </w:tblPr>
      <w:tblGrid>
        <w:gridCol w:w="899"/>
        <w:gridCol w:w="790"/>
        <w:gridCol w:w="801"/>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72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9" w:type="dxa"/>
            <w:gridSpan w:val="18"/>
            <w:tcBorders/>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10)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0" w:type="dxa"/>
        <w:jc w:val="left"/>
        <w:tblInd w:w="0" w:type="dxa"/>
        <w:tblLayout w:type="fixed"/>
        <w:tblCellMar>
          <w:top w:w="28" w:type="dxa"/>
          <w:left w:w="28" w:type="dxa"/>
          <w:bottom w:w="28" w:type="dxa"/>
          <w:right w:w="28" w:type="dxa"/>
        </w:tblCellMar>
      </w:tblPr>
      <w:tblGrid>
        <w:gridCol w:w="899"/>
        <w:gridCol w:w="790"/>
        <w:gridCol w:w="801"/>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72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10)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the Level 3 instruments were as follows (in thousands): </w:t>
      </w:r>
    </w:p>
    <w:tbl>
      <w:tblPr>
        <w:tblW w:w="5841" w:type="dxa"/>
        <w:jc w:val="left"/>
        <w:tblInd w:w="0" w:type="dxa"/>
        <w:tblLayout w:type="fixed"/>
        <w:tblCellMar>
          <w:top w:w="28" w:type="dxa"/>
          <w:left w:w="28" w:type="dxa"/>
          <w:bottom w:w="28" w:type="dxa"/>
          <w:right w:w="28" w:type="dxa"/>
        </w:tblCellMar>
      </w:tblPr>
      <w:tblGrid>
        <w:gridCol w:w="1238"/>
        <w:gridCol w:w="1088"/>
        <w:gridCol w:w="1093"/>
        <w:gridCol w:w="233"/>
        <w:gridCol w:w="516"/>
        <w:gridCol w:w="122"/>
        <w:gridCol w:w="109"/>
        <w:gridCol w:w="109"/>
        <w:gridCol w:w="109"/>
        <w:gridCol w:w="216"/>
        <w:gridCol w:w="632"/>
        <w:gridCol w:w="113"/>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 xml:space="preserve">liability </w:t>
              <w:br/>
              <w:t>(Note 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551" w:type="dxa"/>
            <w:gridSpan w:val="8"/>
            <w:tcBorders/>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convertible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 (Note 9)</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15" w:type="dxa"/>
        <w:jc w:val="left"/>
        <w:tblInd w:w="0" w:type="dxa"/>
        <w:tblLayout w:type="fixed"/>
        <w:tblCellMar>
          <w:top w:w="28" w:type="dxa"/>
          <w:left w:w="28" w:type="dxa"/>
          <w:bottom w:w="28" w:type="dxa"/>
          <w:right w:w="28" w:type="dxa"/>
        </w:tblCellMar>
      </w:tblPr>
      <w:tblGrid>
        <w:gridCol w:w="2042"/>
        <w:gridCol w:w="1795"/>
        <w:gridCol w:w="1803"/>
        <w:gridCol w:w="211"/>
        <w:gridCol w:w="616"/>
        <w:gridCol w:w="109"/>
        <w:gridCol w:w="109"/>
        <w:gridCol w:w="109"/>
        <w:gridCol w:w="109"/>
        <w:gridCol w:w="211"/>
        <w:gridCol w:w="721"/>
        <w:gridCol w:w="109"/>
        <w:gridCol w:w="109"/>
        <w:gridCol w:w="109"/>
        <w:gridCol w:w="109"/>
        <w:gridCol w:w="243"/>
        <w:gridCol w:w="711"/>
        <w:gridCol w:w="127"/>
        <w:gridCol w:w="109"/>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br/>
              <w:t>(Note 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revesting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 (Note 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settlement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recorded a loss associated with the change in fair value of the derivative liability and convertible notes of $0.1 million and $0.7 million, respectively. For the year ended December 31, 2022, the Company had recorded a gain associated with the change in fair value of the derivative liability and convertible notes of $1.3 million and $1.8 million, respectively. The amounts have been recorded in other income (expense), net in the consolidated statement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had recorded a gain associated with the change in fair value of the contingent consideration of $5.3 million. The amounts have been recorded in general and administrative expense in the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Jio, Inc.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2021, the Company completed the acquisition of Jiobit, a privately held consumer electronics company that specializes in the production of low powered sensors and wearables. The company is based in Chicago, Illinois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 technology and customer relationships to accelerate the Company’s own product development and augment the Company with a critical mass of talent with strong tracking/wearables experience. The aggregate purchase consideration was $43.2 million, of which $7.3 million was paid in cash, $5.9 of contingent consideration was payable upon reaching certain operational goals for 2021 and 2022, $11.6 million representing the fair value of the September 2021 Convertible Notes, $4.0 million representing forgiveness of Jiobit’s convertible debt held by the Company, $0.6 million comprised of 25,245 vested common stock options issued to Jiobit employees, and $13.8 million comprised of 674,516 shares of the Company’s common stock. Of the consideration transferred, $0.2 million in cash was placed in an indemnity escrow fund to be held for eighteen months after the acquisition date for general representations and warranties.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8120" w:type="dxa"/>
        <w:jc w:val="left"/>
        <w:tblInd w:w="0" w:type="dxa"/>
        <w:tblLayout w:type="fixed"/>
        <w:tblCellMar>
          <w:top w:w="28" w:type="dxa"/>
          <w:left w:w="28" w:type="dxa"/>
          <w:bottom w:w="28" w:type="dxa"/>
          <w:right w:w="28" w:type="dxa"/>
        </w:tblCellMar>
      </w:tblPr>
      <w:tblGrid>
        <w:gridCol w:w="1060"/>
        <w:gridCol w:w="928"/>
        <w:gridCol w:w="936"/>
        <w:gridCol w:w="290"/>
        <w:gridCol w:w="850"/>
        <w:gridCol w:w="374"/>
        <w:gridCol w:w="109"/>
        <w:gridCol w:w="109"/>
        <w:gridCol w:w="109"/>
        <w:gridCol w:w="290"/>
        <w:gridCol w:w="850"/>
        <w:gridCol w:w="374"/>
        <w:gridCol w:w="109"/>
        <w:gridCol w:w="109"/>
        <w:gridCol w:w="109"/>
        <w:gridCol w:w="255"/>
        <w:gridCol w:w="874"/>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September 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fair value per share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price per share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exercise (in years)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dividend yield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$6.2 million was excluded from purchase consideration which consists of $1.9 million comprised of 91,217 shares of the Company’s common stock (“Revesting Stock” – Note 14) and $1.6 million comprised of convertible notes (“Revesting Notes”) issued to key employees, retention bonuses of $1.0 million, and $0.5 million comprised of 43,083 unvested common stock options issued to Jiobit employees (“Unvested Replacement Awards” – Note 14). The Company incurred transaction related expenses of $1.0 million, which were expensed as incurred and recorded under general and administrative expenses in the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Revesting Stock and Revesting Notes are restricted and vest with continuous employment of certain key employees over a 3-year period subsequent to the acquisition. The Revesting Stock is recognized in general and administrative expense as the Revesting Stock vests. In April 2022, one of the key employees exited the Company, and so the entirety of their Revesting Notes and Revesting Stock were forfeited. The Company recorded $0.3 million credit to stock-based compensation included in general and administrative expense related to the forfeiture of their Revesting Stock and $0.3 million credit to compensation included in general and administrative expense related to the forfeiture of their Revesting Notes. In January 2023, the other key employee exited the Company. As part of such employee’s separation agreement, the Company recorded $0.2 million to compensation included in general and administrative expense related to their Revesting Stock. Additionally, in accordance with their separation agreement, their Revesting Notes are due in their entirety at the maturity date and the Company recorded $0.1 million of compensation expense included in general and administrative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$0.2 million, $0.2 million and $0.2 million as stock-based compensation included in general and administrative expense related to the vesting of the Revesting Stock for the years ended December 31, 2023, 2022 and 2021,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$0.1 million, $0.2 million and $0.2 million as general and administrative and expense related to the changes in fair value of Revesting Notes during the years ended December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retention bonuses are recognized in prepaid expenses and other assets, noncurrent in the consolidated balance sheet and vest monthly over a period of 24 months and require continuous employment. The expense associated with the Unvested Replacement Awards is recognized as stock-based compensation ratably over the remaining service period. As of December 31, 2023, all retention bonuses have been recognized and none remain outstanding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estimated fair value of the 2021 and 2022 Contingent Consideration as of December 31, 2021 was $6.3 million and $3.1 million, respectively. The Company recorded a $5.3 million gain and $3.6 million loss within general and administrative expense related to the change in the fair value of the Contingent Consideration during the years ended December 31, 2022 and 2021, respectively. The 2021 and 2022 Contingent Consideration was settled during the year ended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Board of Directors and previous Jiobit shareholders approved an amendment to the 2021 Contingent Consideration. The 2021 Contingent Consideration was amended to 50% of the total potential amount of which 376,573 shares of the Company’s common stock were issued to shareholders. The fair value of the common stock of $4.2 million was recorded to additional paid-in capital and the contingent consideration liability was reversed. As of December 31, 2022, the Contingent Consideration was zero as it was fully settled in April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The total purchase price of $43.2 million was allocated to the net tangible and intangible assets and liabilities based on their estimated fair values on the acquisition date and the excess was recorded to goodwill.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assets acquired and liabilities assumed in connection with the acquisition were recorded at their fair value on the date of acquisition as follows (in thousands): </w:t>
      </w:r>
    </w:p>
    <w:tbl>
      <w:tblPr>
        <w:tblW w:w="3756" w:type="dxa"/>
        <w:jc w:val="left"/>
        <w:tblInd w:w="0" w:type="dxa"/>
        <w:tblLayout w:type="fixed"/>
        <w:tblCellMar>
          <w:top w:w="28" w:type="dxa"/>
          <w:left w:w="28" w:type="dxa"/>
          <w:bottom w:w="28" w:type="dxa"/>
          <w:right w:w="28" w:type="dxa"/>
        </w:tblCellMar>
      </w:tblPr>
      <w:tblGrid>
        <w:gridCol w:w="966"/>
        <w:gridCol w:w="848"/>
        <w:gridCol w:w="856"/>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identifiable intangible assets acquired (in thousands) and their estimated useful lives as of the date of acquisition: </w:t>
      </w:r>
    </w:p>
    <w:tbl>
      <w:tblPr>
        <w:tblW w:w="5418" w:type="dxa"/>
        <w:jc w:val="left"/>
        <w:tblInd w:w="0" w:type="dxa"/>
        <w:tblLayout w:type="fixed"/>
        <w:tblCellMar>
          <w:top w:w="28" w:type="dxa"/>
          <w:left w:w="28" w:type="dxa"/>
          <w:bottom w:w="28" w:type="dxa"/>
          <w:right w:w="28" w:type="dxa"/>
        </w:tblCellMar>
      </w:tblPr>
      <w:tblGrid>
        <w:gridCol w:w="1011"/>
        <w:gridCol w:w="886"/>
        <w:gridCol w:w="892"/>
        <w:gridCol w:w="211"/>
        <w:gridCol w:w="616"/>
        <w:gridCol w:w="109"/>
        <w:gridCol w:w="109"/>
        <w:gridCol w:w="109"/>
        <w:gridCol w:w="109"/>
        <w:gridCol w:w="400"/>
        <w:gridCol w:w="400"/>
        <w:gridCol w:w="566"/>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w:t>
              <w:br/>
              <w:t xml:space="preserve">Life </w:t>
              <w:br/>
              <w:t>(in years)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identified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estimated and recorded a net deferred tax liability of $0.1 million after offsetting the acquired available tax attributes with the intangible assets shown in the table above. Refer to Note 15 “Income Taxes” for discussion of the partial release of the Company’s valuation allowance relating to the deferred tax liability.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Jiobit are included in the accompanying consolidated statements of operations and comprehensive loss from the date of acquisition.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Jio, Inc. Pro Forma Financial Information (Unaudited)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unaudited supplemental pro forma financial information as if the acquisition of Jio, Inc. had occurred on January 1, 2021. The unaudited pro forma results set forth below are for informational purposes only and are based on estimates and assumptions that have been made solely for purposes of developing such pro forma results, including: (i) amortization associated with acquired intangible assets and (ii) the inclusion of acquisition costs as of the period presented. The unaudited pro forma results do not give effect to management adjustments, including the potential impact of current financial conditions or any anticipated revenue enhancements, cost savings or operating synergies that may have resulted from the transaction. The unaudited pro forma results set forth below are not necessarily indicative of what results would have been had the acquisition been consummated on January 1, 2021. </w:t>
      </w:r>
    </w:p>
    <w:p>
      <w:pPr>
        <w:pStyle w:val="TextBody"/>
        <w:bidi w:val="0"/>
        <w:spacing w:before="0" w:after="0"/>
        <w:jc w:val="both"/>
        <w:rPr/>
      </w:pPr>
      <w:r>
        <w:rPr/>
      </w:r>
    </w:p>
    <w:tbl>
      <w:tblPr>
        <w:tblW w:w="3173" w:type="dxa"/>
        <w:jc w:val="left"/>
        <w:tblInd w:w="0" w:type="dxa"/>
        <w:tblLayout w:type="fixed"/>
        <w:tblCellMar>
          <w:top w:w="28" w:type="dxa"/>
          <w:left w:w="28" w:type="dxa"/>
          <w:bottom w:w="28" w:type="dxa"/>
          <w:right w:w="28" w:type="dxa"/>
        </w:tblCellMar>
      </w:tblPr>
      <w:tblGrid>
        <w:gridCol w:w="332"/>
        <w:gridCol w:w="291"/>
        <w:gridCol w:w="293"/>
        <w:gridCol w:w="367"/>
        <w:gridCol w:w="1438"/>
        <w:gridCol w:w="18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Tile, Inc.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2022, the Company completed the acquisition of Tile, Inc., a privately held consumer electronics company. The company is based in San Mateo, California and was founded in 2012. Tile is a smart location company whose products include a Bluetooth enabled device and related accessories that work in tandem with the Tile application (the “Application”), to enable its customers to locate lost or misplaced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$35.0 million was excluded from purchase consideration which consists of retention compensation of 1,499,349 shares of retention restricted stock units valued at $29.6 million, $0.4 million related to 38,730 vested common stock options issued to Tile employees as stock-based compensation on the acquisition date and change in control bonuses of $3.0 million which were recognized as compensation expense on the consolidated statements of operations on the acquisition date. The Company incurred transaction related expenses of $1.7 million, which were recorded under general and administrative expenses in the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1,499,349 shares of retention restricted stock units, 787,446 shares valued at $15.6 million contained performance vesting criteria based on the achievement of certain company milestones, and were scheduled to vest over a two year period. As of March 31, 2022, the vesting criteria had not been met and all 787,446 restricted stock units were forfeited. The remaining retention restricted stock units of 711,903 shares vest over a two to four year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was based on the Company’s achievement of certain targets for revenue and earnings before interest, taxes, depreciation, and amortization for the three months ended December 31, 2021 and the three months ended March 31, 2022. The Company ascribed no value to the contingent consideration.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were based on estimates of fair value available and were finalized as of January 5,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made a measurement period adjustment to the preliminary purchase price allocation which included: (i) a decrease to goodwill of $0.5 million, (ii) an increase to deferred revenue of $1.3 million, and (iii) an increase to inventory of $0.8 million. The measurement period adjustment was made to reflect facts and circumstances that existed as of the acquisition date and is reflected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assets acquired and liabilities assumed in connection with the acquisition were recorded at their fair value on the date of acquisition, inclusive of the measurement period adjustments, as follows (in thousands): </w:t>
      </w:r>
    </w:p>
    <w:tbl>
      <w:tblPr>
        <w:tblW w:w="5016" w:type="dxa"/>
        <w:jc w:val="left"/>
        <w:tblInd w:w="0" w:type="dxa"/>
        <w:tblLayout w:type="fixed"/>
        <w:tblCellMar>
          <w:top w:w="28" w:type="dxa"/>
          <w:left w:w="28" w:type="dxa"/>
          <w:bottom w:w="28" w:type="dxa"/>
          <w:right w:w="28" w:type="dxa"/>
        </w:tblCellMar>
      </w:tblPr>
      <w:tblGrid>
        <w:gridCol w:w="1379"/>
        <w:gridCol w:w="1212"/>
        <w:gridCol w:w="1234"/>
        <w:gridCol w:w="211"/>
        <w:gridCol w:w="82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identifiable intangible assets acquired and their estimated useful lives as of the date of acquisition: </w:t>
      </w:r>
    </w:p>
    <w:tbl>
      <w:tblPr>
        <w:tblW w:w="5605" w:type="dxa"/>
        <w:jc w:val="left"/>
        <w:tblInd w:w="0" w:type="dxa"/>
        <w:tblLayout w:type="fixed"/>
        <w:tblCellMar>
          <w:top w:w="28" w:type="dxa"/>
          <w:left w:w="28" w:type="dxa"/>
          <w:bottom w:w="28" w:type="dxa"/>
          <w:right w:w="28" w:type="dxa"/>
        </w:tblCellMar>
      </w:tblPr>
      <w:tblGrid>
        <w:gridCol w:w="1011"/>
        <w:gridCol w:w="886"/>
        <w:gridCol w:w="892"/>
        <w:gridCol w:w="228"/>
        <w:gridCol w:w="779"/>
        <w:gridCol w:w="118"/>
        <w:gridCol w:w="109"/>
        <w:gridCol w:w="109"/>
        <w:gridCol w:w="109"/>
        <w:gridCol w:w="399"/>
        <w:gridCol w:w="399"/>
        <w:gridCol w:w="566"/>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w:t>
              <w:br/>
              <w:t>Life</w:t>
              <w:br/>
              <w:t>(in years)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identified intangible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Tile are included in the accompanying consolidated statements of operations and comprehensive loss from the date of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Tile, Inc. Pro Forma Financial Information (Unaudited)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unaudited supplemental pro forma financial information as if the acquisition of Tile, Inc. had occurred on January 1, 2021. The unaudited pro forma results set forth below are for informational purposes only and are based on estimates and assumptions that have been made solely for purposes of developing such pro forma results, including: (i) amortization associated with acquired intangible assets; (ii) to adjust for amortization expense recorded by Tile, Inc. associated with deferred costs of revenue which were not acquired by the Company; (iii) recognition of post-combination stock-based compensation expense; (iv) the inclusion of acquisition costs as of the period presented; and (v) the associated tax impact of the acquisition and the unaudited pro forma adjustments. The unaudited pro forma results do not give effect to management adjustments, including the potential impact of current financial conditions or any anticipated revenue enhancements, cost savings or operating synergies that may have resulted from the transaction and are not necessarily indicative of what results would have been had the acquisition been consummated on January 1, 2021. Given the acquisition of Tile, Inc. took place on January 5, 2022, substantially all of the financial results of Tile, Inc. have been incorporated into the consolidated financial results for the year ended December 31, 2022. The difference between actual financial results and pro forma results is immaterial for the year ended December 31, 2022. The results are consolidated for December 31, 2023, hence there is no difference between pro forma and actual results. </w:t>
      </w:r>
    </w:p>
    <w:tbl>
      <w:tblPr>
        <w:tblW w:w="3580" w:type="dxa"/>
        <w:jc w:val="left"/>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 in thousands)</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net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Accounts receivable, net consists of the following (in thousands): </w:t>
      </w:r>
    </w:p>
    <w:tbl>
      <w:tblPr>
        <w:tblW w:w="4748" w:type="dxa"/>
        <w:jc w:val="left"/>
        <w:tblInd w:w="0" w:type="dxa"/>
        <w:tblLayout w:type="fixed"/>
        <w:tblCellMar>
          <w:top w:w="28" w:type="dxa"/>
          <w:left w:w="28" w:type="dxa"/>
          <w:bottom w:w="28" w:type="dxa"/>
          <w:right w:w="28" w:type="dxa"/>
        </w:tblCellMar>
      </w:tblPr>
      <w:tblGrid>
        <w:gridCol w:w="831"/>
        <w:gridCol w:w="730"/>
        <w:gridCol w:w="733"/>
        <w:gridCol w:w="211"/>
        <w:gridCol w:w="721"/>
        <w:gridCol w:w="109"/>
        <w:gridCol w:w="109"/>
        <w:gridCol w:w="109"/>
        <w:gridCol w:w="109"/>
        <w:gridCol w:w="211"/>
        <w:gridCol w:w="72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thousands): </w:t>
      </w:r>
    </w:p>
    <w:tbl>
      <w:tblPr>
        <w:tblW w:w="3744" w:type="dxa"/>
        <w:jc w:val="left"/>
        <w:tblInd w:w="0" w:type="dxa"/>
        <w:tblLayout w:type="fixed"/>
        <w:tblCellMar>
          <w:top w:w="28" w:type="dxa"/>
          <w:left w:w="28" w:type="dxa"/>
          <w:bottom w:w="28" w:type="dxa"/>
          <w:right w:w="28" w:type="dxa"/>
        </w:tblCellMar>
      </w:tblPr>
      <w:tblGrid>
        <w:gridCol w:w="505"/>
        <w:gridCol w:w="443"/>
        <w:gridCol w:w="447"/>
        <w:gridCol w:w="211"/>
        <w:gridCol w:w="616"/>
        <w:gridCol w:w="109"/>
        <w:gridCol w:w="109"/>
        <w:gridCol w:w="109"/>
        <w:gridCol w:w="109"/>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raw materials inventory write-off of $0.9 million for the year ended December 31, 2023. The write-off resulted from a decision made during the three months ended March 31, 2023 to discontinue a product line in the Company’s product roadmap. The raw materials have no alternative use and have been fully written off for the year ended December 31, 2023. There were no additional inventory write-offs for the year ended December 31, 2023, and there were no inventory write-offs recorded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(in thousands): </w:t>
      </w:r>
    </w:p>
    <w:tbl>
      <w:tblPr>
        <w:tblW w:w="6278" w:type="dxa"/>
        <w:jc w:val="left"/>
        <w:tblInd w:w="0" w:type="dxa"/>
        <w:tblLayout w:type="fixed"/>
        <w:tblCellMar>
          <w:top w:w="28" w:type="dxa"/>
          <w:left w:w="28" w:type="dxa"/>
          <w:bottom w:w="28" w:type="dxa"/>
          <w:right w:w="28" w:type="dxa"/>
        </w:tblCellMar>
      </w:tblPr>
      <w:tblGrid>
        <w:gridCol w:w="1423"/>
        <w:gridCol w:w="1248"/>
        <w:gridCol w:w="1258"/>
        <w:gridCol w:w="211"/>
        <w:gridCol w:w="721"/>
        <w:gridCol w:w="109"/>
        <w:gridCol w:w="109"/>
        <w:gridCol w:w="109"/>
        <w:gridCol w:w="109"/>
        <w:gridCol w:w="211"/>
        <w:gridCol w:w="61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certain cloud platform and customer service program costs. Other receivables primarily consist of refunds owed to the Company and other amounts which the Company may receive in future months.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consists of the following (in thousands): </w:t>
      </w:r>
    </w:p>
    <w:tbl>
      <w:tblPr>
        <w:tblW w:w="5108" w:type="dxa"/>
        <w:jc w:val="left"/>
        <w:tblInd w:w="0" w:type="dxa"/>
        <w:tblLayout w:type="fixed"/>
        <w:tblCellMar>
          <w:top w:w="28" w:type="dxa"/>
          <w:left w:w="28" w:type="dxa"/>
          <w:bottom w:w="28" w:type="dxa"/>
          <w:right w:w="28" w:type="dxa"/>
        </w:tblCellMar>
      </w:tblPr>
      <w:tblGrid>
        <w:gridCol w:w="1146"/>
        <w:gridCol w:w="1005"/>
        <w:gridCol w:w="1013"/>
        <w:gridCol w:w="211"/>
        <w:gridCol w:w="466"/>
        <w:gridCol w:w="109"/>
        <w:gridCol w:w="109"/>
        <w:gridCol w:w="109"/>
        <w:gridCol w:w="109"/>
        <w:gridCol w:w="211"/>
        <w:gridCol w:w="46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manufacturing equipment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Depreciation expense was $0.1 million, $0.5 million, and $0.5 million for the years ended December 31, 2023, 2022, and 2021</w:t>
      </w:r>
      <w:r>
        <w:rPr>
          <w:rFonts w:ascii="Arial;sans-serif" w:hAnsi="Arial;sans-serif"/>
          <w:b w:val="false"/>
          <w:color w:val="000000"/>
          <w:sz w:val="24"/>
        </w:rPr>
        <w:t xml:space="preserve">, </w:t>
      </w:r>
      <w:r>
        <w:rPr>
          <w:rFonts w:ascii="Times New Roman;sans-serif" w:hAnsi="Times New Roman;sans-serif"/>
          <w:b w:val="false"/>
          <w:color w:val="000000"/>
          <w:sz w:val="20"/>
        </w:rPr>
        <w:t xml:space="preserve">respectively.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Assets, noncurrent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noncurrent consist of the following (in thousands): </w:t>
      </w:r>
    </w:p>
    <w:tbl>
      <w:tblPr>
        <w:tblW w:w="6533" w:type="dxa"/>
        <w:jc w:val="left"/>
        <w:tblInd w:w="0" w:type="dxa"/>
        <w:tblLayout w:type="fixed"/>
        <w:tblCellMar>
          <w:top w:w="28" w:type="dxa"/>
          <w:left w:w="28" w:type="dxa"/>
          <w:bottom w:w="28" w:type="dxa"/>
          <w:right w:w="28" w:type="dxa"/>
        </w:tblCellMar>
      </w:tblPr>
      <w:tblGrid>
        <w:gridCol w:w="1552"/>
        <w:gridCol w:w="1366"/>
        <w:gridCol w:w="1371"/>
        <w:gridCol w:w="211"/>
        <w:gridCol w:w="616"/>
        <w:gridCol w:w="109"/>
        <w:gridCol w:w="109"/>
        <w:gridCol w:w="109"/>
        <w:gridCol w:w="109"/>
        <w:gridCol w:w="211"/>
        <w:gridCol w:w="616"/>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assets,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 primarily consist of cloud platform costs. Investment relates to warrants to purchase shares of preferred stock of a current Data Revenue Partner. Refer to Note 2, "Summary of Significant Accounting Policies"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under a non-cancelable operating lease with a remaining lease term of up to 2.9 years, includes the option to extend the lease. In May 2023, the Company amended its lease agreement for its headquarter office space located in San Mateo, California. The amendment extended the lease term to November 2026, reduced the Company’s leased office space and reduced the monthly lease payments. As a result, the associated right-of-use asset and lease liability were remeasured and the right-of-use asset and lease liability increased by $1.1 million and $1.1 million, respectively, upon the remeasurement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recognized an operating lease right-of-use (ROU) asset and short term lease liabilities of $1.0 million and $0.3 million in “Operating lease right-of-use asset” and “Accrued expenses and other current liabilities,” respectively, on the Company’s consolidated balance sheet as of December 31, 2023. The Company has recognized a long-term lease liability of $0.7 million in “Other liabilities, noncurrent” on the Company’s consolidated balance sheet as of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recognized an operating lease ROU asset, and short term lease liabilities of $0.8 million and $0.8 million in “Operating lease right-of-use asset” and “Accrued expenses and other current liabilities,” respectively, on the Company’s consolidated balance sheet as of December 31, 2022. No long-term lease liabilities were recorded within “Other liabilities, noncurrent,” on the Company’s consolidated balance sheet as of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finance leases as of December 31, 2023 or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costs were as follows (in thousands): </w:t>
      </w:r>
    </w:p>
    <w:tbl>
      <w:tblPr>
        <w:tblW w:w="5382" w:type="dxa"/>
        <w:jc w:val="left"/>
        <w:tblInd w:w="0" w:type="dxa"/>
        <w:tblLayout w:type="fixed"/>
        <w:tblCellMar>
          <w:top w:w="28" w:type="dxa"/>
          <w:left w:w="28" w:type="dxa"/>
          <w:bottom w:w="28" w:type="dxa"/>
          <w:right w:w="28" w:type="dxa"/>
        </w:tblCellMar>
      </w:tblPr>
      <w:tblGrid>
        <w:gridCol w:w="733"/>
        <w:gridCol w:w="644"/>
        <w:gridCol w:w="648"/>
        <w:gridCol w:w="211"/>
        <w:gridCol w:w="466"/>
        <w:gridCol w:w="109"/>
        <w:gridCol w:w="109"/>
        <w:gridCol w:w="109"/>
        <w:gridCol w:w="109"/>
        <w:gridCol w:w="211"/>
        <w:gridCol w:w="616"/>
        <w:gridCol w:w="109"/>
        <w:gridCol w:w="109"/>
        <w:gridCol w:w="109"/>
        <w:gridCol w:w="109"/>
        <w:gridCol w:w="211"/>
        <w:gridCol w:w="61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Amounts include short-term leases, which are immaterial.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payments for operating leases included in cash from operating activities were $0.9 million, $2.4 million and $1.6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 except lease term):</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47"/>
        <w:gridCol w:w="2187"/>
        <w:gridCol w:w="2199"/>
        <w:gridCol w:w="327"/>
        <w:gridCol w:w="957"/>
        <w:gridCol w:w="169"/>
        <w:gridCol w:w="109"/>
        <w:gridCol w:w="109"/>
        <w:gridCol w:w="109"/>
        <w:gridCol w:w="378"/>
        <w:gridCol w:w="834"/>
        <w:gridCol w:w="280"/>
      </w:tblGrid>
      <w:tr>
        <w:trPr/>
        <w:tc>
          <w:tcPr>
            <w:tcW w:w="254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6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(included in accrued expenses and other current liabilities)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(included in other liabilities, noncurrent)</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for operating lease (in years)</w:t>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used to measure the present value of the operating lease liabilities was 5.0%,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the Company’s operating lease liabilities as of December 31, 2023, were as follows (in thousands): </w:t>
      </w:r>
    </w:p>
    <w:tbl>
      <w:tblPr>
        <w:tblW w:w="4531" w:type="dxa"/>
        <w:jc w:val="left"/>
        <w:tblInd w:w="0" w:type="dxa"/>
        <w:tblLayout w:type="fixed"/>
        <w:tblCellMar>
          <w:top w:w="28" w:type="dxa"/>
          <w:left w:w="28" w:type="dxa"/>
          <w:bottom w:w="28" w:type="dxa"/>
          <w:right w:w="28" w:type="dxa"/>
        </w:tblCellMar>
      </w:tblPr>
      <w:tblGrid>
        <w:gridCol w:w="1150"/>
        <w:gridCol w:w="1008"/>
        <w:gridCol w:w="1022"/>
        <w:gridCol w:w="290"/>
        <w:gridCol w:w="848"/>
        <w:gridCol w:w="213"/>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Intangible Assets,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consists of the following (in thousands): </w:t>
      </w:r>
    </w:p>
    <w:p>
      <w:pPr>
        <w:pStyle w:val="TextBody"/>
        <w:bidi w:val="0"/>
        <w:spacing w:before="0" w:after="0"/>
        <w:jc w:val="left"/>
        <w:rPr/>
      </w:pPr>
      <w:r>
        <w:rPr/>
      </w:r>
    </w:p>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845"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457"/>
        <w:gridCol w:w="1373"/>
        <w:gridCol w:w="239"/>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$9.0 million, $8.7 million, and $0.4 million for the years ended December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estimated remaining amortization expense for intangible assets by fiscal year is as follows (in thousands): </w:t>
      </w:r>
    </w:p>
    <w:tbl>
      <w:tblPr>
        <w:tblW w:w="3950" w:type="dxa"/>
        <w:jc w:val="left"/>
        <w:tblInd w:w="0" w:type="dxa"/>
        <w:tblLayout w:type="fixed"/>
        <w:tblCellMar>
          <w:top w:w="28" w:type="dxa"/>
          <w:left w:w="28" w:type="dxa"/>
          <w:bottom w:w="28" w:type="dxa"/>
          <w:right w:w="28" w:type="dxa"/>
        </w:tblCellMar>
      </w:tblPr>
      <w:tblGrid>
        <w:gridCol w:w="1033"/>
        <w:gridCol w:w="907"/>
        <w:gridCol w:w="924"/>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lives of the Company’s acquired intangible assets are as follows:</w:t>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719"/>
        <w:gridCol w:w="632"/>
        <w:gridCol w:w="644"/>
        <w:gridCol w:w="336"/>
        <w:gridCol w:w="336"/>
        <w:gridCol w:w="336"/>
        <w:gridCol w:w="336"/>
        <w:gridCol w:w="336"/>
        <w:gridCol w:w="336"/>
        <w:gridCol w:w="336"/>
        <w:gridCol w:w="336"/>
        <w:gridCol w:w="476"/>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and Other Current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liabilities consist of the following (in thousands): </w:t>
      </w:r>
    </w:p>
    <w:tbl>
      <w:tblPr>
        <w:tblW w:w="6714" w:type="dxa"/>
        <w:jc w:val="left"/>
        <w:tblInd w:w="0" w:type="dxa"/>
        <w:tblLayout w:type="fixed"/>
        <w:tblCellMar>
          <w:top w:w="28" w:type="dxa"/>
          <w:left w:w="28" w:type="dxa"/>
          <w:bottom w:w="28" w:type="dxa"/>
          <w:right w:w="28" w:type="dxa"/>
        </w:tblCellMar>
      </w:tblPr>
      <w:tblGrid>
        <w:gridCol w:w="1543"/>
        <w:gridCol w:w="1353"/>
        <w:gridCol w:w="1364"/>
        <w:gridCol w:w="211"/>
        <w:gridCol w:w="721"/>
        <w:gridCol w:w="109"/>
        <w:gridCol w:w="109"/>
        <w:gridCol w:w="109"/>
        <w:gridCol w:w="109"/>
        <w:gridCol w:w="211"/>
        <w:gridCol w:w="72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promotions and discounts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primarily relate to warranty liabilities related to the Company’s hardware tracking devices, inventory received not yet billed, and sales tax payable.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Escrow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escrow liability as of December 31, 2022 relates to restricted cash associated with the Tile Acquisition, $13.1 million, and Jiobit Acquisition, $0.2 million, placed in an indemnity escrow fund to be held for fifteen months and eighteen months, respectively, after the acquisition date for general representations and warranties. The initial balances were included within total consideration transferred. As of December 31, 2023, all escrow liabilities had been released and paid as scheduled.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Liabilities, noncurrent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 of the following (in thousands):</w:t>
      </w:r>
    </w:p>
    <w:tbl>
      <w:tblPr>
        <w:tblW w:w="4764" w:type="dxa"/>
        <w:jc w:val="left"/>
        <w:tblInd w:w="0" w:type="dxa"/>
        <w:tblLayout w:type="fixed"/>
        <w:tblCellMar>
          <w:top w:w="28" w:type="dxa"/>
          <w:left w:w="28" w:type="dxa"/>
          <w:bottom w:w="28" w:type="dxa"/>
          <w:right w:w="28" w:type="dxa"/>
        </w:tblCellMar>
      </w:tblPr>
      <w:tblGrid>
        <w:gridCol w:w="1021"/>
        <w:gridCol w:w="898"/>
        <w:gridCol w:w="901"/>
        <w:gridCol w:w="211"/>
        <w:gridCol w:w="466"/>
        <w:gridCol w:w="109"/>
        <w:gridCol w:w="109"/>
        <w:gridCol w:w="109"/>
        <w:gridCol w:w="109"/>
        <w:gridCol w:w="211"/>
        <w:gridCol w:w="46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Convertible Notes</w:t>
      </w:r>
    </w:p>
    <w:p>
      <w:pPr>
        <w:pStyle w:val="TextBody"/>
        <w:bidi w:val="0"/>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July 2021 Convertible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issued the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unamortized amount and net carrying value of the July 2021 Convertible Notes is $1.1 million and $1.1 million, respectively. The amount by which July 2021 Convertible Notes if-converted value exceeds its principal is $0.6 million as of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unamortized amount and net carrying value of the July 2021 Convertible Notes was $1.5 million and $0.6 million, respectively. The amount by which July 2021 Convertible Notes if-converted value exceeds its principal was $0.4 million as of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five years (Warrant Tranche 2), and 44,106 shares of the Company’s common stock which is exercisable starting twelve months from the issuance date with an exercise price of $11.96 per share and a term of five years (Warrant Tranche 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warrants was determined using the Black-Scholes option-pricing method, with the following assumptions: </w:t>
      </w:r>
    </w:p>
    <w:tbl>
      <w:tblPr>
        <w:tblW w:w="6962" w:type="dxa"/>
        <w:jc w:val="left"/>
        <w:tblInd w:w="0" w:type="dxa"/>
        <w:tblLayout w:type="fixed"/>
        <w:tblCellMar>
          <w:top w:w="28" w:type="dxa"/>
          <w:left w:w="28" w:type="dxa"/>
          <w:bottom w:w="28" w:type="dxa"/>
          <w:right w:w="28" w:type="dxa"/>
        </w:tblCellMar>
      </w:tblPr>
      <w:tblGrid>
        <w:gridCol w:w="1075"/>
        <w:gridCol w:w="945"/>
        <w:gridCol w:w="949"/>
        <w:gridCol w:w="211"/>
        <w:gridCol w:w="616"/>
        <w:gridCol w:w="271"/>
        <w:gridCol w:w="109"/>
        <w:gridCol w:w="109"/>
        <w:gridCol w:w="109"/>
        <w:gridCol w:w="211"/>
        <w:gridCol w:w="616"/>
        <w:gridCol w:w="271"/>
        <w:gridCol w:w="109"/>
        <w:gridCol w:w="109"/>
        <w:gridCol w:w="109"/>
        <w:gridCol w:w="211"/>
        <w:gridCol w:w="616"/>
        <w:gridCol w:w="316"/>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of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 total of $0.4 million, $0.4 million, and $0.2 million in non-cash interest expense related to the July 2021 Convertible Notes for the years ended December 31, 2023, 2022, and 2021,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issued convertible notes, September 2021 Convertible Notes, in connection with an acquisition. Refer to Note 7, "Business Combinations" for further details.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notes, current and noncurrent consist of the following (in thousands): </w:t>
      </w:r>
    </w:p>
    <w:tbl>
      <w:tblPr>
        <w:tblW w:w="5213" w:type="dxa"/>
        <w:jc w:val="left"/>
        <w:tblInd w:w="0" w:type="dxa"/>
        <w:tblLayout w:type="fixed"/>
        <w:tblCellMar>
          <w:top w:w="28" w:type="dxa"/>
          <w:left w:w="28" w:type="dxa"/>
          <w:bottom w:w="28" w:type="dxa"/>
          <w:right w:w="28" w:type="dxa"/>
        </w:tblCellMar>
      </w:tblPr>
      <w:tblGrid>
        <w:gridCol w:w="1076"/>
        <w:gridCol w:w="944"/>
        <w:gridCol w:w="949"/>
        <w:gridCol w:w="211"/>
        <w:gridCol w:w="616"/>
        <w:gridCol w:w="109"/>
        <w:gridCol w:w="109"/>
        <w:gridCol w:w="109"/>
        <w:gridCol w:w="109"/>
        <w:gridCol w:w="211"/>
        <w:gridCol w:w="61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Revesting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Revesting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future principal payments for all convertible notes as of December 31, 2023 were as follows (in thousands): </w:t>
      </w:r>
    </w:p>
    <w:tbl>
      <w:tblPr>
        <w:tblW w:w="3335" w:type="dxa"/>
        <w:jc w:val="left"/>
        <w:tblInd w:w="0" w:type="dxa"/>
        <w:tblLayout w:type="fixed"/>
        <w:tblCellMar>
          <w:top w:w="28" w:type="dxa"/>
          <w:left w:w="28" w:type="dxa"/>
          <w:bottom w:w="28" w:type="dxa"/>
          <w:right w:w="28" w:type="dxa"/>
        </w:tblCellMar>
      </w:tblPr>
      <w:tblGrid>
        <w:gridCol w:w="851"/>
        <w:gridCol w:w="745"/>
        <w:gridCol w:w="758"/>
        <w:gridCol w:w="211"/>
        <w:gridCol w:w="61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outstanding</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10. Derivative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issuance of the convertible notes, the Company recorded a derivative liability of $0.7 million at fair value using inputs classified as Level 3 in the fair value hierarchy. As of December 31, 2023 and 2022, the fair value of the derivative liability was $0.2 million and $0.1 million, respectively. Refer to Note 6, "Fair Value Measurements"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commitments with our cloud platform provider and contract manufacturer that are non-cancellable. As of December 31, 2023, future non-cancellable commitments under these arrangements were as follows (in thousands):</w:t>
      </w:r>
    </w:p>
    <w:p>
      <w:pPr>
        <w:pStyle w:val="TextBody"/>
        <w:bidi w:val="0"/>
        <w:spacing w:before="0" w:after="0"/>
        <w:jc w:val="left"/>
        <w:rPr/>
      </w:pPr>
      <w:r>
        <w:rPr/>
      </w:r>
    </w:p>
    <w:tbl>
      <w:tblPr>
        <w:tblW w:w="3651" w:type="dxa"/>
        <w:jc w:val="left"/>
        <w:tblInd w:w="0" w:type="dxa"/>
        <w:tblLayout w:type="fixed"/>
        <w:tblCellMar>
          <w:top w:w="28" w:type="dxa"/>
          <w:left w:w="28" w:type="dxa"/>
          <w:bottom w:w="28" w:type="dxa"/>
          <w:right w:w="28" w:type="dxa"/>
        </w:tblCellMar>
      </w:tblPr>
      <w:tblGrid>
        <w:gridCol w:w="890"/>
        <w:gridCol w:w="781"/>
        <w:gridCol w:w="789"/>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Indemnification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reasonable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On March 12, 2019, a former alleged competitor of Tile, Cellwitch, Inc, filed a patent infringement claim against Tile in the U.S. District Court, Northern District of California, seeking permanent injunction and damages. On December 18, 2019, Tile filed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(the “Final Written Decision”), finding a majority of the claims invalid. The Final Written Decision was affirmed by the U.S. Court of Appeals for the Federal Circuit on May 13, 2022. The case is currently in trial court. The claim construction hearing took place on January 18, 2024, and the parties currently await the court's order from that hearing. At this time, a loss is not probable nor estimable, so no legal accrual has been recorded on our consolidated balance sheets as of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purported class action (E.S. v. Life360, Inc.) alleging a single cause of action for unjust enrichment was filed against Life360 on January 12, 2023 seeking equitable relief purportedly arising out of Life360’s historic data sales. Plaintiff dismissed these claims on November 3, 2023 and we settled the matter for an immaterial amount.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additional litigation reserve was recorded on our consolidated balance sheets as of December 31, 2023. No litigation reserve was recorded on our consolidated balance sheets as of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 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the Company had 108,592 shares of common stock subject to the Company’s right to repurchase.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issued a total of 2,645,503 common shares raising proceeds before issuance costs of $33.3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shares of common stock, on an as if converted basis, for issuance as follows:</w:t>
      </w:r>
    </w:p>
    <w:tbl>
      <w:tblPr>
        <w:tblW w:w="8727" w:type="dxa"/>
        <w:jc w:val="left"/>
        <w:tblInd w:w="0" w:type="dxa"/>
        <w:tblLayout w:type="fixed"/>
        <w:tblCellMar>
          <w:top w:w="28" w:type="dxa"/>
          <w:left w:w="28" w:type="dxa"/>
          <w:bottom w:w="28" w:type="dxa"/>
          <w:right w:w="28" w:type="dxa"/>
        </w:tblCellMar>
      </w:tblPr>
      <w:tblGrid>
        <w:gridCol w:w="2054"/>
        <w:gridCol w:w="1804"/>
        <w:gridCol w:w="1812"/>
        <w:gridCol w:w="541"/>
        <w:gridCol w:w="540"/>
        <w:gridCol w:w="165"/>
        <w:gridCol w:w="165"/>
        <w:gridCol w:w="165"/>
        <w:gridCol w:w="165"/>
        <w:gridCol w:w="563"/>
        <w:gridCol w:w="518"/>
        <w:gridCol w:w="235"/>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16,882,215 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396,347 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30,154,209 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16,011,495 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the Company had outstanding warrants to purchase 137,658 and 137,658 shares of Company common stock, respectively with exercise prices ranging from $2.28 to $11.96 and expiry dates ranging from 2024 to 2026. Refer to Note 9 “Convertible Notes”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14. Equity Incentive Plan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2011 Equity Incentive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2011 Stock Plan was originally adopted by the Company’s Board of Directors on July 27, 2011 and the Company’s stockholders on October 11, 2011, and most recently amended and restated, and adopted by the Board of Directors on March 10, 2020 and the Company’s stockholders on July 21, 2020 (as restated, the “Plan”). The Plan allows the Company to grant restricted stock units, restricted stock and stock options to employees and consultants of the Company and any of the Company’s parent, subsidiaries, or affiliates, and to the members of the Board of Directors. Options granted under the Plan may be either incentive stock options or nonqualified stock options. Incentive stock options (“ISOs”), may be granted only to employees of the Company or any of the Company’s parent or subsidiaries (including officers and directors who are also employees). Nonqualified stock options (“NSOs”), may be granted to any person eligible for grants under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determines the period over which options vest and become exercisable. Options issued under the Plan generally are exercisable for periods not to exceed ten years and generally vest over a 4-year period with 25% vesting after one year and the remainder vesting monthly thereafter in equal installments.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stock option activity for the periods presented is as follows (in thousands, except share and per share data): </w:t>
      </w:r>
    </w:p>
    <w:tbl>
      <w:tblPr>
        <w:tblW w:w="9369" w:type="dxa"/>
        <w:jc w:val="left"/>
        <w:tblInd w:w="0" w:type="dxa"/>
        <w:tblLayout w:type="fixed"/>
        <w:tblCellMar>
          <w:top w:w="28" w:type="dxa"/>
          <w:left w:w="28" w:type="dxa"/>
          <w:bottom w:w="28" w:type="dxa"/>
          <w:right w:w="28" w:type="dxa"/>
        </w:tblCellMar>
      </w:tblPr>
      <w:tblGrid>
        <w:gridCol w:w="1124"/>
        <w:gridCol w:w="987"/>
        <w:gridCol w:w="993"/>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36"/>
        <w:gridCol w:w="807"/>
        <w:gridCol w:w="173"/>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(935,045)</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(619,983)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2023</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5,506,657 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total unrecognized compensation cost for outstanding stock options of $4.1 million to be recognized over a period of approximately 1.9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23,246,474 shares reserved for issuance and 16,882,215 shares available for issuance under the Plan. There were no stock options granted during the year ended December 31, 2023. Stock options granted during the years ended December 31, 2022 and 2021 had a weighted average grant date fair value of $8.33, and $12.65 per share,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values of outstanding, vested, and exercisable options were determined by multiplying the number of shares by the difference in exercise price of the options and the fair value of the common stock as of December 31, 2023, 2022, and 2021 of $15.46, $9.94, and 21.16 per share, respectively. The intrinsic value of the options exercised represents the difference between the exercise price and the fair market value on the date of exercise. The total intrinsic value of the options exercised during the years ended December 31, 2023, 2022, and 2021 was $7.7 million $4.1 million, and $15.1 million, respectively. The total intrinsic value of the vested options based on the market value of the common stock as of December 31, 2023, 2022, and 2021 was $5.8 million, $29.3 million, and $80.6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Restricted Stock Units (“RSU”) activity for the periods presented is as follows: </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3,779,399 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(3,123,054)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(1,253,694)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unrecognized compensation cost for outstanding restricted stock units of $61.3 million to be recognized over a period of approximately 2.8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RSUs vested and settled includes shares of common stock that the Company withheld on behalf of employees to satisfy the minimum statutory tax withholding requirements. RSUs granted during the years ended December 31, 2023, 2022, and 2021 had a weighted average grant date fair value of $13.15, $12.13, and $14.86 per share, respectively. The total fair value of shares vested during the years ended December 31, 2023, 2022, and 2021 was $39.2 million, $12.0 million, and $14.0 million,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Granted to Employees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employee stock options granted is estimated using the Black-Scholes option-pricing model, based on the following assumptions: </w:t>
      </w:r>
    </w:p>
    <w:tbl>
      <w:tblPr>
        <w:tblW w:w="4910" w:type="dxa"/>
        <w:jc w:val="left"/>
        <w:tblInd w:w="0" w:type="dxa"/>
        <w:tblLayout w:type="fixed"/>
        <w:tblCellMar>
          <w:top w:w="28" w:type="dxa"/>
          <w:left w:w="28" w:type="dxa"/>
          <w:bottom w:w="28" w:type="dxa"/>
          <w:right w:w="28" w:type="dxa"/>
        </w:tblCellMar>
      </w:tblPr>
      <w:tblGrid>
        <w:gridCol w:w="782"/>
        <w:gridCol w:w="687"/>
        <w:gridCol w:w="690"/>
        <w:gridCol w:w="155"/>
        <w:gridCol w:w="155"/>
        <w:gridCol w:w="156"/>
        <w:gridCol w:w="111"/>
        <w:gridCol w:w="111"/>
        <w:gridCol w:w="111"/>
        <w:gridCol w:w="254"/>
        <w:gridCol w:w="257"/>
        <w:gridCol w:w="276"/>
        <w:gridCol w:w="111"/>
        <w:gridCol w:w="111"/>
        <w:gridCol w:w="111"/>
        <w:gridCol w:w="254"/>
        <w:gridCol w:w="257"/>
        <w:gridCol w:w="321"/>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terms (in years)</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i/>
          <w:color w:val="000000"/>
          <w:sz w:val="20"/>
        </w:rPr>
        <w:t>Fair Value of Common Stock</w:t>
      </w:r>
      <w:r>
        <w:rPr>
          <w:rFonts w:ascii="Times New Roman;sans-serif" w:hAnsi="Times New Roman;sans-serif"/>
          <w:b w:val="false"/>
          <w:color w:val="000000"/>
          <w:sz w:val="20"/>
        </w:rPr>
        <w:t>: Since the listing of our CDIs on the ASX, the fair value of common stock is based on the closing price of our CDIs on the ASX as reported in Australian dollars, adjusted to reflect the CDI/per share of common stock ratio in effect, and translated to U.S. dollars based on the date of grant of our common stock.</w:t>
      </w:r>
    </w:p>
    <w:p>
      <w:pPr>
        <w:pStyle w:val="TextBody"/>
        <w:bidi w:val="0"/>
        <w:spacing w:lineRule="auto" w:line="288" w:before="240" w:after="283"/>
        <w:jc w:val="both"/>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 xml:space="preserve">: The expected term for employees is based on the simplified method, as the Company’s stock options have the following characteristics: (i) 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 </w:t>
      </w:r>
    </w:p>
    <w:p>
      <w:pPr>
        <w:pStyle w:val="TextBody"/>
        <w:bidi w:val="0"/>
        <w:spacing w:lineRule="auto" w:line="288" w:before="240" w:after="283"/>
        <w:jc w:val="both"/>
        <w:rPr/>
      </w:pPr>
      <w:r>
        <w:rPr>
          <w:rFonts w:ascii="Times New Roman;sans-serif" w:hAnsi="Times New Roman;sans-serif"/>
          <w:b w:val="false"/>
          <w:i/>
          <w:color w:val="000000"/>
          <w:sz w:val="20"/>
        </w:rPr>
        <w:t>Expected Volatility</w:t>
      </w:r>
      <w:r>
        <w:rPr>
          <w:rFonts w:ascii="Times New Roman;sans-serif" w:hAnsi="Times New Roman;sans-serif"/>
          <w:b w:val="false"/>
          <w:color w:val="000000"/>
          <w:sz w:val="20"/>
        </w:rPr>
        <w:t>: Since we have limited trading history of CDIs, interests in our common stock, the expected volatility is determined based on the historical stock volatilities of our comparable companies, and the Company’s trading data since listing on the ASX. Comparable companies consist of public companies in our industry, which are similar in size, stage of life cycle and financial leverage. The Company will continue to analyze the historical stock price volatility and expected term assumptions as more historical data for the Company’s common stock becomes available.</w:t>
      </w:r>
    </w:p>
    <w:p>
      <w:pPr>
        <w:pStyle w:val="TextBody"/>
        <w:bidi w:val="0"/>
        <w:spacing w:lineRule="auto" w:line="288" w:before="240" w:after="283"/>
        <w:jc w:val="both"/>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 xml:space="preserve">The risk-free interest rate is based on U.S. Treasury constant maturity rates with remaining terms similar to the expected term of the options. </w:t>
      </w:r>
    </w:p>
    <w:p>
      <w:pPr>
        <w:pStyle w:val="TextBody"/>
        <w:bidi w:val="0"/>
        <w:spacing w:lineRule="auto" w:line="288" w:before="240" w:after="283"/>
        <w:jc w:val="both"/>
        <w:rPr/>
      </w:pPr>
      <w:r>
        <w:rPr>
          <w:rFonts w:ascii="Times New Roman;sans-serif" w:hAnsi="Times New Roman;sans-serif"/>
          <w:b w:val="false"/>
          <w:i/>
          <w:color w:val="000000"/>
          <w:sz w:val="20"/>
        </w:rPr>
        <w:t>Expected Dividend Rate</w:t>
      </w:r>
      <w:r>
        <w:rPr>
          <w:rFonts w:ascii="Times New Roman;sans-serif" w:hAnsi="Times New Roman;sans-serif"/>
          <w:b w:val="false"/>
          <w:color w:val="000000"/>
          <w:sz w:val="20"/>
        </w:rPr>
        <w:t xml:space="preserve">: The Company has never paid any dividends and does not plan to pay dividends in the foreseeable future, and, therefore, an expected dividend rate of zero is used in the valuation model.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Awards Issued in Connection with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Jio,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Jiobit Acquisition in September 2021, the Company issued 91,217 shares of restricted common stock with an aggregate fair value of $1.9 million to be recognized as post combination stock-based compensation ratably with continuous employment of certain employees over a 3-year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zero unrecognized compensation expense related to the restricted common stock, as a result of the termination of certain employees. As of December 31, 2022, there was $0.2 million of unrecognized compensation expense related to this restricted common stock which is expected to be recognized over the remaining weighted average life of 1.7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granted 43,083 service-based stock options under the Plan to certain Jiobit employees with an aggregate fair value of $0.5 million which vests ratably over the requisite service period. As of December 31, 2023, there was $0.1 million of unrecognized compensation expense related to unvested assumed stock options, which is expected to be recognized over the remaining weighted average life of 1 year. As of December 31, 2022, there was $0.2 million of unrecognized compensation expense related to unvested assumed stock options, which is expected to be recognized over the remaining weighted average life of 1.8 years.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Tile,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December 31, 2023, there was $0.7 million of unrecognized compensation expense related to the retention restricted stock units which is expected to be recognized over the remaining weighted average life of 1.9 years. As of December 31, 2022, there was $5.6 million of unrecognized compensation expense related to the retention restricted stock units which is expected to be recognized over the remaining weighted average life of 1.5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issued 38,730 vested common stock options to Tile employees as stock-based compensation on the acquisition date. The aggregate fair value of $0.4 million was recognized as compensation expense on the date of acquisition.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694,672 shares of common stock with an aggregate fair value of $13.7 million were issued to Tile shareholders as part of purchase consideration. All $13.7 million was included within purchase consideration.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1,561 shares of common stock with an aggregate fair value of $30.8 thousand were issued to a key employee, the vesting of which is subject to continued employment over a 30-month period. As of December 31, 2023 and 2022, there was an immaterial amount of unrecognized compensation expense related to unvested restricted stock units which is expected to be recognized over the remaining 0.5 years and 1.6 years,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All 84,524 shares of common stock were released from escrow in April 2023 as scheduled.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allocated as follows (in thousands): </w:t>
      </w:r>
    </w:p>
    <w:tbl>
      <w:tblPr>
        <w:tblW w:w="7271" w:type="dxa"/>
        <w:jc w:val="left"/>
        <w:tblInd w:w="0" w:type="dxa"/>
        <w:tblLayout w:type="fixed"/>
        <w:tblCellMar>
          <w:top w:w="28" w:type="dxa"/>
          <w:left w:w="28" w:type="dxa"/>
          <w:bottom w:w="28" w:type="dxa"/>
          <w:right w:w="28" w:type="dxa"/>
        </w:tblCellMar>
      </w:tblPr>
      <w:tblGrid>
        <w:gridCol w:w="1248"/>
        <w:gridCol w:w="1099"/>
        <w:gridCol w:w="1102"/>
        <w:gridCol w:w="211"/>
        <w:gridCol w:w="721"/>
        <w:gridCol w:w="109"/>
        <w:gridCol w:w="109"/>
        <w:gridCol w:w="109"/>
        <w:gridCol w:w="109"/>
        <w:gridCol w:w="211"/>
        <w:gridCol w:w="721"/>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an immaterial amount of capitalized stock-based compensation costs during the years ended December 31,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historically incurred net operating losses only in the United States since its inception. During the year ended December 31, 2023, the Company incurred $27.1 million of net operating losses in the United States and $0.3 million of net operating income internationally.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income tax provision of $0.6 million and $0.1 million and an income tax benefit of $0.1 million were recorded for the years ended December 31, 2023, 2022 and 2021, respectively. In accordance with ASC 805, a change in the acquirer’s valuation allowance that stems from a business combination should be recognized as an element of the acquirer’s income tax expense or benefit in the period of the acquisition. Accordingly, for the years ended December 31, 2022 and 2021, the Company recorded a $27.4 thousand partial release of its valuation allowance stemming from the Tile Acquisition and $0.1 million partial release of its valuation allowance stemming from the Jiobit Acquisition. </w:t>
      </w:r>
    </w:p>
    <w:p>
      <w:pPr>
        <w:pStyle w:val="TextBody"/>
        <w:bidi w:val="0"/>
        <w:spacing w:lineRule="auto" w:line="288" w:before="240" w:after="283"/>
        <w:jc w:val="left"/>
        <w:rPr/>
      </w:pPr>
      <w:r>
        <w:rPr>
          <w:rFonts w:ascii="Times New Roman;sans-serif" w:hAnsi="Times New Roman;sans-serif"/>
          <w:b w:val="false"/>
          <w:color w:val="231F20"/>
          <w:sz w:val="20"/>
        </w:rPr>
        <w:t>The reconciliation</w:t>
      </w:r>
      <w:r>
        <w:rPr>
          <w:color w:val="231F20"/>
        </w:rPr>
        <w:t xml:space="preserve"> </w:t>
      </w:r>
      <w:r>
        <w:rPr>
          <w:rFonts w:ascii="Times New Roman;sans-serif" w:hAnsi="Times New Roman;sans-serif"/>
          <w:b w:val="false"/>
          <w:color w:val="231F20"/>
          <w:sz w:val="20"/>
        </w:rPr>
        <w:t>of the Company’s effective</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rate</w:t>
      </w:r>
      <w:r>
        <w:rPr>
          <w:color w:val="231F20"/>
        </w:rPr>
        <w:t xml:space="preserve"> </w:t>
      </w:r>
      <w:r>
        <w:rPr>
          <w:rFonts w:ascii="Times New Roman;sans-serif" w:hAnsi="Times New Roman;sans-serif"/>
          <w:b w:val="false"/>
          <w:color w:val="231F20"/>
          <w:sz w:val="20"/>
        </w:rPr>
        <w:t>to the</w:t>
      </w:r>
      <w:r>
        <w:rPr>
          <w:color w:val="231F20"/>
        </w:rPr>
        <w:t xml:space="preserve"> </w:t>
      </w:r>
      <w:r>
        <w:rPr>
          <w:rFonts w:ascii="Times New Roman;sans-serif" w:hAnsi="Times New Roman;sans-serif"/>
          <w:b w:val="false"/>
          <w:color w:val="231F20"/>
          <w:sz w:val="20"/>
        </w:rPr>
        <w:t>U.S.</w:t>
      </w:r>
      <w:r>
        <w:rPr>
          <w:color w:val="231F20"/>
        </w:rPr>
        <w:t xml:space="preserve"> </w:t>
      </w:r>
      <w:r>
        <w:rPr>
          <w:rFonts w:ascii="Times New Roman;sans-serif" w:hAnsi="Times New Roman;sans-serif"/>
          <w:b w:val="false"/>
          <w:color w:val="231F20"/>
          <w:sz w:val="20"/>
        </w:rPr>
        <w:t>statutory</w:t>
      </w:r>
      <w:r>
        <w:rPr>
          <w:color w:val="231F20"/>
        </w:rPr>
        <w:t xml:space="preserve"> </w:t>
      </w:r>
      <w:r>
        <w:rPr>
          <w:rFonts w:ascii="Times New Roman;sans-serif" w:hAnsi="Times New Roman;sans-serif"/>
          <w:b w:val="false"/>
          <w:color w:val="231F20"/>
          <w:sz w:val="20"/>
        </w:rPr>
        <w:t>federal</w:t>
      </w:r>
      <w:r>
        <w:rPr>
          <w:color w:val="231F20"/>
        </w:rPr>
        <w:t xml:space="preserve"> </w:t>
      </w:r>
      <w:r>
        <w:rPr>
          <w:rFonts w:ascii="Times New Roman;sans-serif" w:hAnsi="Times New Roman;sans-serif"/>
          <w:b w:val="false"/>
          <w:color w:val="231F20"/>
          <w:sz w:val="20"/>
        </w:rPr>
        <w:t>income</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rate</w:t>
      </w:r>
      <w:r>
        <w:rPr>
          <w:color w:val="231F20"/>
        </w:rPr>
        <w:t xml:space="preserve"> </w:t>
      </w:r>
      <w:r>
        <w:rPr>
          <w:rFonts w:ascii="Times New Roman;sans-serif" w:hAnsi="Times New Roman;sans-serif"/>
          <w:b w:val="false"/>
          <w:color w:val="231F20"/>
          <w:sz w:val="20"/>
        </w:rPr>
        <w:t>was as follows:</w:t>
      </w:r>
    </w:p>
    <w:p>
      <w:pPr>
        <w:pStyle w:val="TextBody"/>
        <w:bidi w:val="0"/>
        <w:spacing w:before="0" w:after="0"/>
        <w:jc w:val="left"/>
        <w:rPr/>
      </w:pPr>
      <w:r>
        <w:rPr/>
      </w:r>
    </w:p>
    <w:tbl>
      <w:tblPr>
        <w:tblW w:w="6011" w:type="dxa"/>
        <w:jc w:val="left"/>
        <w:tblInd w:w="0" w:type="dxa"/>
        <w:tblLayout w:type="fixed"/>
        <w:tblCellMar>
          <w:top w:w="28" w:type="dxa"/>
          <w:left w:w="28" w:type="dxa"/>
          <w:bottom w:w="28" w:type="dxa"/>
          <w:right w:w="28" w:type="dxa"/>
        </w:tblCellMar>
      </w:tblPr>
      <w:tblGrid>
        <w:gridCol w:w="1155"/>
        <w:gridCol w:w="1016"/>
        <w:gridCol w:w="1023"/>
        <w:gridCol w:w="216"/>
        <w:gridCol w:w="219"/>
        <w:gridCol w:w="271"/>
        <w:gridCol w:w="109"/>
        <w:gridCol w:w="109"/>
        <w:gridCol w:w="109"/>
        <w:gridCol w:w="216"/>
        <w:gridCol w:w="219"/>
        <w:gridCol w:w="271"/>
        <w:gridCol w:w="109"/>
        <w:gridCol w:w="109"/>
        <w:gridCol w:w="109"/>
        <w:gridCol w:w="216"/>
        <w:gridCol w:w="219"/>
        <w:gridCol w:w="316"/>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rate</w:t>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Compensation</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47" w:before="0" w:after="0"/>
        <w:jc w:val="left"/>
        <w:rPr/>
      </w:pPr>
      <w:r>
        <w:rPr>
          <w:rFonts w:ascii="Times New Roman;sans-serif" w:hAnsi="Times New Roman;sans-serif"/>
          <w:b w:val="false"/>
          <w:color w:val="231F20"/>
          <w:sz w:val="20"/>
        </w:rPr>
        <w:t>The significant</w:t>
      </w:r>
      <w:r>
        <w:rPr>
          <w:color w:val="231F20"/>
        </w:rPr>
        <w:t xml:space="preserve"> </w:t>
      </w:r>
      <w:r>
        <w:rPr>
          <w:rFonts w:ascii="Times New Roman;sans-serif" w:hAnsi="Times New Roman;sans-serif"/>
          <w:b w:val="false"/>
          <w:color w:val="231F20"/>
          <w:sz w:val="20"/>
        </w:rPr>
        <w:t>components</w:t>
      </w:r>
      <w:r>
        <w:rPr>
          <w:color w:val="231F20"/>
        </w:rPr>
        <w:t xml:space="preserve"> </w:t>
      </w:r>
      <w:r>
        <w:rPr>
          <w:rFonts w:ascii="Times New Roman;sans-serif" w:hAnsi="Times New Roman;sans-serif"/>
          <w:b w:val="false"/>
          <w:color w:val="231F20"/>
          <w:sz w:val="20"/>
        </w:rPr>
        <w:t>of net</w:t>
      </w:r>
      <w:r>
        <w:rPr>
          <w:color w:val="231F20"/>
        </w:rPr>
        <w:t xml:space="preserve"> </w:t>
      </w:r>
      <w:r>
        <w:rPr>
          <w:rFonts w:ascii="Times New Roman;sans-serif" w:hAnsi="Times New Roman;sans-serif"/>
          <w:b w:val="false"/>
          <w:color w:val="231F20"/>
          <w:sz w:val="20"/>
        </w:rPr>
        <w:t>deferred</w:t>
      </w:r>
      <w:r>
        <w:rPr>
          <w:color w:val="231F20"/>
        </w:rPr>
        <w:t xml:space="preserve"> </w:t>
      </w:r>
      <w:r>
        <w:rPr>
          <w:rFonts w:ascii="Times New Roman;sans-serif" w:hAnsi="Times New Roman;sans-serif"/>
          <w:b w:val="false"/>
          <w:color w:val="231F20"/>
          <w:sz w:val="20"/>
        </w:rPr>
        <w:t>income</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assets</w:t>
      </w:r>
      <w:r>
        <w:rPr>
          <w:color w:val="231F20"/>
        </w:rPr>
        <w:t xml:space="preserve"> </w:t>
      </w:r>
      <w:r>
        <w:rPr>
          <w:rFonts w:ascii="Times New Roman;sans-serif" w:hAnsi="Times New Roman;sans-serif"/>
          <w:b w:val="false"/>
          <w:color w:val="231F20"/>
          <w:sz w:val="20"/>
        </w:rPr>
        <w:t>were as follows</w:t>
      </w:r>
      <w:r>
        <w:rPr>
          <w:color w:val="231F20"/>
        </w:rPr>
        <w:t xml:space="preserve"> </w:t>
      </w:r>
      <w:r>
        <w:rPr>
          <w:rFonts w:ascii="Times New Roman;sans-serif" w:hAnsi="Times New Roman;sans-serif"/>
          <w:b w:val="false"/>
          <w:color w:val="231F20"/>
          <w:sz w:val="20"/>
        </w:rPr>
        <w:t>(in</w:t>
      </w:r>
      <w:r>
        <w:rPr>
          <w:color w:val="231F20"/>
        </w:rPr>
        <w:t xml:space="preserve"> </w:t>
      </w:r>
      <w:r>
        <w:rPr>
          <w:rFonts w:ascii="Times New Roman;sans-serif" w:hAnsi="Times New Roman;sans-serif"/>
          <w:b w:val="false"/>
          <w:color w:val="231F20"/>
          <w:sz w:val="20"/>
        </w:rPr>
        <w:t>thousands):</w:t>
      </w:r>
    </w:p>
    <w:tbl>
      <w:tblPr>
        <w:tblW w:w="6009" w:type="dxa"/>
        <w:jc w:val="left"/>
        <w:tblInd w:w="0" w:type="dxa"/>
        <w:tblLayout w:type="fixed"/>
        <w:tblCellMar>
          <w:top w:w="28" w:type="dxa"/>
          <w:left w:w="28" w:type="dxa"/>
          <w:bottom w:w="28" w:type="dxa"/>
          <w:right w:w="28" w:type="dxa"/>
        </w:tblCellMar>
      </w:tblPr>
      <w:tblGrid>
        <w:gridCol w:w="1362"/>
        <w:gridCol w:w="1197"/>
        <w:gridCol w:w="1206"/>
        <w:gridCol w:w="211"/>
        <w:gridCol w:w="616"/>
        <w:gridCol w:w="109"/>
        <w:gridCol w:w="109"/>
        <w:gridCol w:w="109"/>
        <w:gridCol w:w="109"/>
        <w:gridCol w:w="211"/>
        <w:gridCol w:w="61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allowances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assets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 carryforward</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 and other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a full valuation allowance on the net deferred tax assets. The valuation allowance increased by $4.5 million during 2023 and $42.7 million during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approximately $197.5 million and $81.0 million of federal and state net operating loss carryforwards, respectively, available to offset future taxable income. Such carryforwards expire in varying amounts beginning in 2027. The federal net operating loss carryforwards of $145.6 million arising after December 31, 2017 do not expire.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had federal and state research and development credit carryforwards of $10.7 million and $13.8 million, respectively. The federal tax credits expire in varying amounts beginning in 2034. The state tax credits do not expire. Additionally, the Company has approximately $1.9 million of tax credits in Canada, which are expected to expire in varying amounts beginning 2032.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2023. The Company does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state jurisdictions and Canada.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$12.1 million and $11.1 million, respectively, of gross unrecognized tax benefits related to federal and state research credits. As of December 31, 2023 all unrecognized tax benefits, if recognized, will not affect the Company’s effective tax rate. The Company does not anticipate any unrecognized tax benefits in the next 12 months that would result in a material change to its financial position.</w:t>
      </w:r>
    </w:p>
    <w:p>
      <w:pPr>
        <w:pStyle w:val="TextBody"/>
        <w:bidi w:val="0"/>
        <w:spacing w:lineRule="auto" w:line="288" w:before="240" w:after="283"/>
        <w:jc w:val="left"/>
        <w:rPr/>
      </w:pPr>
      <w:r>
        <w:rPr>
          <w:rFonts w:ascii="Times New Roman;sans-serif" w:hAnsi="Times New Roman;sans-serif"/>
          <w:b w:val="false"/>
          <w:color w:val="231F20"/>
          <w:sz w:val="20"/>
        </w:rPr>
        <w:t>The aggregate</w:t>
      </w:r>
      <w:r>
        <w:rPr>
          <w:color w:val="231F20"/>
        </w:rPr>
        <w:t xml:space="preserve"> </w:t>
      </w:r>
      <w:r>
        <w:rPr>
          <w:rFonts w:ascii="Times New Roman;sans-serif" w:hAnsi="Times New Roman;sans-serif"/>
          <w:b w:val="false"/>
          <w:color w:val="231F20"/>
          <w:sz w:val="20"/>
        </w:rPr>
        <w:t>changes</w:t>
      </w:r>
      <w:r>
        <w:rPr>
          <w:color w:val="231F20"/>
        </w:rPr>
        <w:t xml:space="preserve"> </w:t>
      </w:r>
      <w:r>
        <w:rPr>
          <w:rFonts w:ascii="Times New Roman;sans-serif" w:hAnsi="Times New Roman;sans-serif"/>
          <w:b w:val="false"/>
          <w:color w:val="231F20"/>
          <w:sz w:val="20"/>
        </w:rPr>
        <w:t>in the</w:t>
      </w:r>
      <w:r>
        <w:rPr>
          <w:color w:val="231F20"/>
        </w:rPr>
        <w:t xml:space="preserve"> </w:t>
      </w:r>
      <w:r>
        <w:rPr>
          <w:rFonts w:ascii="Times New Roman;sans-serif" w:hAnsi="Times New Roman;sans-serif"/>
          <w:b w:val="false"/>
          <w:color w:val="231F20"/>
          <w:sz w:val="20"/>
        </w:rPr>
        <w:t>balance</w:t>
      </w:r>
      <w:r>
        <w:rPr>
          <w:color w:val="231F20"/>
        </w:rPr>
        <w:t xml:space="preserve"> </w:t>
      </w:r>
      <w:r>
        <w:rPr>
          <w:rFonts w:ascii="Times New Roman;sans-serif" w:hAnsi="Times New Roman;sans-serif"/>
          <w:b w:val="false"/>
          <w:color w:val="231F20"/>
          <w:sz w:val="20"/>
        </w:rPr>
        <w:t>of gross</w:t>
      </w:r>
      <w:r>
        <w:rPr>
          <w:color w:val="231F20"/>
        </w:rPr>
        <w:t xml:space="preserve"> </w:t>
      </w:r>
      <w:r>
        <w:rPr>
          <w:rFonts w:ascii="Times New Roman;sans-serif" w:hAnsi="Times New Roman;sans-serif"/>
          <w:b w:val="false"/>
          <w:color w:val="231F20"/>
          <w:sz w:val="20"/>
        </w:rPr>
        <w:t>unrecognized</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benefits</w:t>
      </w:r>
      <w:r>
        <w:rPr>
          <w:color w:val="231F20"/>
        </w:rPr>
        <w:t xml:space="preserve"> </w:t>
      </w:r>
      <w:r>
        <w:rPr>
          <w:rFonts w:ascii="Times New Roman;sans-serif" w:hAnsi="Times New Roman;sans-serif"/>
          <w:b w:val="false"/>
          <w:color w:val="231F20"/>
          <w:sz w:val="20"/>
        </w:rPr>
        <w:t>were as follows</w:t>
      </w:r>
      <w:r>
        <w:rPr>
          <w:color w:val="231F20"/>
        </w:rPr>
        <w:t xml:space="preserve"> </w:t>
      </w:r>
      <w:r>
        <w:rPr>
          <w:rFonts w:ascii="Times New Roman;sans-serif" w:hAnsi="Times New Roman;sans-serif"/>
          <w:b w:val="false"/>
          <w:color w:val="231F20"/>
          <w:sz w:val="20"/>
        </w:rPr>
        <w:t>(in</w:t>
      </w:r>
      <w:r>
        <w:rPr>
          <w:color w:val="231F20"/>
        </w:rPr>
        <w:t xml:space="preserve"> </w:t>
      </w:r>
      <w:r>
        <w:rPr>
          <w:rFonts w:ascii="Times New Roman;sans-serif" w:hAnsi="Times New Roman;sans-serif"/>
          <w:b w:val="false"/>
          <w:color w:val="231F20"/>
          <w:sz w:val="20"/>
        </w:rPr>
        <w:t>thousands):</w:t>
      </w:r>
    </w:p>
    <w:p>
      <w:pPr>
        <w:pStyle w:val="TextBody"/>
        <w:bidi w:val="0"/>
        <w:spacing w:before="0" w:after="0"/>
        <w:jc w:val="left"/>
        <w:rPr/>
      </w:pPr>
      <w:r>
        <w:rPr/>
      </w:r>
    </w:p>
    <w:tbl>
      <w:tblPr>
        <w:tblW w:w="5151" w:type="dxa"/>
        <w:jc w:val="left"/>
        <w:tblInd w:w="0" w:type="dxa"/>
        <w:tblLayout w:type="fixed"/>
        <w:tblCellMar>
          <w:top w:w="28" w:type="dxa"/>
          <w:left w:w="28" w:type="dxa"/>
          <w:bottom w:w="28" w:type="dxa"/>
          <w:right w:w="28" w:type="dxa"/>
        </w:tblCellMar>
      </w:tblPr>
      <w:tblGrid>
        <w:gridCol w:w="1472"/>
        <w:gridCol w:w="1292"/>
        <w:gridCol w:w="1301"/>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 Related-Party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secondary financing transactions and other transactions with certain executive officers and Board members of the Company. A summary of the transactions is detailed below: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Notes Due From Affiliates (Contra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Company issued an aggregate of $0.6 million in secured partial recourse promissory notes (“Partially Secured Loan”) to the Chief Executive Officer, Non-Executive Director (Previously President), Chief Operating Officer and another executive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During the year ended December 31, 2022, the Company received proceeds from the repayment of the Partially Secured Loans of $0.6 million. During the year ended December 31, 2023, the Company received proceeds from the repayment of the partially secured loan that remained outstanding of $0.3 million. As of December 31, 2023 and 2022, the Company had deposit liability balances of zero and $0.3 million, respectively, in connection with the Partially Secured Loan and other early exercises of equity awards. Principal amounts due under the Partially Secured Loan are included in Notes Due From Affiliates as a reduction in stockholders’ equity on the consolidated balance sheets.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Related Party Transactions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Non-executive director, James Synge, is a Principal and Partner of Carthona Capital. During the year ended December 31, 2022, Carthona Capital received consideration of $0.1 million for consultancy services to the Company in relation to capital raising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Annika Hulls is the spouse of the CEO and Executive Director, Chris Hulls. During the year ended December 31, 2022, 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$6.5 thousand was paid to Annika Hulls for services relating to a marketing campaign.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17. Defined Contribution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$1.1 million for the year ended December 31, 2023. There were immaterial employer contributions to the plan for the years ended December 31,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 Net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by the weighted-average number of common shares outstanding for the fiscal period. Diluted net loss per share is computed by giving effect to potential convertible securities. The dilutive effect of the outstanding September 2021 Convertible Notes and July 2021 Convertible Notes are reflected in diluted net loss per share by application of the if-converted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numerator and denominator used in the calculation of basic and diluted net loss per share (in thousands, except share and per share data): </w:t>
      </w:r>
    </w:p>
    <w:p>
      <w:pPr>
        <w:pStyle w:val="TextBody"/>
        <w:bidi w:val="0"/>
        <w:spacing w:before="0" w:after="0"/>
        <w:jc w:val="left"/>
        <w:rPr/>
      </w:pPr>
      <w:r>
        <w:rPr/>
      </w:r>
    </w:p>
    <w:tbl>
      <w:tblPr>
        <w:tblW w:w="9908" w:type="dxa"/>
        <w:jc w:val="left"/>
        <w:tblInd w:w="0" w:type="dxa"/>
        <w:tblLayout w:type="fixed"/>
        <w:tblCellMar>
          <w:top w:w="28" w:type="dxa"/>
          <w:left w:w="28" w:type="dxa"/>
          <w:bottom w:w="28" w:type="dxa"/>
          <w:right w:w="28" w:type="dxa"/>
        </w:tblCellMar>
      </w:tblPr>
      <w:tblGrid>
        <w:gridCol w:w="2040"/>
        <w:gridCol w:w="1791"/>
        <w:gridCol w:w="1808"/>
        <w:gridCol w:w="240"/>
        <w:gridCol w:w="841"/>
        <w:gridCol w:w="109"/>
        <w:gridCol w:w="109"/>
        <w:gridCol w:w="109"/>
        <w:gridCol w:w="109"/>
        <w:gridCol w:w="240"/>
        <w:gridCol w:w="841"/>
        <w:gridCol w:w="109"/>
        <w:gridCol w:w="109"/>
        <w:gridCol w:w="109"/>
        <w:gridCol w:w="109"/>
        <w:gridCol w:w="240"/>
        <w:gridCol w:w="841"/>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2" w:type="dxa"/>
            <w:gridSpan w:val="6"/>
            <w:tcBorders/>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51,656,195 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8"/>
        <w:gridCol w:w="1868"/>
        <w:gridCol w:w="1878"/>
        <w:gridCol w:w="240"/>
        <w:gridCol w:w="841"/>
        <w:gridCol w:w="109"/>
        <w:gridCol w:w="109"/>
        <w:gridCol w:w="109"/>
        <w:gridCol w:w="109"/>
        <w:gridCol w:w="240"/>
        <w:gridCol w:w="841"/>
        <w:gridCol w:w="109"/>
        <w:gridCol w:w="109"/>
        <w:gridCol w:w="109"/>
        <w:gridCol w:w="109"/>
        <w:gridCol w:w="240"/>
        <w:gridCol w:w="841"/>
        <w:gridCol w:w="156"/>
      </w:tblGrid>
      <w:tr>
        <w:trPr/>
        <w:tc>
          <w:tcPr>
            <w:tcW w:w="218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attributable to September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attributable to July 2021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attributable to July 2021 and September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for diluted earnings per share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51,656,195 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shares used in computing net loss per share,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62,839,593 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51,656,195 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shares of common stock that were excluded from the computation of diluted net loss per share for the periods presented because including them would have been antidilutive are as follows: </w:t>
      </w:r>
    </w:p>
    <w:tbl>
      <w:tblPr>
        <w:tblW w:w="8510" w:type="dxa"/>
        <w:jc w:val="left"/>
        <w:tblInd w:w="0" w:type="dxa"/>
        <w:tblLayout w:type="fixed"/>
        <w:tblCellMar>
          <w:top w:w="28" w:type="dxa"/>
          <w:left w:w="28" w:type="dxa"/>
          <w:bottom w:w="28" w:type="dxa"/>
          <w:right w:w="28" w:type="dxa"/>
        </w:tblCellMar>
      </w:tblPr>
      <w:tblGrid>
        <w:gridCol w:w="1527"/>
        <w:gridCol w:w="1341"/>
        <w:gridCol w:w="1347"/>
        <w:gridCol w:w="540"/>
        <w:gridCol w:w="541"/>
        <w:gridCol w:w="164"/>
        <w:gridCol w:w="164"/>
        <w:gridCol w:w="164"/>
        <w:gridCol w:w="164"/>
        <w:gridCol w:w="540"/>
        <w:gridCol w:w="541"/>
        <w:gridCol w:w="164"/>
        <w:gridCol w:w="540"/>
        <w:gridCol w:w="541"/>
        <w:gridCol w:w="232"/>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6,972,376 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2,523,122 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686,926 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13,271,994 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15,098,390 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10,454,425 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Evaluation of Disclosure Controls and Procedures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December 31, 2023 pursuant to Rule 13a</w:t>
        <w:noBreakHyphen/>
        <w:t>15 under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such evaluation, our management concluded that our disclosure controls and procedures were effective as of December 31, 2023.</w:t>
      </w:r>
    </w:p>
    <w:p>
      <w:pPr>
        <w:pStyle w:val="TextBody"/>
        <w:bidi w:val="0"/>
        <w:spacing w:lineRule="auto" w:line="288" w:before="360" w:after="283"/>
        <w:jc w:val="both"/>
        <w:rPr/>
      </w:pPr>
      <w:r>
        <w:rPr>
          <w:rFonts w:ascii="Times New Roman;sans-serif" w:hAnsi="Times New Roman;sans-serif"/>
          <w:b/>
          <w:i/>
          <w:color w:val="231F20"/>
          <w:sz w:val="20"/>
        </w:rPr>
        <w:t>Changes in Internal Control over Financial Reporting</w:t>
      </w:r>
      <w:r>
        <w:rPr>
          <w:color w:val="231F20"/>
        </w:rPr>
        <w:t xml:space="preserve"> </w:t>
      </w:r>
    </w:p>
    <w:p>
      <w:pPr>
        <w:pStyle w:val="TextBody"/>
        <w:bidi w:val="0"/>
        <w:spacing w:lineRule="auto" w:line="288" w:before="120" w:after="3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changes to remediate the previous material weaknesses described below, there were no changes in our internal control over financial reporting identified in connection with the evaluation required by Rule 13a-15(d) and 15d-15(d) of the Exchange Act that occurred during the year ended December 31, 2023 that have materially affected, or are reasonably likely to materially affect, our internal control over financial reporting.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Material Weakness Remediation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management identified a material weakness in the Company’s internal control over financial reporting as of December 31, 2022, related to management’s risk assessment process over IT General Controls (“ITGCs”), the design and implementation of ITGCs, including certain controls over logical access, segregation of duties and change management, and certain process level controls including information used in the execution of those controls that impacted our financial reporting processes. The material weakness did not result in any identified misstatements in the financial statements, and there were no changes to previously issued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remediate the material weakness, management implemented measures to ensure that control deficiencies contributing to the material weakness were remediated, such that these controls were designed, implemented and operating effectively. The remediation actions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enhanced risk assessment procedures and controls to address IT risks related to key systems that support financial reporting;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Broadening the scope and improving the effectiveness of existing ITGCs for access management, segregation of duties, change management and computer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Enhancing documentation of our IT controls for systems key to our financial reporting process;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Providing training relating to the importance and execution of ITGCs for key systems that support financial reporting;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Performing an in-depth analysis of the roles and accesses within key financial reporting systems and redesigning roles and accesses to support a stronger control environment;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Engaging internal and external resources to assist with remediation and monitoring remediation progress.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efforts, our management determined that the previously identified material weakness was remediated as of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Management’s Annual Report on Internal Control Over Financial Reporting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2023 based on the guidelines established in the Internal Control—Integrated Framework (</w:t>
      </w:r>
      <w:r>
        <w:rPr>
          <w:rFonts w:ascii="Times New Roman;sans-serif" w:hAnsi="Times New Roman;sans-serif"/>
          <w:b w:val="false"/>
          <w:i/>
          <w:color w:val="000000"/>
          <w:sz w:val="20"/>
        </w:rPr>
        <w:t>2013</w:t>
      </w:r>
      <w:r>
        <w:rPr>
          <w:rFonts w:ascii="Times New Roman;sans-serif" w:hAnsi="Times New Roman;sans-serif"/>
          <w:b w:val="false"/>
          <w:color w:val="000000"/>
          <w:sz w:val="20"/>
        </w:rPr>
        <w:t>)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our evaluation, our management concluded that our internal control over financial reporting was effective as of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has audited the consolidated financial statements included in this Annual Report and, as part of the audit, has issued an attestation report on the effectiveness of our internal control over financial reporting as of December 31, 2023, which is included below.</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over financial reporting will prevent all errors and all fraud. A control system, no matter how well designed and implemented,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Life360,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audited the internal control over financial reporting of Life360, Inc.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29, 2024, expressed an unqualified opinion on those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shd w:fill="FFFFFF" w:val="clear"/>
        </w:rPr>
        <w:t xml:space="preserve">The information required by this item will be contained in the Company’s Proxy Statement for its 2024 Annual Stockholder Meeting, to be filed with the SEC within 120 days after December 31, 2023 (the “2024 Proxy Statement”), under the headings “Proposal 1 </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Election of Directors” and “Executive Officers” and is incorporated herein by reference</w:t>
      </w:r>
      <w:r>
        <w:rPr>
          <w:rFonts w:ascii="Times New Roman;sans-serif" w:hAnsi="Times New Roman;sans-serif"/>
          <w:b w:val="false"/>
          <w:color w:val="000000"/>
          <w:sz w:val="20"/>
        </w:rPr>
        <w:t xml:space="preserve">. </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have adopted a code of conduct that applies to our directors, officers, and employees, including our principal executive officer, principal financial officer, principal accounting officer or controller, or persons performing similar functions. If we make any substantive amendments to the code of conduct or grant any waiver from a provision of the code of conduct to any executive officer or director, we will promptly disclose the nature of the amendment or waiver on our website. The full text of our code of conduct is on the investor relations portion of our website at investors.life360.com.</w:t>
      </w:r>
      <w:r>
        <w:rPr>
          <w:color w:val="000000"/>
          <w:shd w:fill="FFFFFF" w:val="clear"/>
        </w:rPr>
        <w:t xml:space="preserve"> </w:t>
      </w:r>
      <w:r>
        <w:rPr>
          <w:rFonts w:ascii="Times New Roman;sans-serif" w:hAnsi="Times New Roman;sans-serif"/>
          <w:b w:val="false"/>
          <w:color w:val="000000"/>
          <w:sz w:val="20"/>
          <w:shd w:fill="FFFFFF" w:val="clear"/>
        </w:rPr>
        <w:t>The inclusion of our website address in this Annual Report on Form 10-K does not include or incorporate by reference into this Annual Report on Form 10-K the information on or accessible through our website.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2024 Proxy Statement, under the heading “Executive Compensation,” and is incorporated herein by reference</w:t>
      </w:r>
      <w:r>
        <w:rPr>
          <w:rFonts w:ascii="Times New Roman;sans-serif" w:hAnsi="Times New Roman;sans-serif"/>
          <w:b w:val="false"/>
          <w:color w:val="000000"/>
          <w:sz w:val="20"/>
        </w:rPr>
        <w:t xml:space="preserve">.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2024 Proxy Statement, under the heading “Security Ownership of Certain Beneficial Owners and Management,” and is incorporated herein by reference</w:t>
      </w:r>
      <w:r>
        <w:rPr>
          <w:rFonts w:ascii="Times New Roman;sans-serif" w:hAnsi="Times New Roman;sans-serif"/>
          <w:b w:val="false"/>
          <w:color w:val="000000"/>
          <w:sz w:val="20"/>
        </w:rPr>
        <w:t>.</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2024 Proxy Statement, under the heading “Transactions with Related Persons and Indemnification,” and is incorporated herein by reference</w:t>
      </w:r>
      <w:r>
        <w:rPr>
          <w:rFonts w:ascii="Times New Roman;sans-serif" w:hAnsi="Times New Roman;sans-serif"/>
          <w:b w:val="false"/>
          <w:color w:val="000000"/>
          <w:sz w:val="20"/>
        </w:rPr>
        <w:t>.</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2024 Proxy, under the heading - Principal Accountant Fees and Services,” and is incorporated herein by reference</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1.Financial Statements. Our consolidated financial statements are listed in the “Index to Consolidated Financial Statements” under Part II, Item 8 of this Annual Report on Form 10-K.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Schedules. The financial statement schedules have been omitted as they are either not applicable or the required information is otherwise included.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3.Exhibits. The exhibits required to be filed as part of this report are listed in the Exhibit List attached hereto and are incorporated herein by reference.</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535"/>
        <w:gridCol w:w="1241"/>
        <w:gridCol w:w="1256"/>
        <w:gridCol w:w="109"/>
        <w:gridCol w:w="109"/>
        <w:gridCol w:w="109"/>
        <w:gridCol w:w="274"/>
        <w:gridCol w:w="274"/>
        <w:gridCol w:w="275"/>
        <w:gridCol w:w="109"/>
        <w:gridCol w:w="109"/>
        <w:gridCol w:w="109"/>
        <w:gridCol w:w="184"/>
        <w:gridCol w:w="184"/>
        <w:gridCol w:w="185"/>
        <w:gridCol w:w="109"/>
        <w:gridCol w:w="109"/>
        <w:gridCol w:w="109"/>
        <w:gridCol w:w="236"/>
        <w:gridCol w:w="236"/>
        <w:gridCol w:w="199"/>
        <w:gridCol w:w="109"/>
        <w:gridCol w:w="109"/>
        <w:gridCol w:w="109"/>
        <w:gridCol w:w="300"/>
        <w:gridCol w:w="206"/>
        <w:gridCol w:w="207"/>
        <w:gridCol w:w="109"/>
        <w:gridCol w:w="109"/>
        <w:gridCol w:w="109"/>
        <w:gridCol w:w="233"/>
        <w:gridCol w:w="233"/>
        <w:gridCol w:w="33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 xml:space="preserve">Agreement and Plan of Merger dated November 22, 2021, by and among Life360, Inc., Triumph Merger, Sub, Inc., Tile, Inc., and Fortis Advisors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 xml:space="preserve">Amendment No. 1 to Agreement and Plan of Merger dated December 20, 2021, by and among Life360, Inc., Triumph Merger, Sub, Inc., Tile, Inc., and Fortis Advisors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 xml:space="preserve">Agreement and Plan of Merger dated July 27, 2021, by and among Life360, Inc., Jiobit Merger Sub I, Inc., Jiobit Merger Sub II, LLC, Jio, Inc. and Shareholder Representative Services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 xml:space="preserve">Amendment No.1 to Agreement and Plan of Merger dated August 31, 2021, by and among Life360, Inc., Jiobit Merger Sub I, Inc., Jiobit Merger Sub II, LLC, Jio, Inc. and Shareholder Representative Services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 xml:space="preserve">Second Amendment dated April 11, 2022, by and between Life360, Inc. and Shareholder Representative Services LLC, to that certain Agreement and Plan of Merger dated July 27, 2021, by and among Life360, Inc., Jiobit Merger Sub I, Inc., Jiobit Merger Sub II, LLC, Jio, Inc. and Shareholder Representative Services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 xml:space="preserve">Amended and Restated Certificate of Incorporation of the Company.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 xml:space="preserve">Amended and Restated Bylaws of the Company.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 xml:space="preserve">Fourth Amended and Restated Investors’ Rights Agreement dated September 18, 2018, by and among Life360, Inc., the Founders, the Existing Preferred Holders and the New Investors.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6"/>
        <w:gridCol w:w="175"/>
        <w:gridCol w:w="180"/>
        <w:gridCol w:w="109"/>
        <w:gridCol w:w="109"/>
        <w:gridCol w:w="109"/>
        <w:gridCol w:w="1799"/>
        <w:gridCol w:w="1503"/>
        <w:gridCol w:w="1507"/>
        <w:gridCol w:w="109"/>
        <w:gridCol w:w="109"/>
        <w:gridCol w:w="109"/>
        <w:gridCol w:w="109"/>
        <w:gridCol w:w="109"/>
        <w:gridCol w:w="109"/>
        <w:gridCol w:w="109"/>
        <w:gridCol w:w="109"/>
        <w:gridCol w:w="109"/>
        <w:gridCol w:w="193"/>
        <w:gridCol w:w="193"/>
        <w:gridCol w:w="194"/>
        <w:gridCol w:w="109"/>
        <w:gridCol w:w="109"/>
        <w:gridCol w:w="109"/>
        <w:gridCol w:w="231"/>
        <w:gridCol w:w="231"/>
        <w:gridCol w:w="233"/>
        <w:gridCol w:w="109"/>
        <w:gridCol w:w="109"/>
        <w:gridCol w:w="109"/>
        <w:gridCol w:w="188"/>
        <w:gridCol w:w="188"/>
        <w:gridCol w:w="190"/>
        <w:gridCol w:w="109"/>
        <w:gridCol w:w="109"/>
        <w:gridCol w:w="109"/>
        <w:gridCol w:w="179"/>
        <w:gridCol w:w="179"/>
        <w:gridCol w:w="267"/>
      </w:tblGrid>
      <w:tr>
        <w:trPr/>
        <w:tc>
          <w:tcPr>
            <w:tcW w:w="2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descriptionofcapi.htm">
              <w:r>
                <w:rPr>
                  <w:rStyle w:val="InternetLink"/>
                  <w:rFonts w:ascii="Times New Roman;sans-serif" w:hAnsi="Times New Roman;sans-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 xml:space="preserve">Form of Indemnification Agreement between Life360 and its directors and officers.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 xml:space="preserve">Amended and Restated 2011 Stock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life360fy23xlif.htm">
              <w:r>
                <w:rPr>
                  <w:rStyle w:val="InternetLink"/>
                  <w:rFonts w:ascii="Times New Roman;sans-serif" w:hAnsi="Times New Roman;sans-serif"/>
                  <w:b w:val="false"/>
                  <w:color w:val="0000FF"/>
                  <w:sz w:val="20"/>
                  <w:u w:val="single"/>
                </w:rPr>
                <w:t>Form of Amended and Restated 2011 Stock Plan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life360fy23xfor.htm">
              <w:r>
                <w:rPr>
                  <w:rStyle w:val="InternetLink"/>
                  <w:rFonts w:ascii="Times New Roman;sans-serif" w:hAnsi="Times New Roman;sans-serif"/>
                  <w:b w:val="false"/>
                  <w:color w:val="0000FF"/>
                  <w:sz w:val="20"/>
                  <w:u w:val="single"/>
                </w:rPr>
                <w:t>Form of Amended and Restated 2011 Stock Plan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 xml:space="preserve">Life360 Compensation Plan for Board Directors and Company Leadership.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 xml:space="preserve">Employment Agreement, dated May 14, 2019, between Life360, Inc. and Chris Hulls.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 xml:space="preserve">Employment Agreement, dated November 22, 2021, by and between Tile, Inc., pursuant to that certain Agreement and Plan of Merger, dated November 22, 2021, by and between the Company, Life360, Inc. and certain other parties, and Charles J. Prober.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 xml:space="preserve">First Amendment to Employment Agreement, dated April 7, 2022, between Life360, Inc. and Charles J. Prober.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 xml:space="preserve">Offer Letter, dated September 5, 2019, between Life360, Inc. and Samir Kapoor.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 xml:space="preserve">Retention Bonus Letter between Life360, Inc. and Christopher Hulls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Data Services and License Agreement, effective as of January 26, 2022, by and between Life360, Inc. and Placer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amendmentno1tod.htm">
              <w:r>
                <w:rPr>
                  <w:rStyle w:val="InternetLink"/>
                  <w:rFonts w:ascii="Times New Roman;sans-serif" w:hAnsi="Times New Roman;sans-serif"/>
                  <w:b w:val="false"/>
                  <w:color w:val="0000FF"/>
                  <w:sz w:val="20"/>
                  <w:u w:val="single"/>
                </w:rPr>
                <w:t>Amendment No. 1 to Data Services and License Agreement, effective as of June 8, 2022, by and between Life360, Inc. and Placer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Warranty Program Agreement, dated June 26, 2020, by and between Cover Genius Warranty Services, LLC and Tile, Inc.</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 xml:space="preserve">First Amendment to the Warranty Program Agreement, dated September 17, 2020, by and between Cover Genius Warranty Services, LLC and Tile,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 xml:space="preserve">Second Amendment to the Warranty Program Agreement, dated October 8, 2021, by and between Cover Genius Warranty Services, LLC and Tile,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 xml:space="preserve">Manufacturing Services Agreement, dated March 8, 2017, by and between Jabil Circuit, Inc., Jabil Circuit (Singapore) Pte. Ltd. and Tile,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0"/>
        <w:gridCol w:w="202"/>
        <w:gridCol w:w="204"/>
        <w:gridCol w:w="109"/>
        <w:gridCol w:w="109"/>
        <w:gridCol w:w="109"/>
        <w:gridCol w:w="1627"/>
        <w:gridCol w:w="1411"/>
        <w:gridCol w:w="1415"/>
        <w:gridCol w:w="109"/>
        <w:gridCol w:w="109"/>
        <w:gridCol w:w="109"/>
        <w:gridCol w:w="109"/>
        <w:gridCol w:w="109"/>
        <w:gridCol w:w="109"/>
        <w:gridCol w:w="109"/>
        <w:gridCol w:w="109"/>
        <w:gridCol w:w="109"/>
        <w:gridCol w:w="202"/>
        <w:gridCol w:w="202"/>
        <w:gridCol w:w="203"/>
        <w:gridCol w:w="109"/>
        <w:gridCol w:w="109"/>
        <w:gridCol w:w="109"/>
        <w:gridCol w:w="240"/>
        <w:gridCol w:w="240"/>
        <w:gridCol w:w="241"/>
        <w:gridCol w:w="109"/>
        <w:gridCol w:w="109"/>
        <w:gridCol w:w="109"/>
        <w:gridCol w:w="397"/>
        <w:gridCol w:w="247"/>
        <w:gridCol w:w="232"/>
        <w:gridCol w:w="109"/>
        <w:gridCol w:w="109"/>
        <w:gridCol w:w="109"/>
        <w:gridCol w:w="180"/>
        <w:gridCol w:w="180"/>
        <w:gridCol w:w="263"/>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Letter Agreement, dated June 2, 2022, by and among Jabil, Inc., Jabil Circuit (Singapore) Pte. Ltd.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 xml:space="preserve">Office Lease for 1900 S. Norfolk Street, Suite 310, San Mateo, California, dated September 12, 2019, by and between 1900 Atrium Associates, LP and Tile,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First Amendment to Lease for 1900 S. Norfolk Street, Suite 310, San Mateo, California, dated August 18, 2020, by and between 1900 Atrium Associates, LP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 xml:space="preserve">Second Amendment to Lease for 1900 S. Norfolk Street, Suite 310, San Mateo, California, dated January 10, 2022, by and between 1900 Atrium Associates, LP and Tile,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Fourth Amendment to Lease for 1900 S. Norfolk Street, Suite 310, San Mateo, California, dated May 4, 2023, by and between 1900 Atrium Associates, L.P. and Life360,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Sublease Agreement for 30 North LaSalle Street, Chicago, Illinois, dated as of March 9, 2019, by and between Bin Insurance Holdings, LLC and Jio,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 xml:space="preserve">Vendor Terms and Conditions between Tile, Inc. and Amazon.com, effective June 4, 2018.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 xml:space="preserve">Apple Developer Program License Agreement between Life360, Inc. and Apple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Schedules 2 and 3 to Apple Developer Program License Agreement between Life360, Inc. and Apple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Separation Agreement and Consulting Agreement between Life360, Inc. and CJ Prober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6-life360xnedapp.htm">
              <w:r>
                <w:rPr>
                  <w:rStyle w:val="InternetLink"/>
                  <w:rFonts w:ascii="Times New Roman;sans-serif" w:hAnsi="Times New Roman;sans-serif"/>
                  <w:b w:val="false"/>
                  <w:color w:val="0000FF"/>
                  <w:sz w:val="20"/>
                  <w:u w:val="single"/>
                </w:rPr>
                <w:t>Form of Non-Executive Director Appointment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Letter from BDO USA, LLP, dated April 7,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000-54624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April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List of Subsidiaries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3dtconsent.htm">
              <w:r>
                <w:rPr>
                  <w:rStyle w:val="InternetLink"/>
                  <w:rFonts w:ascii="Times New Roman;sans-serif" w:hAnsi="Times New Roman;sans-serif"/>
                  <w:b w:val="false"/>
                  <w:color w:val="0000FF"/>
                  <w:sz w:val="20"/>
                  <w:u w:val="single"/>
                </w:rPr>
                <w:t>Consent of Deloitte and Touche LLP,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bdoconsent.htm">
              <w:r>
                <w:rPr>
                  <w:rStyle w:val="InternetLink"/>
                  <w:rFonts w:ascii="Times New Roman;sans-serif" w:hAnsi="Times New Roman;sans-serif"/>
                  <w:b w:val="false"/>
                  <w:color w:val="0000FF"/>
                  <w:sz w:val="20"/>
                  <w:u w:val="single"/>
                </w:rPr>
                <w:t>Consent of BDO USA, P.C.,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81d3889754b6996e19de133659039_274">
              <w:r>
                <w:rPr>
                  <w:rStyle w:val="InternetLink"/>
                  <w:rFonts w:ascii="Times New Roman;sans-serif" w:hAnsi="Times New Roman;sans-serif"/>
                  <w:b w:val="false"/>
                  <w:color w:val="0000FF"/>
                  <w:sz w:val="20"/>
                  <w:u w:val="single"/>
                </w:rPr>
                <w:t>Power of Attorney (included on the signature page to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fy23xceo.htm">
              <w:r>
                <w:rPr>
                  <w:rStyle w:val="InternetLink"/>
                  <w:rFonts w:ascii="Times New Roman;sans-serif" w:hAnsi="Times New Roman;sans-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fy23xcfo.htm">
              <w:r>
                <w:rPr>
                  <w:rStyle w:val="InternetLink"/>
                  <w:rFonts w:ascii="Times New Roman;sans-serif" w:hAnsi="Times New Roman;sans-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6fa81d3889754b6996e19de133659039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2"/>
        <w:gridCol w:w="218"/>
        <w:gridCol w:w="220"/>
        <w:gridCol w:w="109"/>
        <w:gridCol w:w="109"/>
        <w:gridCol w:w="109"/>
        <w:gridCol w:w="1952"/>
        <w:gridCol w:w="1952"/>
        <w:gridCol w:w="195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life360fy23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fy23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Filed previously.</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Indicates a management contract or compensatory plan, contract or arrangement. </w:t>
      </w:r>
    </w:p>
    <w:p>
      <w:pPr>
        <w:pStyle w:val="TextBody"/>
        <w:bidi w:val="0"/>
        <w:spacing w:lineRule="auto" w:line="288" w:before="120" w:after="283"/>
        <w:ind w:left="0" w:right="0" w:hanging="720"/>
        <w:jc w:val="both"/>
        <w:rPr>
          <w:color w:val="000000"/>
        </w:rPr>
      </w:pPr>
      <w:r>
        <w:rPr>
          <w:color w:val="000000"/>
        </w:rPr>
        <w:t>†    </w:t>
      </w:r>
      <w:r>
        <w:rPr>
          <w:rFonts w:ascii="Times New Roman;sans-serif" w:hAnsi="Times New Roman;sans-serif"/>
          <w:b w:val="false"/>
          <w:color w:val="000000"/>
          <w:sz w:val="20"/>
        </w:rPr>
        <w:t xml:space="preserve">Certain exhibits and schedules to this exhibit have been omitted in accordance with Item 601(a)(5) of Regulation S-K. The registrant hereby agrees to furnish supplementally a copy of any omitted exhibit or schedule to the SEC upon its request. </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redacted in accordance with Regulation S-K Item 601(b)(10)(iv).</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16. Form 10-K Summary </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425"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person whose individual signature appears below hereby authorizes and appoints Chris Hulls and Russell Burke,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120" w:after="283"/>
        <w:jc w:val="left"/>
        <w:rPr/>
      </w:pPr>
      <w:hyperlink w:anchor="i6fa81d3889754b6996e19de133659039_13">
        <w:r>
          <w:rPr>
            <w:rStyle w:val="InternetLink"/>
            <w:rFonts w:ascii="Times New Roman;sans-serif" w:hAnsi="Times New Roman;sans-serif"/>
            <w:b/>
            <w:color w:val="0000FF"/>
            <w:sz w:val="20"/>
            <w:u w:val="single"/>
          </w:rPr>
          <w:t>Table of Contents</w:t>
        </w:r>
      </w:hyperlink>
    </w:p>
    <w:tbl>
      <w:tblPr>
        <w:tblW w:w="8047" w:type="dxa"/>
        <w:jc w:val="left"/>
        <w:tblInd w:w="0" w:type="dxa"/>
        <w:tblLayout w:type="fixed"/>
        <w:tblCellMar>
          <w:top w:w="28" w:type="dxa"/>
          <w:left w:w="28" w:type="dxa"/>
          <w:bottom w:w="28" w:type="dxa"/>
          <w:right w:w="28" w:type="dxa"/>
        </w:tblCellMar>
      </w:tblPr>
      <w:tblGrid>
        <w:gridCol w:w="737"/>
        <w:gridCol w:w="649"/>
        <w:gridCol w:w="653"/>
        <w:gridCol w:w="109"/>
        <w:gridCol w:w="109"/>
        <w:gridCol w:w="109"/>
        <w:gridCol w:w="1234"/>
        <w:gridCol w:w="1234"/>
        <w:gridCol w:w="1251"/>
        <w:gridCol w:w="109"/>
        <w:gridCol w:w="109"/>
        <w:gridCol w:w="109"/>
        <w:gridCol w:w="477"/>
        <w:gridCol w:w="477"/>
        <w:gridCol w:w="681"/>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(CJ) Prober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(CJ) Prober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Goines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Goines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Haro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Haro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Wiadrowski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Wiadrowski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CAPITAL STOCK</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description summarizes the terms of our capital stock. Because it is only a summary, it does not contain all the information that may be important. The following summary is qualified in its entirety by, and should be read in conjunction with, our Amended and Restated Certificate of Incorporation (the “Certificate of Incorporation”), our Amended and Restated Bylaws (the “Bylaws”), the Fourth Amended and Restated Investors’ Rights Agreement (the “Investors’ Rights Agreement”), copies of which have been filed as exhibits to our Annual Report on Form 10-K to which this exhibit is attached, and the applicable provisions of the General Corporation Law of the State of Delaware (the “DGCL”). In this exhibit “we,” “us,” “our” and the “Company” refer to Life360, Inc. and not to any of its subsidiaries.</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authorized capital stock consists of 100,000,000 shares of common stock, par value $0.001 per share.</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Common Stock</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had 68,155,830 shares of common stock issued and outstanding, including all shares of common stock underlying all issued and outstanding CHESS Depositary Interests (“CDIs”).</w:t>
      </w:r>
    </w:p>
    <w:p>
      <w:pPr>
        <w:pStyle w:val="TextBody"/>
        <w:bidi w:val="0"/>
        <w:spacing w:lineRule="auto" w:line="240" w:before="360" w:after="120"/>
        <w:ind w:left="0" w:right="0" w:firstLine="49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Dividend Rights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prior rights that may apply to shares of common stock outstanding at the time, the holders of outstanding shares of our common stock are entitled to receive dividends out of funds legally available at the times and in the amounts that our board of directors (“Board”) may determine.</w:t>
      </w:r>
    </w:p>
    <w:p>
      <w:pPr>
        <w:pStyle w:val="TextBody"/>
        <w:bidi w:val="0"/>
        <w:spacing w:lineRule="auto" w:line="240" w:before="360" w:after="120"/>
        <w:ind w:left="0" w:right="0" w:firstLine="49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Voting Rights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holder of shares of our common stock is entitled to one vote per share on matters to be voted on by stockholders. Holders of our CDIs are entitled to one vote for every three CDIs they hold. </w:t>
      </w:r>
    </w:p>
    <w:p>
      <w:pPr>
        <w:pStyle w:val="TextBody"/>
        <w:bidi w:val="0"/>
        <w:spacing w:lineRule="auto" w:line="240" w:before="120" w:after="120"/>
        <w:ind w:left="0" w:right="0" w:firstLine="49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Election of Directors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Certificate of Incorporation and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 Our Certificate of Incorporation does not provide for cumulative voting for the election of directors.</w:t>
      </w:r>
    </w:p>
    <w:p>
      <w:pPr>
        <w:pStyle w:val="TextBody"/>
        <w:bidi w:val="0"/>
        <w:spacing w:lineRule="auto" w:line="240" w:before="360" w:after="120"/>
        <w:ind w:left="0" w:right="0" w:firstLine="49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Preemptive or Similar Rights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party to the Investors’ Rights Agreement that provides certain holders holding at least 100,000 shares of our common stock with a right of first offer with respect to our future proposed equity financings, subject to specified conditions.</w:t>
      </w:r>
    </w:p>
    <w:p>
      <w:pPr>
        <w:pStyle w:val="TextBody"/>
        <w:bidi w:val="0"/>
        <w:spacing w:lineRule="auto" w:line="240" w:before="360" w:after="120"/>
        <w:ind w:left="0" w:right="0" w:firstLine="49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Right to Receive Liquidation Distributions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our liquidation, dissolution or winding-up, the assets legally available for distribution to our stockholders would be distributable ratably among the holders of our common stock.</w:t>
      </w:r>
    </w:p>
    <w:p>
      <w:pPr>
        <w:pStyle w:val="TextBody"/>
        <w:bidi w:val="0"/>
        <w:spacing w:lineRule="auto" w:line="240" w:before="360" w:after="120"/>
        <w:ind w:left="0" w:right="0" w:firstLine="49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Fully Paid and Non-assessable</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of the outstanding shares of our common stock are fully paid and non-assessable.</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Options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had outstanding options to purchase an aggregate of 6,625,812 shares of our common stock, with a weighted-average exercise price of $6.57 per share under our 2011 Plan.</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Restricted Stock Units</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had outstanding awards of restricted stock units covering 6,182,543 shares of our common stock.</w:t>
      </w:r>
    </w:p>
    <w:p>
      <w:pPr>
        <w:pStyle w:val="TextBody"/>
        <w:bidi w:val="0"/>
        <w:spacing w:lineRule="auto" w:line="240" w:before="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Warrants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had issued and outstanding the following warrants: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61"/>
        <w:gridCol w:w="2663"/>
        <w:gridCol w:w="3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Warrants to purchase 44,106 shares of the Company’s common stock with an exercise price of $11.96 per share and a term of five years, and 44,106 shares of the Company’s common stock which is exercisable starting 12 months from July 1, 2021, with an exercise price of $11.96 per share and a term of five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Warrants to purchase 7,761 shares of the Company’s common stock with an exercise price of $6.44 per share and a term of 10 years which expires on September 4, 2025. The warrant has a cashless exercise provision pursuant to which the holder, in lieu of paying the exercise price in cash, can surrender the warrant and receive a number of shares based on the (x) fair market value of such shares minus the exercise price multiplied by (y) the number of shares with respect to which the warrant is being exercised divided by (z) the fair market value of the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Warrants to purchase 41,685 shares of the Company’s common stock with an exercise price of $2.28 per share and a term of 10 years which expires on March 27, 2024.</w:t>
            </w:r>
          </w:p>
        </w:tc>
      </w:tr>
    </w:tbl>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Convertible Notes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July 2021, we issued convertible notes in the aggregate principal amount of $2.1 million. The outstanding principal and any accrued and unpaid interest under these notes shall, at the option of the noteholder, either automatically convert, in the event of a change of control, SPAC transaction or qualified initial public offering, into shares of common stock of the Company at a conversion price of $11.96 per share, or be repaid in full. The noteholders have certain limitations on their ability to sell, loan or otherwise dispose of any securities of the Company, subject to certain exceptions.</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September 2021, we issued convertible notes (the “September 2021 Convertible Notes”) in the aggregate principal amount of $11.4 million. These notes can be converted to shares of our common stock at any time subsequent to the acquisition of Jio, Inc. at a fixed conversion price of $22.50 per share. On each of the first three annual anniversaries of the issuance date of the September 2021 Convertible Notes, we repay one-third of the unconverted principal plus accrued interest to the holders of such notes. As of December 31, 2023, there was an aggregate principal amount of $3.4 million outstanding. Upon a change of control, the holder may elect to either convert at the fixed conversion price of $22.50 per share or be repaid in full. The noteholders have certain limitations on their ability to sell, loan or otherwise dispose of any securities of the Company, subject to certain exceptions.</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Registration Rights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party to the Investors’ Rights Agreement that provides certain holders of our common stock with registration rights and piggyback rights as set forth below. The registration of shares of our common stock by the exercise of registration rights described below would enable the holders to sell these shares without restriction under the Securities Act of 1933, as amended (the “Securities Act”) when the applicable registration statement is declared effective. We will pay the registration expenses, other than underwriting discounts and commissions, of the shares registered by the registrations described below, subject to certain conditions.</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registration rights set forth in the Investors’ Rights Agreement will expire on the earlier of May 10, 2024, or the termination of the agreement. The Investors’ Rights Agreement contains certain limitations on the ability of the parties thereto to sell, loan or otherwise dispose of any securities of the Company, subject to certain exceptions, in connection with an initial public offering. In an underwritten offering, the underwriters have the right, subject to specified conditions, to limit the number of shares such holders may include.</w:t>
      </w:r>
    </w:p>
    <w:p>
      <w:pPr>
        <w:pStyle w:val="TextBody"/>
        <w:bidi w:val="0"/>
        <w:spacing w:before="0" w:after="120"/>
        <w:jc w:val="both"/>
        <w:rPr/>
      </w:pPr>
      <w:r>
        <w:rPr/>
      </w:r>
    </w:p>
    <w:p>
      <w:pPr>
        <w:pStyle w:val="TextBody"/>
        <w:bidi w:val="0"/>
        <w:spacing w:lineRule="auto" w:line="240" w:before="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Demand Registration Rights</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holders of our common stock are entitled to certain demand registration rights. The holders of at least 33% of these shares may request that we register all or a portion of their shares. Such request for registration must cover shares with an anticipated aggregate offering price, net of underwriting discounts and commissions, of at least $5 million.</w: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Piggyback Registration Rights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that we propose to register any of our securities under the Securities Act, either for our own account or for the account of other security holders, certain holders of our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option, stock purchase, or similar plan, (2) a registration relating to a transaction covered by Rule 145 under the Securities Act, (3)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or (4) a registration in which the only stock being registered is common stock upon conversion of debt securities also being registered.</w: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S-3 Demand Registration Rights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holders of our common stock will be entitled to certain Form S-3 demand registration rights. The holders of at least 20%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$1 million. These stockholders may make an unlimited number of requests for registration on Form S-3; however, we will not be required to effect a registration on Form S-3 during the period that is 90 days before our good faith estimate of the date of filing of a registration statement initiated by us. In addition, if we determine that it would be materially detrimental to us and our stockholders to effect such a demand registration, we have the right to defer such registration, not more than once in any 12-month period, for a period of up to 60 days. In addition, in an underwritten public offering, the underwriters have the right, subject to specified conditions, to limit the number of shares that these stockholders may include for registration.</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CHESS Depositary Interests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shares of common stock are traded on the Australian Securities Exchange (the “ASX”) in the form of CDIs, under the ASX trading code “360.” Shares of common stock of Life360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common stock underlying the CDIs is held by an Australian depositary nominee, CHESS Depositary Nominees Pty Ltd.</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CDIs are units of beneficial ownership in our shares of common stock. Each CDI represents a beneficial interest in one-third of a share of common stock. The CDI holders receive all direct economic and other benefits of our shares of common stock on a 3-for-1 basis. The CDIs may be transmuted into shares of our common stock on a 3-for-1 basis at the election of the CDI holder.</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differences between holding CDIs and shares of common stock. The major differences are that:</w:t>
      </w:r>
    </w:p>
    <w:p>
      <w:pPr>
        <w:pStyle w:val="TextBody"/>
        <w:bidi w:val="0"/>
        <w:spacing w:lineRule="auto" w:line="240" w:before="0" w:after="120"/>
        <w:jc w:val="both"/>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CDI holders do not have legal title in the underlying shares of common stock to which the CDIs relate (the chain of title in the shares underlying the CDIs is summarized above); and</w:t>
            </w:r>
          </w:p>
        </w:tc>
      </w:tr>
    </w:tbl>
    <w:p>
      <w:pPr>
        <w:pStyle w:val="TextBody"/>
        <w:bidi w:val="0"/>
        <w:spacing w:lineRule="auto" w:line="240" w:before="0" w:after="120"/>
        <w:jc w:val="both"/>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CDI holders are not able to vote personally as shareholders at a meeting of Life360. Instead, CDI holders are provided with a voting instruction form which will enable them to instruct the depositary nominee in relation to the exercise of voting rights.</w:t>
            </w:r>
          </w:p>
        </w:tc>
      </w:tr>
    </w:tbl>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Alternatively, CDI holders can transmute their CDIs into shares of common stock of Life360 in sufficient time before the relevant meeting, in which case they will be able to vote personally as shareholders of Life360.</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Anti-Takeover Effects of Delaware Law and Our Certificate of Incorporation and Bylaws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provisions of Delaware law, our Certificate of Incorporation, and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Special Meeting of Stockholders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Bylaws provide that a special meeting of stockholders may be called by our Board, our chairperson of the Board, chief executive officer, president, or by one or more stockholders holding shares in the aggregate entitled to cast not less than 10 percent of the votes at the meeting.</w: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Requirements for Advance Notification of Stockholder Nominations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Bylaws establish advance notice procedures with respect to the nomination of candidates for election as directors, other than nominations made by or at the direction of the Board or a committee of the Board.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Elimination of Stockholder Action by Written Consent</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Staggered Board</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Board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pStyle w:val="TextBody"/>
        <w:bidi w:val="0"/>
        <w:spacing w:lineRule="auto" w:line="240" w:before="0" w:after="120"/>
        <w:jc w:val="both"/>
        <w:rPr>
          <w:color w:val="000000"/>
          <w:shd w:fill="FFFFFF" w:val="clear"/>
        </w:rPr>
      </w:pPr>
      <w:r>
        <w:rPr>
          <w:color w:val="000000"/>
          <w:shd w:fill="FFFFFF" w:val="clear"/>
        </w:rPr>
        <w:t> </w:t>
      </w:r>
    </w:p>
    <w:p>
      <w:pPr>
        <w:pStyle w:val="TextBody"/>
        <w:bidi w:val="0"/>
        <w:spacing w:lineRule="auto" w:line="240" w:before="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Removal of Directors; Vacancies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Bylaws provide that members of our Board may be removed from office by a majority of our stockholders with or without cause provided, however, that if the stockholders are entitled to cumulative voting, if less than the entire Board is to be removed, no director may be removed without cause if the votes cast against his removal would be sufficient to elect him if then cumulatively voted at an election of the entire Board. In addition,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These provisions would prevent a stockholder from increasing the size of our Board and then gaining control of our Board by filling the resulting vacancies with its own nominees. This will make it more difficult to change the composition of our Board and will promote continuity of management.</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Delaware Anti-takeover Statute</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Opportunities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Certificate of Incorporation provides for the renouncement by the Company of any interest or expectancy of the Company in, or being offered an opportunity to participate in any matter, transaction, or interest that is presented to, or acquired, created, or developed by, or which otherwise comes into possession of, any director of the Company who is not an employee or officer of the Company or any of its subsidiaries, unless such matter, transaction, or interest is presented to, or acquired, created, or developed by, or otherwise comes into the possession of a director of the Company expressly and solely in that director’s capacity as a director of the Company.</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Choice of Forum</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Certificate of Incorporation provides that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DGCL or our Certificate of Incorporation or Bylaws or (4) any action or proceeding asserting a claim governed by the internal affairs doctrine. The exclusive forum provision does not apply to any actions brought to enforce a duty or liability created by the Securities Act, the Securities Exchange Act of 1934, as amended (the “Exchange Act”) or any other claim for which the U.S. federal courts have exclusive jurisdiction.</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pStyle w:val="TextBody"/>
        <w:bidi w:val="0"/>
        <w:spacing w:lineRule="auto" w:line="240" w:before="0" w:after="120"/>
        <w:jc w:val="both"/>
        <w:rPr>
          <w:color w:val="000000"/>
          <w:shd w:fill="FFFFFF" w:val="clear"/>
        </w:rPr>
      </w:pPr>
      <w:r>
        <w:rPr>
          <w:color w:val="000000"/>
          <w:shd w:fill="FFFFFF" w:val="clear"/>
        </w:rPr>
        <w:t> </w:t>
      </w:r>
    </w:p>
    <w:p>
      <w:pPr>
        <w:pStyle w:val="TextBody"/>
        <w:bidi w:val="0"/>
        <w:spacing w:lineRule="auto" w:line="240" w:before="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Limitations on Liability and Indemnification of Directors and Officers</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indemnification agreements with each of our directors and our executive officers. These agreements provide that we will indemnify each of our directors and such officers to the fullest extent permitted by law and our Bylaws. Insofar as indemnification for liabilities arising under the Securities Act, may be permitted to directors or executive officers, we have been informed that, in the opinion of the Securities and Exchange Commission, such indemnification is against public policy and is therefore unenforceable.</w:t>
      </w:r>
    </w:p>
    <w:p>
      <w:pPr>
        <w:pStyle w:val="TextBody"/>
        <w:bidi w:val="0"/>
        <w:spacing w:lineRule="auto" w:line="240" w:before="24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maintain insurance policies that indemnify our directors and officers against various liabilities arising under the Securities Act and the Exchange Act that might be incurred by any director or officer in his or her capacity as such.</w:t>
      </w: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Transfer Agent and Registrar</w:t>
      </w:r>
    </w:p>
    <w:p>
      <w:pPr>
        <w:pStyle w:val="TextBody"/>
        <w:bidi w:val="0"/>
        <w:spacing w:lineRule="auto" w:line="240" w:before="120" w:after="120"/>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249" w:after="283"/>
        <w:jc w:val="center"/>
        <w:rPr>
          <w:rFonts w:ascii="Times New Roman;sans-serif" w:hAnsi="Times New Roman;sans-serif"/>
          <w:b/>
          <w:color w:val="000000"/>
          <w:sz w:val="24"/>
        </w:rPr>
      </w:pPr>
      <w:r>
        <w:rPr>
          <w:rFonts w:ascii="Times New Roman;sans-serif" w:hAnsi="Times New Roman;sans-serif"/>
          <w:b/>
          <w:color w:val="000000"/>
          <w:sz w:val="24"/>
        </w:rPr>
        <w:t>TERMS AND CONDITIONS OF RESTRICTED STOCK UNIT GRANT</w:t>
      </w:r>
    </w:p>
    <w:p>
      <w:pPr>
        <w:pStyle w:val="TextBody"/>
        <w:bidi w:val="0"/>
        <w:spacing w:lineRule="auto" w:line="285" w:before="249"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Grant of Restricted Stock Units</w:t>
      </w:r>
      <w:r>
        <w:rPr>
          <w:rFonts w:ascii="Times New Roman;sans-serif" w:hAnsi="Times New Roman;sans-serif"/>
          <w:b/>
          <w:color w:val="000000"/>
          <w:sz w:val="24"/>
        </w:rPr>
        <w:t xml:space="preserve">. </w:t>
      </w:r>
      <w:r>
        <w:rPr>
          <w:rFonts w:ascii="Times New Roman;sans-serif" w:hAnsi="Times New Roman;sans-serif"/>
          <w:b w:val="false"/>
          <w:color w:val="000000"/>
          <w:sz w:val="24"/>
        </w:rPr>
        <w:t>The Company hereby grants to Participant under the Plan an Award of Restricted Stock Units, subject to all of the terms and conditions in this Award Agreement and the Plan, which is incorporated herein by reference. Subject to Section 13 of the Plan, if there is a conflict between the terms and conditions of the Plan and the terms and conditions of this Award Agreement, the terms and conditions of the Plan will prevail.</w:t>
      </w:r>
    </w:p>
    <w:p>
      <w:pPr>
        <w:pStyle w:val="TextBody"/>
        <w:bidi w:val="0"/>
        <w:spacing w:lineRule="auto" w:line="285" w:before="243"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Company’s Obligation to Pay</w:t>
      </w:r>
      <w:r>
        <w:rPr>
          <w:rFonts w:ascii="Times New Roman;sans-serif" w:hAnsi="Times New Roman;sans-serif"/>
          <w:b/>
          <w:color w:val="000000"/>
          <w:sz w:val="24"/>
        </w:rPr>
        <w:t xml:space="preserve">. </w:t>
      </w:r>
      <w:r>
        <w:rPr>
          <w:rFonts w:ascii="Times New Roman;sans-serif" w:hAnsi="Times New Roman;sans-serif"/>
          <w:b w:val="false"/>
          <w:color w:val="000000"/>
          <w:sz w:val="24"/>
        </w:rPr>
        <w:t>Each Restricted Stock Unit represents the right to receive a Share on the date it vests. Unless and until the Restricted Stock Units will have vested in the manner set forth in this Award Agreement, including the Notice of Grant attached as Part I to this Award Agreement,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this Award Agreement will be settled by delivery of whole Shares as set forth herein to Participant (or in the event of Participant’s death, to his or her estate), subject to Participant satisfying any Tax-Related Items as set forth in Section 6. Subject to the provisions of Section 4, such vested Restricted Stock Units will be settled by delivery of whole Shares as soon as practicable after vesting, but in each such case within the period ending no later than the date that is two and one-half (2½)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pStyle w:val="TextBody"/>
        <w:bidi w:val="0"/>
        <w:spacing w:lineRule="auto" w:line="285" w:before="252"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Termination</w:t>
      </w:r>
      <w:r>
        <w:rPr>
          <w:rFonts w:ascii="Times New Roman;sans-serif" w:hAnsi="Times New Roman;sans-serif"/>
          <w:b/>
          <w:color w:val="000000"/>
          <w:sz w:val="24"/>
        </w:rPr>
        <w:t xml:space="preserve">. </w:t>
      </w:r>
      <w:r>
        <w:rPr>
          <w:rFonts w:ascii="Times New Roman;sans-serif" w:hAnsi="Times New Roman;sans-serif"/>
          <w:b w:val="false"/>
          <w:color w:val="000000"/>
          <w:sz w:val="24"/>
        </w:rPr>
        <w:t>If Participant’s Continuous Service Status terminates at any time for any reason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all Restricted Stock Units for which vesting is no longer possible under the terms of the Notice of Grant attached as Part I to this Award Agreement and this Award Agreement shall be forfeited to the Company on the date that is three</w:t>
      </w:r>
    </w:p>
    <w:p>
      <w:pPr>
        <w:pStyle w:val="TextBody"/>
        <w:bidi w:val="0"/>
        <w:spacing w:lineRule="auto" w:line="285" w:before="3" w:after="283"/>
        <w:jc w:val="both"/>
        <w:rPr>
          <w:rFonts w:ascii="Times New Roman;sans-serif" w:hAnsi="Times New Roman;sans-serif"/>
          <w:b w:val="false"/>
          <w:color w:val="000000"/>
          <w:sz w:val="24"/>
        </w:rPr>
      </w:pPr>
      <w:r>
        <w:rPr>
          <w:rFonts w:ascii="Times New Roman;sans-serif" w:hAnsi="Times New Roman;sans-serif"/>
          <w:b w:val="false"/>
          <w:color w:val="000000"/>
          <w:sz w:val="24"/>
        </w:rPr>
        <w:t>(3) months following such termination of Continuous Service Status, and all rights of Participant to such Restricted Stock Units shall immediately terminate at such time. Further, for purposes of the Restricted Stock Units, Participant’s Continuous Service Status will be considered terminated as of the date Participant is no longer actively providing services to the Company, its Parent, Subsidiaries or Affiliates, regardless of the reason for such termination and whether or not later found to be invalid or in breach of the Applicable Laws in the jurisdiction where Participant is employed or the terms of Participant’s employment agreement, if any, and, unless otherwise determined by the Company, Participant’s right to vest in the Restricted Stock Units will terminate as of such date and will not be extended by any contractual notice period or any period of “garden leave” or similar notice period mandated under the Applicable Laws in the jurisdiction where Participant is employed or the terms of Participant’s employment agreement, if any. The Company shall have the exclusive discretion to determine when Participant is no longer actively providing services for purposes of the Restricted Stock Units (including, subject to the terms of the Plan and Applicable Laws, whether Participant may still be considered to be providing services while on a leave of absence).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5" w:before="61"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Administrator Discretion</w:t>
      </w:r>
      <w:r>
        <w:rPr>
          <w:rFonts w:ascii="Times New Roman;sans-serif" w:hAnsi="Times New Roman;sans-serif"/>
          <w:b/>
          <w:color w:val="000000"/>
          <w:sz w:val="24"/>
        </w:rPr>
        <w:t xml:space="preserve">. </w:t>
      </w:r>
      <w:r>
        <w:rPr>
          <w:rFonts w:ascii="Times New Roman;sans-serif" w:hAnsi="Times New Roman;sans-serif"/>
          <w:b w:val="false"/>
          <w:color w:val="000000"/>
          <w:sz w:val="24"/>
        </w:rPr>
        <w:t>Notwithstanding anything in the Plan or this Award Agreement to the contrary, if the vesting of the balance, or some lesser portion of the balance, of the Restricted Stock Units is accelerated in connection with the termination of Participant’s Continuous Service Status (provided that such termination is a “separation from service” within the meaning of Code Section 409A, as determined by the Company), other than due to death, and if (x) Participant is a “specified employee” within the meaning of Code Section 409A at the time of such termination of Participant’s Continuous Service Status and (y) the payment of such accelerated Restricted Stock Units will result in the imposition of additional tax under Code Section 409A if paid to Participant on or within the six (6) month period following termination of Participant’s Continuous Service Status, then the payment of such accelerated Restricted Stock Units will not be made until the date six (6) months and one (1) day following the date the termination of Participant’s Continuous Service Status, unless the Participant dies following the termination of his or her Continuous Service Status, in which case, the Restricted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pStyle w:val="TextBody"/>
        <w:bidi w:val="0"/>
        <w:spacing w:lineRule="auto" w:line="285" w:before="257"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Death of Participant</w:t>
      </w:r>
      <w:r>
        <w:rPr>
          <w:rFonts w:ascii="Times New Roman;sans-serif" w:hAnsi="Times New Roman;sans-serif"/>
          <w:b/>
          <w:color w:val="000000"/>
          <w:sz w:val="24"/>
        </w:rPr>
        <w:t xml:space="preserve">. </w:t>
      </w:r>
      <w:r>
        <w:rPr>
          <w:rFonts w:ascii="Times New Roman;sans-serif" w:hAnsi="Times New Roman;sans-serif"/>
          <w:b w:val="false"/>
          <w:color w:val="000000"/>
          <w:sz w:val="24"/>
        </w:rPr>
        <w:t>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w:t>
      </w:r>
    </w:p>
    <w:p>
      <w:pPr>
        <w:pStyle w:val="TextBody"/>
        <w:bidi w:val="0"/>
        <w:spacing w:lineRule="auto" w:line="285" w:before="3" w:after="283"/>
        <w:jc w:val="both"/>
        <w:rPr>
          <w:rFonts w:ascii="Times New Roman;sans-serif" w:hAnsi="Times New Roman;sans-serif"/>
          <w:b w:val="false"/>
          <w:color w:val="000000"/>
          <w:sz w:val="24"/>
        </w:rPr>
      </w:pPr>
      <w:r>
        <w:rPr>
          <w:rFonts w:ascii="Times New Roman;sans-serif" w:hAnsi="Times New Roman;sans-serif"/>
          <w:b w:val="false"/>
          <w:color w:val="000000"/>
          <w:sz w:val="24"/>
        </w:rPr>
        <w:t>(b) evidence satisfactory to the Company to establish the validity of the transfer and compliance with any Applicable Laws or regulations pertaining to said transfer.</w:t>
      </w:r>
    </w:p>
    <w:p>
      <w:pPr>
        <w:pStyle w:val="TextBody"/>
        <w:bidi w:val="0"/>
        <w:spacing w:lineRule="auto" w:line="285" w:before="242"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Withholding of Taxes</w:t>
      </w:r>
      <w:r>
        <w:rPr>
          <w:rFonts w:ascii="Times New Roman;sans-serif" w:hAnsi="Times New Roman;sans-serif"/>
          <w:b/>
          <w:color w:val="000000"/>
          <w:sz w:val="24"/>
        </w:rPr>
        <w:t xml:space="preserve">. </w:t>
      </w:r>
      <w:r>
        <w:rPr>
          <w:rFonts w:ascii="Times New Roman;sans-serif" w:hAnsi="Times New Roman;sans-serif"/>
          <w:b w:val="false"/>
          <w:color w:val="000000"/>
          <w:sz w:val="24"/>
        </w:rPr>
        <w:t>Regardless of any action the Company or Participant’s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sans-serif" w:hAnsi="Times New Roman;sans-serif"/>
          <w:b w:val="false"/>
          <w:color w:val="000000"/>
          <w:sz w:val="24"/>
          <w:u w:val="single"/>
        </w:rPr>
        <w:t>Tax-Related Items</w:t>
      </w:r>
      <w:r>
        <w:rPr>
          <w:color w:val="000000"/>
        </w:rPr>
        <w:t>”</w:t>
      </w:r>
      <w:r>
        <w:rPr>
          <w:rFonts w:ascii="Times New Roman;sans-serif" w:hAnsi="Times New Roman;sans-serif"/>
          <w:b w:val="false"/>
          <w:color w:val="000000"/>
          <w:sz w:val="24"/>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pStyle w:val="TextBody"/>
        <w:bidi w:val="0"/>
        <w:spacing w:lineRule="auto" w:line="285" w:before="255"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to the grant and vesting of the Restricted Stock Units and as set forth in Section 9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Restricted Stock Units. Any Shares withheld pursuant to this Section 6 shall be valued based on the Fair Market Value as of the date the withholding obligations are satisfied. Furthermore, Participant agrees to pay the Company or any Parent, Subsidiary, or Employer any Tax-Related Items that cannot be satisfied by the foregoing methods.</w:t>
      </w:r>
    </w:p>
    <w:p>
      <w:pPr>
        <w:pStyle w:val="TextBody"/>
        <w:bidi w:val="0"/>
        <w:spacing w:lineRule="auto" w:line="285" w:before="254"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Rights as Stockholder</w:t>
      </w:r>
      <w:r>
        <w:rPr>
          <w:rFonts w:ascii="Times New Roman;sans-serif" w:hAnsi="Times New Roman;sans-serif"/>
          <w:b/>
          <w:color w:val="000000"/>
          <w:sz w:val="24"/>
        </w:rPr>
        <w:t xml:space="preserve">. </w:t>
      </w:r>
      <w:r>
        <w:rPr>
          <w:rFonts w:ascii="Times New Roman;sans-serif" w:hAnsi="Times New Roman;sans-serif"/>
          <w:b w:val="false"/>
          <w:color w:val="000000"/>
          <w:sz w:val="24"/>
        </w:rPr>
        <w:t>Neither Participant nor any person claiming under or through Participant will have any of the rights or privileges of a stockholder of the Company in respect of any Shares deliverable hereunder unless and until such Shares will have been issued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pStyle w:val="TextBody"/>
        <w:bidi w:val="0"/>
        <w:spacing w:lineRule="auto" w:line="285" w:before="243" w:after="283"/>
        <w:ind w:left="0" w:right="0" w:firstLine="720"/>
        <w:jc w:val="left"/>
        <w:rPr/>
      </w:pPr>
      <w:r>
        <w:rPr>
          <w:rFonts w:ascii="Times New Roman;sans-serif" w:hAnsi="Times New Roman;sans-serif"/>
          <w:b w:val="false"/>
          <w:color w:val="000000"/>
          <w:sz w:val="24"/>
        </w:rPr>
        <w:t>8.</w:t>
      </w:r>
      <w:r>
        <w:rPr>
          <w:color w:val="000000"/>
        </w:rPr>
        <w:t>    </w:t>
      </w:r>
      <w:r>
        <w:rPr>
          <w:rFonts w:ascii="Times New Roman;sans-serif" w:hAnsi="Times New Roman;sans-serif"/>
          <w:b/>
          <w:color w:val="000000"/>
          <w:sz w:val="24"/>
          <w:u w:val="single"/>
        </w:rPr>
        <w:t>No Guarantee of Continued Service or Grants</w:t>
      </w:r>
      <w:r>
        <w:rPr>
          <w:rFonts w:ascii="Times New Roman;sans-serif" w:hAnsi="Times New Roman;sans-serif"/>
          <w:b/>
          <w:color w:val="000000"/>
          <w:sz w:val="24"/>
        </w:rPr>
        <w:t xml:space="preserve">. </w:t>
      </w:r>
      <w:r>
        <w:rPr>
          <w:rFonts w:ascii="Times New Roman;sans-serif" w:hAnsi="Times New Roman;sans-serif"/>
          <w:b w:val="false"/>
          <w:color w:val="000000"/>
          <w:sz w:val="24"/>
        </w:rPr>
        <w:t>PARTICIPANT ACKNOWLEDGES AND AGREES THAT THE VESTING OF THE RESTRICTED STOCK UNITS PURSUANT TO THE VESTING SCHEDULE HEREOF SHALL OCCUR SUBJECT TO PARTICIPANT’S CONTINUOUS SERVICE STATUS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PARENT OR SUBSIDIARY) TO TERMINATE PARTICIPANT’S CONTINUOUS SERVICE STATUS AT ANY TIME, WITH OR WITHOUT CAUSE, SUBJECT TO APPLICABLE LAWS.</w:t>
      </w:r>
    </w:p>
    <w:p>
      <w:pPr>
        <w:pStyle w:val="TextBody"/>
        <w:bidi w:val="0"/>
        <w:spacing w:lineRule="auto" w:line="285" w:before="252"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pStyle w:val="TextBody"/>
        <w:bidi w:val="0"/>
        <w:spacing w:lineRule="auto" w:line="285" w:before="253"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Grant is Not Transferable</w:t>
      </w:r>
      <w:r>
        <w:rPr>
          <w:rFonts w:ascii="Times New Roman;sans-serif" w:hAnsi="Times New Roman;sans-serif"/>
          <w:b/>
          <w:color w:val="000000"/>
          <w:sz w:val="24"/>
        </w:rPr>
        <w:t xml:space="preserve">. </w:t>
      </w:r>
      <w:r>
        <w:rPr>
          <w:rFonts w:ascii="Times New Roman;sans-serif" w:hAnsi="Times New Roman;sans-serif"/>
          <w:b w:val="false"/>
          <w:color w:val="000000"/>
          <w:sz w:val="24"/>
        </w:rPr>
        <w:t>Except to the limited extent provided in Section 5, this grant and the rights and privileges conferred hereby may not be transferred, assigned, pledged or hypothecated in any way (whether by operation of Applicable Laws or otherwise) and may not be subject to sale under execution, attachment or similar process. Upon any attempt to</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lineRule="auto" w:line="285" w:before="242"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Additional Conditions to Issuance of Stock and Imposition of Other</w:t>
      </w:r>
      <w:r>
        <w:rPr>
          <w:color w:val="000000"/>
        </w:rPr>
        <w:t xml:space="preserve"> </w:t>
      </w:r>
      <w:r>
        <w:rPr>
          <w:rFonts w:ascii="Times New Roman;sans-serif" w:hAnsi="Times New Roman;sans-serif"/>
          <w:b/>
          <w:color w:val="000000"/>
          <w:sz w:val="24"/>
          <w:u w:val="single"/>
        </w:rPr>
        <w:t>Requirements</w:t>
      </w:r>
      <w:r>
        <w:rPr>
          <w:rFonts w:ascii="Times New Roman;sans-serif" w:hAnsi="Times New Roman;sans-serif"/>
          <w:b/>
          <w:color w:val="000000"/>
          <w:sz w:val="24"/>
        </w:rPr>
        <w:t xml:space="preserve">. </w:t>
      </w:r>
      <w:r>
        <w:rPr>
          <w:rFonts w:ascii="Times New Roman;sans-serif" w:hAnsi="Times New Roman;sans-serif"/>
          <w:b w:val="false"/>
          <w:color w:val="000000"/>
          <w:sz w:val="24"/>
        </w:rPr>
        <w:t>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pStyle w:val="TextBody"/>
        <w:bidi w:val="0"/>
        <w:spacing w:lineRule="auto" w:line="285" w:before="252"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 Participant also understands and agrees that if he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pStyle w:val="TextBody"/>
        <w:bidi w:val="0"/>
        <w:spacing w:lineRule="auto" w:line="285" w:before="254"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Lock-Up Agreement</w:t>
      </w:r>
      <w:r>
        <w:rPr>
          <w:rFonts w:ascii="Times New Roman;sans-serif" w:hAnsi="Times New Roman;sans-serif"/>
          <w:b/>
          <w:color w:val="000000"/>
          <w:sz w:val="24"/>
        </w:rPr>
        <w:t xml:space="preserve">. </w:t>
      </w:r>
      <w:r>
        <w:rPr>
          <w:rFonts w:ascii="Times New Roman;sans-serif" w:hAnsi="Times New Roman;sans-serif"/>
          <w:b w:val="false"/>
          <w:color w:val="000000"/>
          <w:sz w:val="24"/>
        </w:rPr>
        <w:t>In connection with any public offering of the Company’s securities, Participant hereby agrees not to offer, pledge, sell, contract to sell, make any short sale of, loan, grant any option for the purchase of, or otherwise dispose of any securities of the Company however and whenever acquired (other than those included in the registration) without</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prior written consent of the Company and the managing underwriters for such offering for such period of time (not to exceed 180 days) from the effective date of such offering as may be requested by the Company or such managing underwriters and to execute an agreement reflecting the foregoing as may be requested by the underwriters at the time of the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offering. In order to enforce the restriction set forth above, the Company may impose stop-transfer instructions with respect to the Shares acquired under this Award Agreement until the end of the applicable restriction period. The Company’s underwriters shall be beneficiaries of the agreement set forth in this Section.</w:t>
      </w:r>
    </w:p>
    <w:p>
      <w:pPr>
        <w:pStyle w:val="TextBody"/>
        <w:bidi w:val="0"/>
        <w:spacing w:lineRule="auto" w:line="285" w:before="252"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w:t>
      </w:r>
    </w:p>
    <w:p>
      <w:pPr>
        <w:pStyle w:val="TextBody"/>
        <w:bidi w:val="0"/>
        <w:spacing w:lineRule="auto" w:line="285" w:before="248"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Limitations on Transfer</w:t>
      </w:r>
      <w:r>
        <w:rPr>
          <w:rFonts w:ascii="Times New Roman;sans-serif" w:hAnsi="Times New Roman;sans-serif"/>
          <w:b/>
          <w:color w:val="000000"/>
          <w:sz w:val="24"/>
        </w:rPr>
        <w:t xml:space="preserve">. </w:t>
      </w:r>
      <w:r>
        <w:rPr>
          <w:rFonts w:ascii="Times New Roman;sans-serif" w:hAnsi="Times New Roman;sans-serif"/>
          <w:b w:val="false"/>
          <w:color w:val="000000"/>
          <w:sz w:val="24"/>
        </w:rPr>
        <w:t>Participant acknowledges and agrees that the Shares purchased under this Award Agreement are subject to (i) the terms and conditions that apply to the Company’s Common Stock, as set forth in the Company’s Bylaws as in effect at the time of any proposed transfer (the “</w:t>
      </w:r>
      <w:r>
        <w:rPr>
          <w:rFonts w:ascii="Times New Roman;sans-serif" w:hAnsi="Times New Roman;sans-serif"/>
          <w:b w:val="false"/>
          <w:color w:val="000000"/>
          <w:sz w:val="24"/>
          <w:u w:val="single"/>
        </w:rPr>
        <w:t>Bylaw Provisions</w:t>
      </w:r>
      <w:r>
        <w:rPr>
          <w:color w:val="000000"/>
        </w:rPr>
        <w:t>”</w:t>
      </w:r>
      <w:r>
        <w:rPr>
          <w:rFonts w:ascii="Times New Roman;sans-serif" w:hAnsi="Times New Roman;sans-serif"/>
          <w:b w:val="false"/>
          <w:color w:val="000000"/>
          <w:sz w:val="24"/>
        </w:rPr>
        <w:t>), and (ii) any other limitation or restriction on transfer created by Applicable Laws. Participant shall not assign, encumber or dispose of any interest in the Shares except to the extent permitted by, and in compliance with the Bylaw Provisions and Applicable Laws.</w:t>
      </w:r>
    </w:p>
    <w:p>
      <w:pPr>
        <w:pStyle w:val="TextBody"/>
        <w:bidi w:val="0"/>
        <w:spacing w:lineRule="auto" w:line="285" w:before="246"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Investment and Taxation Representations</w:t>
      </w:r>
      <w:r>
        <w:rPr>
          <w:rFonts w:ascii="Times New Roman;sans-serif" w:hAnsi="Times New Roman;sans-serif"/>
          <w:b/>
          <w:color w:val="000000"/>
          <w:sz w:val="24"/>
        </w:rPr>
        <w:t xml:space="preserve">. </w:t>
      </w:r>
      <w:r>
        <w:rPr>
          <w:rFonts w:ascii="Times New Roman;sans-serif" w:hAnsi="Times New Roman;sans-serif"/>
          <w:b w:val="false"/>
          <w:color w:val="000000"/>
          <w:sz w:val="24"/>
        </w:rPr>
        <w:t>In connection with the receipt of the Restricted Stock Units and the Shares upon payment of the Restricted Stock Units, Participant represents to the Company the following:</w:t>
      </w:r>
    </w:p>
    <w:p>
      <w:pPr>
        <w:pStyle w:val="TextBody"/>
        <w:bidi w:val="0"/>
        <w:spacing w:lineRule="auto" w:line="285" w:before="242"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(a)Participant is aware of the Company’s business affairs and financial condition and has acquired sufficient information about the Company to reach an informed and knowledgeable decision to acquire the Shares issued pursuant to this Award Agreement. Participant is or will be acquiring the Shares for investment for Participant’s own account only and not with a view to, or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61" w:after="283"/>
        <w:jc w:val="both"/>
        <w:rPr/>
      </w:pPr>
      <w:r>
        <w:rPr>
          <w:rFonts w:ascii="Times New Roman;sans-serif" w:hAnsi="Times New Roman;sans-serif"/>
          <w:b w:val="false"/>
          <w:color w:val="000000"/>
          <w:sz w:val="24"/>
        </w:rPr>
        <w:t>for resale in connection with, any “distribution” thereof within the meaning of the Securities Act of 1933, as amended (the “</w:t>
      </w:r>
      <w:r>
        <w:rPr>
          <w:rFonts w:ascii="Times New Roman;sans-serif" w:hAnsi="Times New Roman;sans-serif"/>
          <w:b w:val="false"/>
          <w:color w:val="000000"/>
          <w:sz w:val="24"/>
          <w:u w:val="single"/>
        </w:rPr>
        <w:t>Securities Act</w:t>
      </w:r>
      <w:r>
        <w:rPr>
          <w:color w:val="000000"/>
        </w:rPr>
        <w:t>”</w:t>
      </w:r>
      <w:r>
        <w:rPr>
          <w:rFonts w:ascii="Times New Roman;sans-serif" w:hAnsi="Times New Roman;sans-serif"/>
          <w:b w:val="false"/>
          <w:color w:val="000000"/>
          <w:sz w:val="24"/>
        </w:rPr>
        <w:t>) or under any applicable provision of state law. Participant does not have any present intention to transfer the Shares issued pursuant to this Award Agreement to any other person or entity.</w:t>
      </w:r>
    </w:p>
    <w:p>
      <w:pPr>
        <w:pStyle w:val="TextBody"/>
        <w:bidi w:val="0"/>
        <w:spacing w:lineRule="auto" w:line="285" w:before="243"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(b)Participant understands that the Shares issued pursuant to this Award Agreement have not been registered under the Securities Act by reason of a specific exemption therefrom, which exemption depends upon, among other things, the bona fide nature of Participant’s investment intent as expressed herein.</w:t>
      </w:r>
    </w:p>
    <w:p>
      <w:pPr>
        <w:pStyle w:val="TextBody"/>
        <w:bidi w:val="0"/>
        <w:spacing w:lineRule="auto" w:line="285" w:before="243"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(c)Participant further acknowledges and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w:t>
      </w:r>
    </w:p>
    <w:p>
      <w:pPr>
        <w:pStyle w:val="TextBody"/>
        <w:bidi w:val="0"/>
        <w:spacing w:lineRule="auto" w:line="285" w:before="243"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(d)Participant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Participant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13(d), Participant acknowledges and agrees to the restrictions set forth in Section 13(e) below.</w:t>
      </w:r>
    </w:p>
    <w:p>
      <w:pPr>
        <w:pStyle w:val="TextBody"/>
        <w:bidi w:val="0"/>
        <w:spacing w:lineRule="auto" w:line="285" w:before="24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(e)Participant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pStyle w:val="TextBody"/>
        <w:bidi w:val="0"/>
        <w:spacing w:lineRule="auto" w:line="285" w:before="24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(f)Participant represents that Participant is not subject to any of the “Bad Actor” disqualifications described in Rule 506(d)(1)(i) to (viii) under the Securities Act. Participant also agrees to notify the Company if Participant becomes subject to such disqualifications after the date hereof.</w:t>
      </w:r>
    </w:p>
    <w:p>
      <w:pPr>
        <w:pStyle w:val="TextBody"/>
        <w:bidi w:val="0"/>
        <w:spacing w:lineRule="auto" w:line="285" w:before="243"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(g)Participant understands that Participant may suffer adverse tax consequences as a result of Participant’s receipt of the Restricted Stock Units, the vesting and/or payment of the Restricted Stock Units, the issuance of Shares allocated to the Restricted Stock Units and/or the disposition of such Shares. Participant represents that Participant has consulted any tax</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consultants Participant deems advisable in connection with the receipt of the Restricted Stock Units, the vesting and/or payment of the Restricted Stock Units, the issuance of Shares allocated to the Restricted Stock Units and/or the disposition of such Shares and that Participant is not relying on the Company for any tax advice.</w:t>
      </w:r>
    </w:p>
    <w:p>
      <w:pPr>
        <w:pStyle w:val="TextBody"/>
        <w:bidi w:val="0"/>
        <w:spacing w:lineRule="auto" w:line="240" w:before="243" w:after="283"/>
        <w:ind w:left="0" w:right="0" w:hanging="719"/>
        <w:jc w:val="left"/>
        <w:rPr/>
      </w:pPr>
      <w:r>
        <w:rPr>
          <w:rFonts w:ascii="Times New Roman;sans-serif" w:hAnsi="Times New Roman;sans-serif"/>
          <w:b w:val="false"/>
          <w:color w:val="000000"/>
          <w:sz w:val="24"/>
        </w:rPr>
        <w:t>1.</w:t>
      </w:r>
      <w:r>
        <w:rPr>
          <w:rFonts w:ascii="Times New Roman;sans-serif" w:hAnsi="Times New Roman;sans-serif"/>
          <w:b/>
          <w:color w:val="000000"/>
          <w:sz w:val="24"/>
          <w:u w:val="single"/>
        </w:rPr>
        <w:t>Restrictive Legends and Stop-Transfer Orders</w:t>
      </w:r>
      <w:r>
        <w:rPr>
          <w:rFonts w:ascii="Times New Roman;sans-serif" w:hAnsi="Times New Roman;sans-serif"/>
          <w:b/>
          <w:color w:val="000000"/>
          <w:sz w:val="24"/>
        </w:rPr>
        <w:t>.</w:t>
      </w:r>
    </w:p>
    <w:p>
      <w:pPr>
        <w:pStyle w:val="TextBody"/>
        <w:bidi w:val="0"/>
        <w:spacing w:lineRule="auto" w:line="285" w:before="249"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Legends</w:t>
      </w:r>
      <w:r>
        <w:rPr>
          <w:rFonts w:ascii="Times New Roman;sans-serif" w:hAnsi="Times New Roman;sans-serif"/>
          <w:b/>
          <w:color w:val="000000"/>
          <w:sz w:val="24"/>
        </w:rPr>
        <w:t xml:space="preserve">. </w:t>
      </w:r>
      <w:r>
        <w:rPr>
          <w:rFonts w:ascii="Times New Roman;sans-serif" w:hAnsi="Times New Roman;sans-serif"/>
          <w:b w:val="false"/>
          <w:color w:val="000000"/>
          <w:sz w:val="24"/>
        </w:rPr>
        <w:t>Any stock certificate or, in the case of uncertificated securities, any notice of issuance, for the Shares shall bear the following legends (as well as any legends required by the Company or applicable state and federal corporate and securities laws):</w:t>
      </w:r>
    </w:p>
    <w:p>
      <w:pPr>
        <w:pStyle w:val="TextBody"/>
        <w:bidi w:val="0"/>
        <w:spacing w:lineRule="auto" w:line="285" w:before="242" w:after="283"/>
        <w:ind w:left="0" w:right="0" w:firstLine="14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pStyle w:val="TextBody"/>
        <w:bidi w:val="0"/>
        <w:spacing w:lineRule="auto" w:line="285" w:before="246"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Stop-Transfer Notices</w:t>
      </w:r>
      <w:r>
        <w:rPr>
          <w:rFonts w:ascii="Times New Roman;sans-serif" w:hAnsi="Times New Roman;sans-serif"/>
          <w:b/>
          <w:color w:val="000000"/>
          <w:sz w:val="24"/>
        </w:rPr>
        <w:t xml:space="preserve">. </w:t>
      </w:r>
      <w:r>
        <w:rPr>
          <w:rFonts w:ascii="Times New Roman;sans-serif" w:hAnsi="Times New Roman;sans-serif"/>
          <w:b w:val="false"/>
          <w:color w:val="000000"/>
          <w:sz w:val="24"/>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lineRule="auto" w:line="285" w:before="243"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Required Notices</w:t>
      </w:r>
      <w:r>
        <w:rPr>
          <w:rFonts w:ascii="Times New Roman;sans-serif" w:hAnsi="Times New Roman;sans-serif"/>
          <w:b/>
          <w:color w:val="000000"/>
          <w:sz w:val="24"/>
        </w:rPr>
        <w:t xml:space="preserve">. </w:t>
      </w:r>
      <w:r>
        <w:rPr>
          <w:rFonts w:ascii="Times New Roman;sans-serif" w:hAnsi="Times New Roman;sans-serif"/>
          <w:b w:val="false"/>
          <w:color w:val="000000"/>
          <w:sz w:val="24"/>
        </w:rPr>
        <w:t>Participant acknowledges that the Shares are issued and shall be held subject to all the provisions of this Section 14, the Certificate of Incorporation and the Bylaws of the Company and any amendments thereto,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Participant acknowledges that the provisions of this Section 14 shall constitute the notices required by Sections 151(f) and 202(a) of the Delaware General Corporation Law and the Participant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pStyle w:val="TextBody"/>
        <w:bidi w:val="0"/>
        <w:spacing w:lineRule="auto" w:line="285" w:before="249"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Waiver of Statutory Information Rights</w:t>
      </w:r>
      <w:r>
        <w:rPr>
          <w:rFonts w:ascii="Times New Roman;sans-serif" w:hAnsi="Times New Roman;sans-serif"/>
          <w:b/>
          <w:color w:val="000000"/>
          <w:sz w:val="24"/>
        </w:rPr>
        <w:t xml:space="preserve">. </w:t>
      </w:r>
      <w:r>
        <w:rPr>
          <w:rFonts w:ascii="Times New Roman;sans-serif" w:hAnsi="Times New Roman;sans-serif"/>
          <w:b w:val="false"/>
          <w:color w:val="000000"/>
          <w:sz w:val="24"/>
        </w:rPr>
        <w:t>Participant acknowledges and understands that, but for the waiver made herein, Participant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Participant as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61" w:after="283"/>
        <w:jc w:val="both"/>
        <w:rPr/>
      </w:pPr>
      <w:r>
        <w:rPr>
          <w:rFonts w:ascii="Times New Roman;sans-serif" w:hAnsi="Times New Roman;sans-serif"/>
          <w:b w:val="false"/>
          <w:color w:val="000000"/>
          <w:sz w:val="24"/>
        </w:rPr>
        <w:t>may be provided for in Section 220, the “</w:t>
      </w:r>
      <w:r>
        <w:rPr>
          <w:rFonts w:ascii="Times New Roman;sans-serif" w:hAnsi="Times New Roman;sans-serif"/>
          <w:b w:val="false"/>
          <w:color w:val="000000"/>
          <w:sz w:val="24"/>
          <w:u w:val="single"/>
        </w:rPr>
        <w:t>Inspection Rights</w:t>
      </w:r>
      <w:r>
        <w:rPr>
          <w:color w:val="000000"/>
        </w:rPr>
        <w:t>”</w:t>
      </w:r>
      <w:r>
        <w:rPr>
          <w:rFonts w:ascii="Times New Roman;sans-serif" w:hAnsi="Times New Roman;sans-serif"/>
          <w:b w:val="false"/>
          <w:color w:val="000000"/>
          <w:sz w:val="24"/>
        </w:rPr>
        <w:t>). In light of the foregoing, until the first sale of Common Stock of the Company to the general public pursuant to a registration statement filed with and declared effective by the Securities and Exchange Commission under the Securities Act of 1933, as amended, Participant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Participant in Participant’s capacity as a stockholder and shall not affect any rights of a director, in his or her capacity as such, under Section 220. The foregoing waiver shall not apply to any contractual inspection rights of Participant under any written agreement with the Company.</w:t>
      </w:r>
    </w:p>
    <w:p>
      <w:pPr>
        <w:pStyle w:val="TextBody"/>
        <w:bidi w:val="0"/>
        <w:spacing w:lineRule="auto" w:line="285" w:before="249"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Plan Governs</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lineRule="auto" w:line="285" w:before="243"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Administrator Authority</w:t>
      </w:r>
      <w:r>
        <w:rPr>
          <w:rFonts w:ascii="Times New Roman;sans-serif" w:hAnsi="Times New Roman;sans-serif"/>
          <w:b/>
          <w:color w:val="000000"/>
          <w:sz w:val="24"/>
        </w:rPr>
        <w:t xml:space="preserve">. </w:t>
      </w:r>
      <w:r>
        <w:rPr>
          <w:rFonts w:ascii="Times New Roman;sans-serif" w:hAnsi="Times New Roman;sans-serif"/>
          <w:b w:val="false"/>
          <w:color w:val="000000"/>
          <w:sz w:val="24"/>
        </w:rPr>
        <w:t>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lineRule="auto" w:line="285" w:before="247"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Electronic Delivery and Acceptance; Translation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The Company may, in its sole discretion, decide to deliver any documents related to 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pStyle w:val="TextBody"/>
        <w:bidi w:val="0"/>
        <w:spacing w:lineRule="auto" w:line="285" w:before="25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Data Privacy</w:t>
      </w:r>
      <w:r>
        <w:rPr>
          <w:rFonts w:ascii="Times New Roman;sans-serif" w:hAnsi="Times New Roman;sans-serif"/>
          <w:b/>
          <w:color w:val="000000"/>
          <w:sz w:val="24"/>
        </w:rPr>
        <w:t xml:space="preserve">. </w:t>
      </w:r>
      <w:r>
        <w:rPr>
          <w:rFonts w:ascii="Times New Roman;sans-serif" w:hAnsi="Times New Roman;sans-serif"/>
          <w:b/>
          <w:i/>
          <w:color w:val="000000"/>
          <w:sz w:val="24"/>
        </w:rPr>
        <w:t>Participant hereby explicitly and unambiguously consents to the collection, use and transfer, in electronic or other form, of Participant’s Personal Data (as described below) by and among, as applicable, the Company, any Parent, Subsidiary, or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61" w:after="283"/>
        <w:jc w:val="both"/>
        <w:rPr>
          <w:rFonts w:ascii="Times New Roman;sans-serif" w:hAnsi="Times New Roman;sans-serif"/>
          <w:b/>
          <w:i/>
          <w:color w:val="000000"/>
          <w:sz w:val="24"/>
        </w:rPr>
      </w:pPr>
      <w:r>
        <w:rPr>
          <w:rFonts w:ascii="Times New Roman;sans-serif" w:hAnsi="Times New Roman;sans-serif"/>
          <w:b/>
          <w:i/>
          <w:color w:val="000000"/>
          <w:sz w:val="24"/>
        </w:rPr>
        <w:t>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w:t>
      </w:r>
    </w:p>
    <w:p>
      <w:pPr>
        <w:pStyle w:val="TextBody"/>
        <w:bidi w:val="0"/>
        <w:spacing w:lineRule="auto" w:line="285" w:before="243" w:after="283"/>
        <w:ind w:left="0" w:right="0" w:firstLine="720"/>
        <w:jc w:val="both"/>
        <w:rPr/>
      </w:pPr>
      <w:r>
        <w:rPr>
          <w:rFonts w:ascii="Times New Roman;sans-serif" w:hAnsi="Times New Roman;sans-serif"/>
          <w:b/>
          <w:i/>
          <w:color w:val="000000"/>
          <w:sz w:val="24"/>
        </w:rPr>
        <w:t>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Restricted Stock Units or any other entitlement to Shares awarded, canceled, exercised, vested, unvested or outstanding in Participant’s favor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pStyle w:val="TextBody"/>
        <w:bidi w:val="0"/>
        <w:spacing w:lineRule="auto" w:line="285" w:before="252" w:after="283"/>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pStyle w:val="TextBody"/>
        <w:bidi w:val="0"/>
        <w:spacing w:lineRule="auto" w:line="285" w:before="242"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Foreign Exchange Fluctuations and Restrictions</w:t>
      </w:r>
      <w:r>
        <w:rPr>
          <w:rFonts w:ascii="Times New Roman;sans-serif" w:hAnsi="Times New Roman;sans-serif"/>
          <w:b/>
          <w:color w:val="000000"/>
          <w:sz w:val="24"/>
        </w:rPr>
        <w:t xml:space="preserve">. </w:t>
      </w:r>
      <w:r>
        <w:rPr>
          <w:rFonts w:ascii="Times New Roman;sans-serif" w:hAnsi="Times New Roman;sans-serif"/>
          <w:b w:val="false"/>
          <w:color w:val="000000"/>
          <w:sz w:val="24"/>
        </w:rPr>
        <w:t>Participant understands and agrees that the future value of the underlying Shares is unknown and cannot be predicted with certainty and may decrease. Participant also understands that the Company, and any Parent, Subsidiary and Affiliate, are not responsible for any foreign exchange fluctuation between local currency and the United States Dollar or the selection by the Company, or any Parent, Subsidiary or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pStyle w:val="TextBody"/>
        <w:bidi w:val="0"/>
        <w:spacing w:lineRule="auto" w:line="285" w:before="249"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Amendment, Suspension or Termination of the Plan</w:t>
      </w:r>
      <w:r>
        <w:rPr>
          <w:rFonts w:ascii="Times New Roman;sans-serif" w:hAnsi="Times New Roman;sans-serif"/>
          <w:b/>
          <w:color w:val="000000"/>
          <w:sz w:val="24"/>
        </w:rPr>
        <w:t xml:space="preserve">. </w:t>
      </w:r>
      <w:r>
        <w:rPr>
          <w:rFonts w:ascii="Times New Roman;sans-serif" w:hAnsi="Times New Roman;sans-serif"/>
          <w:b w:val="false"/>
          <w:color w:val="000000"/>
          <w:sz w:val="24"/>
        </w:rPr>
        <w:t>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61" w:after="283"/>
        <w:ind w:left="0" w:right="0" w:hanging="719"/>
        <w:jc w:val="left"/>
        <w:rPr/>
      </w:pPr>
      <w:r>
        <w:rPr>
          <w:rFonts w:ascii="Times New Roman;sans-serif" w:hAnsi="Times New Roman;sans-serif"/>
          <w:b w:val="false"/>
          <w:color w:val="000000"/>
          <w:sz w:val="24"/>
        </w:rPr>
        <w:t>9.</w:t>
      </w:r>
      <w:r>
        <w:rPr>
          <w:rFonts w:ascii="Times New Roman;sans-serif" w:hAnsi="Times New Roman;sans-serif"/>
          <w:b/>
          <w:color w:val="000000"/>
          <w:sz w:val="24"/>
          <w:u w:val="single"/>
        </w:rPr>
        <w:t>Miscellaneous</w:t>
      </w:r>
      <w:r>
        <w:rPr>
          <w:rFonts w:ascii="Times New Roman;sans-serif" w:hAnsi="Times New Roman;sans-serif"/>
          <w:b/>
          <w:color w:val="000000"/>
          <w:sz w:val="24"/>
        </w:rPr>
        <w:t>.</w:t>
      </w:r>
    </w:p>
    <w:p>
      <w:pPr>
        <w:pStyle w:val="TextBody"/>
        <w:bidi w:val="0"/>
        <w:spacing w:lineRule="auto" w:line="285" w:before="249"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Governing Law</w:t>
      </w:r>
      <w:r>
        <w:rPr>
          <w:rFonts w:ascii="Times New Roman;sans-serif" w:hAnsi="Times New Roman;sans-serif"/>
          <w:b/>
          <w:color w:val="000000"/>
          <w:sz w:val="24"/>
        </w:rPr>
        <w:t xml:space="preserve">. </w:t>
      </w:r>
      <w:r>
        <w:rPr>
          <w:rFonts w:ascii="Times New Roman;sans-serif" w:hAnsi="Times New Roman;sans-serif"/>
          <w:b w:val="false"/>
          <w:color w:val="000000"/>
          <w:sz w:val="24"/>
        </w:rPr>
        <w:t>The validity, interpretation, construction and performance of this Award Agreement, and all acts and transactions 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Award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pStyle w:val="TextBody"/>
        <w:bidi w:val="0"/>
        <w:spacing w:lineRule="auto" w:line="285" w:before="246"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Entire Agreement</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Award Agreement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pStyle w:val="TextBody"/>
        <w:bidi w:val="0"/>
        <w:spacing w:lineRule="auto" w:line="285" w:before="243"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Amendments and Waivers</w:t>
      </w:r>
      <w:r>
        <w:rPr>
          <w:rFonts w:ascii="Times New Roman;sans-serif" w:hAnsi="Times New Roman;sans-serif"/>
          <w:b/>
          <w:color w:val="000000"/>
          <w:sz w:val="24"/>
        </w:rPr>
        <w:t xml:space="preserve">. </w:t>
      </w:r>
      <w:r>
        <w:rPr>
          <w:rFonts w:ascii="Times New Roman;sans-serif" w:hAnsi="Times New Roman;sans-serif"/>
          <w:b w:val="false"/>
          <w:color w:val="000000"/>
          <w:sz w:val="24"/>
        </w:rPr>
        <w:t>No modification of or amendment to this Award Agreement, nor any waiver of any rights under this Award Agreement, shall be effective unless in writing signed by the parties to this Award Agreement. No delay or failure to require performance of any provision of this Award Agreement shall constitute a waiver of that provision as to that or any other instance.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pStyle w:val="TextBody"/>
        <w:bidi w:val="0"/>
        <w:spacing w:lineRule="auto" w:line="285" w:before="247"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Successors and Assigns</w:t>
      </w:r>
      <w:r>
        <w:rPr>
          <w:rFonts w:ascii="Times New Roman;sans-serif" w:hAnsi="Times New Roman;sans-serif"/>
          <w:b/>
          <w:color w:val="000000"/>
          <w:sz w:val="24"/>
        </w:rPr>
        <w:t xml:space="preserve">. </w:t>
      </w:r>
      <w:r>
        <w:rPr>
          <w:rFonts w:ascii="Times New Roman;sans-serif" w:hAnsi="Times New Roman;sans-serif"/>
          <w:b w:val="false"/>
          <w:color w:val="000000"/>
          <w:sz w:val="24"/>
        </w:rPr>
        <w:t>Except as otherwise provided in this Award Agreement, this Award Agreement, and the rights and obligations of the parties hereunder, will be binding upon and inure to the benefit of their respective successors, assigns, heirs, executors, administrators and legal representatives. The Company may assign any of its rights and obligations under this Award Agreement. Except to the limited extent provided in Section 5, no other party to this Award Agreement may assign, whether voluntarily or by operation of law, any of its rights and obligations under this Award Agreement, except with the prior written consent of the Company.</w:t>
      </w:r>
    </w:p>
    <w:p>
      <w:pPr>
        <w:pStyle w:val="TextBody"/>
        <w:bidi w:val="0"/>
        <w:spacing w:lineRule="auto" w:line="285" w:before="246"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color w:val="000000"/>
          <w:sz w:val="24"/>
          <w:u w:val="single"/>
        </w:rPr>
        <w:t>Notices</w:t>
      </w:r>
      <w:r>
        <w:rPr>
          <w:rFonts w:ascii="Times New Roman;sans-serif" w:hAnsi="Times New Roman;sans-serif"/>
          <w:b/>
          <w:color w:val="000000"/>
          <w:sz w:val="24"/>
        </w:rPr>
        <w:t xml:space="preserve">. </w:t>
      </w:r>
      <w:r>
        <w:rPr>
          <w:rFonts w:ascii="Times New Roman;sans-serif" w:hAnsi="Times New Roman;sans-serif"/>
          <w:b w:val="false"/>
          <w:color w:val="000000"/>
          <w:sz w:val="24"/>
        </w:rPr>
        <w:t>Any notice, demand or request required or permitted to be given under this Award Agreement shall be in writing and shall be deemed sufficient when delivered personally or by overnight courier or sent by email, or 48 hours after being deposited in the U.S. mail as certified or registered mail with postage prepaid, addressed to the party to be notified at the most recent address for such party set forth in the Company’s books and records.</w:t>
      </w:r>
    </w:p>
    <w:p>
      <w:pPr>
        <w:pStyle w:val="TextBody"/>
        <w:bidi w:val="0"/>
        <w:spacing w:lineRule="auto" w:line="285" w:before="244" w:after="283"/>
        <w:ind w:left="0" w:right="0" w:firstLine="720"/>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Severability</w:t>
      </w:r>
      <w:r>
        <w:rPr>
          <w:rFonts w:ascii="Times New Roman;sans-serif" w:hAnsi="Times New Roman;sans-serif"/>
          <w:b/>
          <w:color w:val="000000"/>
          <w:sz w:val="24"/>
        </w:rPr>
        <w:t xml:space="preserve">. </w:t>
      </w:r>
      <w:r>
        <w:rPr>
          <w:rFonts w:ascii="Times New Roman;sans-serif" w:hAnsi="Times New Roman;sans-serif"/>
          <w:b w:val="false"/>
          <w:color w:val="000000"/>
          <w:sz w:val="24"/>
        </w:rPr>
        <w:t>If one or more provisions of this Award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Award</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Agreement, (ii) the balance of the Award Agreement shall be interpreted as if such provision were so excluded and (iii) the balance of the Award Agreement shall be enforceable in accordance with its terms.</w:t>
      </w:r>
    </w:p>
    <w:p>
      <w:pPr>
        <w:pStyle w:val="TextBody"/>
        <w:bidi w:val="0"/>
        <w:spacing w:lineRule="auto" w:line="285" w:before="242" w:after="283"/>
        <w:ind w:left="0" w:right="0" w:firstLine="720"/>
        <w:jc w:val="both"/>
        <w:rPr/>
      </w:pPr>
      <w:r>
        <w:rPr>
          <w:rFonts w:ascii="Times New Roman;sans-serif" w:hAnsi="Times New Roman;sans-serif"/>
          <w:b w:val="false"/>
          <w:color w:val="000000"/>
          <w:sz w:val="24"/>
        </w:rPr>
        <w:t>(g)</w:t>
      </w:r>
      <w:r>
        <w:rPr>
          <w:rFonts w:ascii="Times New Roman;sans-serif" w:hAnsi="Times New Roman;sans-serif"/>
          <w:b/>
          <w:color w:val="000000"/>
          <w:sz w:val="24"/>
          <w:u w:val="single"/>
        </w:rPr>
        <w:t>Construction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Award Agreement is the result of negotiations between and has been reviewed by each of the parties hereto and their respective counsel, if any; accordingly, this Award Agreement shall be deemed to be the product of all of the parties hereto, and no ambiguity shall be construed in favor of or against any one of the parties hereto.</w:t>
      </w:r>
    </w:p>
    <w:p>
      <w:pPr>
        <w:pStyle w:val="TextBody"/>
        <w:bidi w:val="0"/>
        <w:spacing w:lineRule="auto" w:line="285" w:before="243" w:after="283"/>
        <w:ind w:left="0" w:right="0" w:firstLine="720"/>
        <w:jc w:val="both"/>
        <w:rPr/>
      </w:pPr>
      <w:r>
        <w:rPr>
          <w:rFonts w:ascii="Times New Roman;sans-serif" w:hAnsi="Times New Roman;sans-serif"/>
          <w:b w:val="false"/>
          <w:color w:val="000000"/>
          <w:sz w:val="24"/>
        </w:rPr>
        <w:t>(h)</w:t>
      </w:r>
      <w:r>
        <w:rPr>
          <w:rFonts w:ascii="Times New Roman;sans-serif" w:hAnsi="Times New Roman;sans-serif"/>
          <w:b/>
          <w:color w:val="000000"/>
          <w:sz w:val="24"/>
          <w:u w:val="single"/>
        </w:rPr>
        <w:t>Counterparts</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Award Agreement may be accepted in any number of counterparts, each of which when so accepted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pStyle w:val="TextBody"/>
        <w:bidi w:val="0"/>
        <w:spacing w:lineRule="auto" w:line="240" w:before="244"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6" w:after="283"/>
        <w:jc w:val="center"/>
        <w:rPr>
          <w:rFonts w:ascii="Times New Roman;sans-serif" w:hAnsi="Times New Roman;sans-serif"/>
          <w:b/>
          <w:color w:val="000000"/>
          <w:sz w:val="24"/>
        </w:rPr>
      </w:pPr>
      <w:r>
        <w:rPr>
          <w:rFonts w:ascii="Times New Roman;sans-serif" w:hAnsi="Times New Roman;sans-serif"/>
          <w:b/>
          <w:color w:val="000000"/>
          <w:sz w:val="24"/>
        </w:rPr>
        <w:t>Country-Specific Addendum</w:t>
      </w:r>
    </w:p>
    <w:p>
      <w:pPr>
        <w:pStyle w:val="TextBody"/>
        <w:bidi w:val="0"/>
        <w:spacing w:before="62" w:after="283"/>
        <w:jc w:val="left"/>
        <w:rPr/>
      </w:pPr>
      <w:r>
        <w:rPr/>
      </w:r>
    </w:p>
    <w:p>
      <w:pPr>
        <w:pStyle w:val="TextBody"/>
        <w:bidi w:val="0"/>
        <w:spacing w:lineRule="auto" w:line="285"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pStyle w:val="TextBody"/>
        <w:bidi w:val="0"/>
        <w:spacing w:before="19" w:after="283"/>
        <w:jc w:val="left"/>
        <w:rPr/>
      </w:pPr>
      <w:r>
        <w:rPr/>
      </w:r>
    </w:p>
    <w:p>
      <w:pPr>
        <w:pStyle w:val="TextBody"/>
        <w:bidi w:val="0"/>
        <w:spacing w:lineRule="auto" w:line="285" w:before="0" w:after="0"/>
        <w:jc w:val="both"/>
        <w:rPr/>
      </w:pPr>
      <w:r>
        <w:rPr>
          <w:rFonts w:ascii="Times New Roman;sans-serif" w:hAnsi="Times New Roman;sans-serif"/>
          <w:b/>
          <w:color w:val="000000"/>
          <w:sz w:val="24"/>
        </w:rPr>
        <w:t xml:space="preserve">Securities Law Notice: </w:t>
      </w:r>
      <w:r>
        <w:rPr>
          <w:rFonts w:ascii="Times New Roman;sans-serif" w:hAnsi="Times New Roman;sans-serif"/>
          <w:b w:val="false"/>
          <w:color w:val="000000"/>
          <w:sz w:val="24"/>
        </w:rPr>
        <w:t>Unless otherwise noted, and except to the extent Company securities are listed on ASX Limited, neither the Company nor the Shares are registered with any local stock exchange or under the control of any local securities regulator outside the 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pStyle w:val="TextBody"/>
        <w:bidi w:val="0"/>
        <w:spacing w:before="60" w:after="283"/>
        <w:jc w:val="left"/>
        <w:rPr/>
      </w:pPr>
      <w:r>
        <w:rPr/>
      </w:r>
    </w:p>
    <w:p>
      <w:pPr>
        <w:pStyle w:val="TextBody"/>
        <w:bidi w:val="0"/>
        <w:spacing w:before="0" w:after="283"/>
        <w:jc w:val="left"/>
        <w:rPr/>
      </w:pPr>
      <w:r>
        <w:rPr/>
        <w:drawing>
          <wp:inline distT="0" distB="0" distL="0" distR="0">
            <wp:extent cx="5943600" cy="14605"/>
            <wp:effectExtent l="0" t="0" r="0" b="0"/>
            <wp:docPr id="1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 descr=""/>
                    <pic:cNvPicPr>
                      <a:picLocks noChangeAspect="1" noChangeArrowheads="1"/>
                    </pic:cNvPicPr>
                  </pic:nvPicPr>
                  <pic:blipFill>
                    <a:blip r:embed="rId36"/>
                    <a:stretch>
                      <a:fillRect/>
                    </a:stretch>
                  </pic:blipFill>
                  <pic:spPr bwMode="auto">
                    <a:xfrm>
                      <a:off x="0" y="0"/>
                      <a:ext cx="5943600" cy="1460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10.4</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8" w:before="76" w:after="283"/>
        <w:ind w:left="0" w:right="0" w:firstLine="12"/>
        <w:jc w:val="center"/>
        <w:rPr/>
      </w:pPr>
      <w:r>
        <w:rPr>
          <w:rFonts w:ascii="Times New Roman;sans-serif" w:hAnsi="Times New Roman;sans-serif"/>
          <w:b/>
          <w:color w:val="000000"/>
          <w:sz w:val="24"/>
        </w:rPr>
        <w:t>L</w:t>
      </w:r>
      <w:r>
        <w:rPr>
          <w:rFonts w:ascii="Times New Roman;sans-serif" w:hAnsi="Times New Roman;sans-serif"/>
          <w:b/>
          <w:color w:val="000000"/>
          <w:sz w:val="16"/>
        </w:rPr>
        <w:t>IFE</w:t>
      </w:r>
      <w:r>
        <w:rPr>
          <w:rFonts w:ascii="Times New Roman;sans-serif" w:hAnsi="Times New Roman;sans-serif"/>
          <w:b/>
          <w:color w:val="000000"/>
          <w:sz w:val="24"/>
        </w:rPr>
        <w:t>360, I</w:t>
      </w:r>
      <w:r>
        <w:rPr>
          <w:rFonts w:ascii="Times New Roman;sans-serif" w:hAnsi="Times New Roman;sans-serif"/>
          <w:b/>
          <w:color w:val="000000"/>
          <w:sz w:val="16"/>
        </w:rPr>
        <w:t>NC</w:t>
      </w:r>
      <w:r>
        <w:rPr>
          <w:rFonts w:ascii="Times New Roman;sans-serif" w:hAnsi="Times New Roman;sans-serif"/>
          <w:b/>
          <w:color w:val="000000"/>
          <w:sz w:val="24"/>
        </w:rPr>
        <w:t>. 2011 S</w:t>
      </w:r>
      <w:r>
        <w:rPr>
          <w:rFonts w:ascii="Times New Roman;sans-serif" w:hAnsi="Times New Roman;sans-serif"/>
          <w:b/>
          <w:color w:val="000000"/>
          <w:sz w:val="16"/>
        </w:rPr>
        <w:t xml:space="preserve">TOCK </w:t>
      </w:r>
      <w:r>
        <w:rPr>
          <w:rFonts w:ascii="Times New Roman;sans-serif" w:hAnsi="Times New Roman;sans-serif"/>
          <w:b/>
          <w:color w:val="000000"/>
          <w:sz w:val="24"/>
        </w:rPr>
        <w:t>P</w:t>
      </w:r>
      <w:r>
        <w:rPr>
          <w:rFonts w:ascii="Times New Roman;sans-serif" w:hAnsi="Times New Roman;sans-serif"/>
          <w:b/>
          <w:color w:val="000000"/>
          <w:sz w:val="16"/>
        </w:rPr>
        <w:t>LAN</w:t>
      </w:r>
    </w:p>
    <w:p>
      <w:pPr>
        <w:pStyle w:val="TextBody"/>
        <w:bidi w:val="0"/>
        <w:spacing w:lineRule="auto" w:line="240" w:before="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NOTICE OF STOCK OPTION GRANT</w:t>
      </w:r>
    </w:p>
    <w:p>
      <w:pPr>
        <w:pStyle w:val="TextBody"/>
        <w:bidi w:val="0"/>
        <w:spacing w:lineRule="auto" w:line="240" w:before="249"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«OPTIONEE»</w:t>
      </w:r>
    </w:p>
    <w:p>
      <w:pPr>
        <w:pStyle w:val="TextBody"/>
        <w:bidi w:val="0"/>
        <w:spacing w:before="18"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before="258" w:after="283"/>
        <w:jc w:val="left"/>
        <w:rPr/>
      </w:pPr>
      <w:r>
        <w:rPr/>
      </w:r>
    </w:p>
    <w:p>
      <w:pPr>
        <w:pStyle w:val="TextBody"/>
        <w:bidi w:val="0"/>
        <w:spacing w:lineRule="auto" w:line="285" w:before="0" w:after="0"/>
        <w:ind w:left="0" w:right="0" w:firstLine="720"/>
        <w:jc w:val="left"/>
        <w:rPr/>
      </w:pPr>
      <w:r>
        <w:rPr>
          <w:rFonts w:ascii="Times New Roman;sans-serif" w:hAnsi="Times New Roman;sans-serif"/>
          <w:b w:val="false"/>
          <w:color w:val="000000"/>
          <w:sz w:val="24"/>
        </w:rPr>
        <w:t>You were previously granted an option to purchase Common Stock of Life360,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on [Date]. The terms of the option are hereby amended and restated as follows:</w:t>
      </w:r>
    </w:p>
    <w:p>
      <w:pPr>
        <w:pStyle w:val="TextBody"/>
        <w:bidi w:val="0"/>
        <w:spacing w:lineRule="auto" w:line="408" w:before="2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    «GrantDate» Exercise Price Per Share:    $«ExercisePrice» Total Number of Shares:    «NoofShares»</w:t>
      </w:r>
    </w:p>
    <w:p>
      <w:pPr>
        <w:pStyle w:val="TextBody"/>
        <w:bidi w:val="0"/>
        <w:spacing w:lineRule="auto" w:line="27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Exercise Price:    $«TotalExercisePrice»</w:t>
      </w:r>
    </w:p>
    <w:p>
      <w:pPr>
        <w:pStyle w:val="TextBody"/>
        <w:bidi w:val="0"/>
        <w:spacing w:lineRule="auto" w:line="240" w:before="129"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Option:    «ISO» Shares Incentive Stock Option</w:t>
      </w:r>
    </w:p>
    <w:p>
      <w:pPr>
        <w:pStyle w:val="TextBody"/>
        <w:bidi w:val="0"/>
        <w:spacing w:lineRule="auto" w:line="240" w:before="129" w:after="283"/>
        <w:jc w:val="left"/>
        <w:rPr>
          <w:rFonts w:ascii="Times New Roman;sans-serif" w:hAnsi="Times New Roman;sans-serif"/>
          <w:b w:val="false"/>
          <w:color w:val="000000"/>
          <w:sz w:val="24"/>
        </w:rPr>
      </w:pPr>
      <w:r>
        <w:rPr>
          <w:rFonts w:ascii="Times New Roman;sans-serif" w:hAnsi="Times New Roman;sans-serif"/>
          <w:b w:val="false"/>
          <w:color w:val="000000"/>
          <w:sz w:val="24"/>
        </w:rPr>
        <w:t>«NSO» Shares Nonstatutory Stock Option</w:t>
      </w:r>
    </w:p>
    <w:p>
      <w:pPr>
        <w:pStyle w:val="TextBody"/>
        <w:bidi w:val="0"/>
        <w:spacing w:lineRule="auto" w:line="240" w:before="129"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Expiration Date:    «ExpirDate»</w:t>
      </w:r>
    </w:p>
    <w:p>
      <w:pPr>
        <w:pStyle w:val="TextBody"/>
        <w:bidi w:val="0"/>
        <w:spacing w:lineRule="auto" w:line="285" w:before="129"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p>
      <w:pPr>
        <w:pStyle w:val="TextBody"/>
        <w:bidi w:val="0"/>
        <w:spacing w:lineRule="auto" w:line="285" w:before="122"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Vesting/Exercise Schedule:</w:t>
      </w:r>
    </w:p>
    <w:p>
      <w:pPr>
        <w:pStyle w:val="TextBody"/>
        <w:bidi w:val="0"/>
        <w:spacing w:before="129"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«VestingCommencementDate»</w:t>
      </w:r>
    </w:p>
    <w:p>
      <w:pPr>
        <w:pStyle w:val="TextBody"/>
        <w:bidi w:val="0"/>
        <w:spacing w:before="138" w:after="283"/>
        <w:jc w:val="left"/>
        <w:rPr/>
      </w:pPr>
      <w:r>
        <w:rPr/>
      </w:r>
    </w:p>
    <w:p>
      <w:pPr>
        <w:pStyle w:val="TextBody"/>
        <w:bidi w:val="0"/>
        <w:spacing w:lineRule="auto" w:line="28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 long as your Continuous Service Status does not terminate, the Shares underlying this Option shall vest and become exercisable in accordance with the following schedule: «Vesting»</w:t>
      </w:r>
    </w:p>
    <w:p>
      <w:pPr>
        <w:pStyle w:val="TextBody"/>
        <w:bidi w:val="0"/>
        <w:spacing w:lineRule="auto" w:line="240" w:before="1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Period:    You may exercise this Option for 3 month(s) after</w:t>
      </w:r>
    </w:p>
    <w:p>
      <w:pPr>
        <w:pStyle w:val="TextBody"/>
        <w:bidi w:val="0"/>
        <w:spacing w:lineRule="auto" w:line="285" w:before="9"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your Continuous Service Status except as set out in Section 5 of the Stock Option Agreement (but in no event later than the Expiration Date). You are responsible for keeping track of these exercise periods following the termination of your Continuous Service Status for any reason. The Company will not provide further notice of such periods.</w:t>
      </w:r>
    </w:p>
    <w:p>
      <w:pPr>
        <w:pStyle w:val="TextBody"/>
        <w:bidi w:val="0"/>
        <w:spacing w:lineRule="auto" w:line="240" w:before="12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Transferability:    You may not transfer this Option.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4" w:after="283"/>
        <w:jc w:val="left"/>
        <w:rPr/>
      </w:pPr>
      <w:r>
        <w:rPr/>
        <w:drawing>
          <wp:inline distT="0" distB="0" distL="0" distR="0">
            <wp:extent cx="2533650" cy="247650"/>
            <wp:effectExtent l="0" t="0" r="0" b="0"/>
            <wp:docPr id="1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 descr=""/>
                    <pic:cNvPicPr>
                      <a:picLocks noChangeAspect="1" noChangeArrowheads="1"/>
                    </pic:cNvPicPr>
                  </pic:nvPicPr>
                  <pic:blipFill>
                    <a:blip r:embed="rId37"/>
                    <a:stretch>
                      <a:fillRect/>
                    </a:stretch>
                  </pic:blipFill>
                  <pic:spPr bwMode="auto">
                    <a:xfrm>
                      <a:off x="0" y="0"/>
                      <a:ext cx="2533650" cy="2476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8" w:before="76" w:after="283"/>
        <w:ind w:left="0" w:right="0" w:firstLine="12"/>
        <w:jc w:val="center"/>
        <w:rPr/>
      </w:pPr>
      <w:r>
        <w:rPr>
          <w:rFonts w:ascii="Times New Roman;sans-serif" w:hAnsi="Times New Roman;sans-serif"/>
          <w:b/>
          <w:color w:val="000000"/>
          <w:sz w:val="24"/>
        </w:rPr>
        <w:t>L</w:t>
      </w:r>
      <w:r>
        <w:rPr>
          <w:rFonts w:ascii="Times New Roman;sans-serif" w:hAnsi="Times New Roman;sans-serif"/>
          <w:b/>
          <w:color w:val="000000"/>
          <w:sz w:val="16"/>
        </w:rPr>
        <w:t>IFE</w:t>
      </w:r>
      <w:r>
        <w:rPr>
          <w:rFonts w:ascii="Times New Roman;sans-serif" w:hAnsi="Times New Roman;sans-serif"/>
          <w:b/>
          <w:color w:val="000000"/>
          <w:sz w:val="24"/>
        </w:rPr>
        <w:t>360, I</w:t>
      </w:r>
      <w:r>
        <w:rPr>
          <w:rFonts w:ascii="Times New Roman;sans-serif" w:hAnsi="Times New Roman;sans-serif"/>
          <w:b/>
          <w:color w:val="000000"/>
          <w:sz w:val="16"/>
        </w:rPr>
        <w:t>NC</w:t>
      </w:r>
      <w:r>
        <w:rPr>
          <w:rFonts w:ascii="Times New Roman;sans-serif" w:hAnsi="Times New Roman;sans-serif"/>
          <w:b/>
          <w:color w:val="000000"/>
          <w:sz w:val="24"/>
        </w:rPr>
        <w:t>. 2011 S</w:t>
      </w:r>
      <w:r>
        <w:rPr>
          <w:rFonts w:ascii="Times New Roman;sans-serif" w:hAnsi="Times New Roman;sans-serif"/>
          <w:b/>
          <w:color w:val="000000"/>
          <w:sz w:val="16"/>
        </w:rPr>
        <w:t xml:space="preserve">TOCK </w:t>
      </w:r>
      <w:r>
        <w:rPr>
          <w:rFonts w:ascii="Times New Roman;sans-serif" w:hAnsi="Times New Roman;sans-serif"/>
          <w:b/>
          <w:color w:val="000000"/>
          <w:sz w:val="24"/>
        </w:rPr>
        <w:t>P</w:t>
      </w:r>
      <w:r>
        <w:rPr>
          <w:rFonts w:ascii="Times New Roman;sans-serif" w:hAnsi="Times New Roman;sans-serif"/>
          <w:b/>
          <w:color w:val="000000"/>
          <w:sz w:val="16"/>
        </w:rPr>
        <w:t>LAN</w:t>
      </w:r>
    </w:p>
    <w:p>
      <w:pPr>
        <w:pStyle w:val="TextBody"/>
        <w:bidi w:val="0"/>
        <w:spacing w:lineRule="auto" w:line="240" w:before="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STOCK OPTION AGREEMENT</w:t>
      </w:r>
    </w:p>
    <w:p>
      <w:pPr>
        <w:pStyle w:val="TextBody"/>
        <w:bidi w:val="0"/>
        <w:spacing w:before="213" w:after="283"/>
        <w:jc w:val="left"/>
        <w:rPr/>
      </w:pPr>
      <w:r>
        <w:rPr/>
      </w:r>
    </w:p>
    <w:p>
      <w:pPr>
        <w:pStyle w:val="TextBody"/>
        <w:bidi w:val="0"/>
        <w:spacing w:lineRule="auto" w:line="240" w:before="0" w:after="0"/>
        <w:jc w:val="left"/>
        <w:rPr/>
      </w:pPr>
      <w:r>
        <w:rPr>
          <w:rFonts w:ascii="Times New Roman;sans-serif" w:hAnsi="Times New Roman;sans-serif"/>
          <w:b/>
          <w:color w:val="000000"/>
          <w:sz w:val="24"/>
          <w:u w:val="single"/>
        </w:rPr>
        <w:t>Grant of Option</w:t>
      </w:r>
      <w:r>
        <w:rPr>
          <w:rFonts w:ascii="Times New Roman;sans-serif" w:hAnsi="Times New Roman;sans-serif"/>
          <w:b/>
          <w:color w:val="000000"/>
          <w:sz w:val="24"/>
        </w:rPr>
        <w:t xml:space="preserve">. </w:t>
      </w:r>
      <w:r>
        <w:rPr>
          <w:rFonts w:ascii="Times New Roman;sans-serif" w:hAnsi="Times New Roman;sans-serif"/>
          <w:b w:val="false"/>
          <w:color w:val="000000"/>
          <w:sz w:val="24"/>
        </w:rPr>
        <w:t>Life360, Inc., a Delaware corporation (the “</w:t>
      </w:r>
      <w:r>
        <w:rPr>
          <w:rFonts w:ascii="Times New Roman;sans-serif" w:hAnsi="Times New Roman;sans-serif"/>
          <w:b w:val="false"/>
          <w:color w:val="000000"/>
          <w:sz w:val="24"/>
          <w:u w:val="single"/>
        </w:rPr>
        <w:t>Compan</w:t>
      </w:r>
      <w:r>
        <w:rPr>
          <w:rFonts w:ascii="Times New Roman;sans-serif" w:hAnsi="Times New Roman;sans-serif"/>
          <w:b w:val="false"/>
          <w:color w:val="000000"/>
          <w:sz w:val="24"/>
        </w:rPr>
        <w:t>y”), hereby grants to</w:t>
      </w:r>
    </w:p>
    <w:p>
      <w:pPr>
        <w:pStyle w:val="TextBody"/>
        <w:bidi w:val="0"/>
        <w:spacing w:lineRule="auto" w:line="285" w:before="9" w:after="283"/>
        <w:jc w:val="left"/>
        <w:rPr/>
      </w:pPr>
      <w:r>
        <w:rPr>
          <w:rFonts w:ascii="Times New Roman;sans-serif" w:hAnsi="Times New Roman;sans-serif"/>
          <w:b w:val="false"/>
          <w:color w:val="000000"/>
          <w:sz w:val="24"/>
        </w:rPr>
        <w:t>«OPTIONEE» (“</w:t>
      </w:r>
      <w:r>
        <w:rPr>
          <w:rFonts w:ascii="Times New Roman;sans-serif" w:hAnsi="Times New Roman;sans-serif"/>
          <w:b w:val="false"/>
          <w:color w:val="000000"/>
          <w:sz w:val="24"/>
          <w:u w:val="single"/>
        </w:rPr>
        <w:t>Optionee</w:t>
      </w:r>
      <w:r>
        <w:rPr>
          <w:color w:val="000000"/>
        </w:rPr>
        <w:t>”</w:t>
      </w:r>
      <w:r>
        <w:rPr>
          <w:rFonts w:ascii="Times New Roman;sans-serif" w:hAnsi="Times New Roman;sans-serif"/>
          <w:b w:val="false"/>
          <w:color w:val="000000"/>
          <w:sz w:val="24"/>
        </w:rPr>
        <w:t>), an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the total number of shares of Common Stock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set forth in the Amended and Restated Notice of Stock Option Grant Notice of Stock Option Grant (the “</w:t>
      </w:r>
      <w:r>
        <w:rPr>
          <w:rFonts w:ascii="Times New Roman;sans-serif" w:hAnsi="Times New Roman;sans-serif"/>
          <w:b w:val="false"/>
          <w:color w:val="000000"/>
          <w:sz w:val="24"/>
          <w:u w:val="single"/>
        </w:rPr>
        <w:t>Notice</w:t>
      </w:r>
      <w:r>
        <w:rPr>
          <w:color w:val="000000"/>
        </w:rPr>
        <w:t>”</w:t>
      </w:r>
      <w:r>
        <w:rPr>
          <w:rFonts w:ascii="Times New Roman;sans-serif" w:hAnsi="Times New Roman;sans-serif"/>
          <w:b w:val="false"/>
          <w:color w:val="000000"/>
          <w:sz w:val="24"/>
        </w:rPr>
        <w:t>), at the exercise price per Share set forth in the Notice (the “</w:t>
      </w:r>
      <w:r>
        <w:rPr>
          <w:rFonts w:ascii="Times New Roman;sans-serif" w:hAnsi="Times New Roman;sans-serif"/>
          <w:b w:val="false"/>
          <w:color w:val="000000"/>
          <w:sz w:val="24"/>
          <w:u w:val="single"/>
        </w:rPr>
        <w:t>Exercise Price</w:t>
      </w:r>
      <w:r>
        <w:rPr>
          <w:color w:val="000000"/>
        </w:rPr>
        <w:t>”</w:t>
      </w:r>
      <w:r>
        <w:rPr>
          <w:rFonts w:ascii="Times New Roman;sans-serif" w:hAnsi="Times New Roman;sans-serif"/>
          <w:b w:val="false"/>
          <w:color w:val="000000"/>
          <w:sz w:val="24"/>
        </w:rPr>
        <w:t>) subject to the terms, definitions and provisions of the Life360, Inc. 2011 Stock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adopted by the Company, which is incorporated in this Stock Option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reference. Unless otherwise defined in this Agreement, the terms used in this Agreement or the Notice shall have the meanings defined in the Plan.</w:t>
      </w:r>
    </w:p>
    <w:p>
      <w:pPr>
        <w:pStyle w:val="TextBody"/>
        <w:bidi w:val="0"/>
        <w:spacing w:lineRule="auto" w:line="285" w:before="246" w:after="283"/>
        <w:jc w:val="left"/>
        <w:rPr/>
      </w:pPr>
      <w:r>
        <w:rPr>
          <w:rFonts w:ascii="Times New Roman;sans-serif" w:hAnsi="Times New Roman;sans-serif"/>
          <w:b/>
          <w:color w:val="000000"/>
          <w:sz w:val="24"/>
          <w:u w:val="single"/>
        </w:rPr>
        <w:t>Designation of Option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This Option is intended to be an Incentive Stock Option as defined in Section 422 of the Code only to the extent so designated in the Notice, and to the extent it is not so designated or to the extent this Option does not qualify as an Incentive Stock Option, it is intended to be a Nonstatutory Stock Option.</w:t>
      </w:r>
    </w:p>
    <w:p>
      <w:pPr>
        <w:pStyle w:val="TextBody"/>
        <w:bidi w:val="0"/>
        <w:spacing w:lineRule="auto" w:line="285" w:before="243"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$100,000, the Shares in excess of</w:t>
      </w:r>
    </w:p>
    <w:p>
      <w:pPr>
        <w:pStyle w:val="TextBody"/>
        <w:bidi w:val="0"/>
        <w:spacing w:lineRule="auto" w:line="285"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$100,000 shall be treated as subject to a nonstatutory stock option, in accordance with Section 5(c) of the Plan.</w:t>
      </w:r>
    </w:p>
    <w:p>
      <w:pPr>
        <w:pStyle w:val="TextBody"/>
        <w:bidi w:val="0"/>
        <w:spacing w:lineRule="auto" w:line="285" w:before="241" w:after="283"/>
        <w:jc w:val="left"/>
        <w:rPr/>
      </w:pPr>
      <w:r>
        <w:rPr>
          <w:rFonts w:ascii="Times New Roman;sans-serif" w:hAnsi="Times New Roman;sans-serif"/>
          <w:b/>
          <w:color w:val="000000"/>
          <w:sz w:val="24"/>
          <w:u w:val="single"/>
        </w:rPr>
        <w:t>Exercise of Option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This Option shall be exercisable during its term in accordance with the Vesting/Exercise Schedule set out in the Notice and with the provisions of Section 7(c) of the Plan as follows:</w:t>
      </w:r>
    </w:p>
    <w:p>
      <w:pPr>
        <w:pStyle w:val="TextBody"/>
        <w:bidi w:val="0"/>
        <w:spacing w:lineRule="auto" w:line="240" w:before="242" w:after="283"/>
        <w:jc w:val="left"/>
        <w:rPr/>
      </w:pPr>
      <w:r>
        <w:rPr>
          <w:rFonts w:ascii="Times New Roman;sans-serif" w:hAnsi="Times New Roman;sans-serif"/>
          <w:b/>
          <w:color w:val="000000"/>
          <w:sz w:val="24"/>
          <w:u w:val="single"/>
        </w:rPr>
        <w:t>Right to Exercise</w:t>
      </w:r>
      <w:r>
        <w:rPr>
          <w:rFonts w:ascii="Times New Roman;sans-serif" w:hAnsi="Times New Roman;sans-serif"/>
          <w:b/>
          <w:color w:val="000000"/>
          <w:sz w:val="24"/>
        </w:rPr>
        <w:t>.</w:t>
      </w:r>
    </w:p>
    <w:p>
      <w:pPr>
        <w:pStyle w:val="TextBody"/>
        <w:bidi w:val="0"/>
        <w:spacing w:lineRule="auto" w:line="240" w:before="249"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Option may not be exercised for a fraction of a share.</w:t>
      </w:r>
    </w:p>
    <w:p>
      <w:pPr>
        <w:pStyle w:val="TextBody"/>
        <w:bidi w:val="0"/>
        <w:spacing w:lineRule="auto" w:line="285" w:before="249"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of Optionee’s death, Disability or other termination of Continuous Service Status, the exercisability of this Option is governed by Section 5 below, subject to the limitations contained in this Section 3.</w:t>
      </w:r>
    </w:p>
    <w:p>
      <w:pPr>
        <w:pStyle w:val="TextBody"/>
        <w:bidi w:val="0"/>
        <w:spacing w:lineRule="auto" w:line="285" w:before="243"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no event may this Option be exercised after the Expiration Date of the Option set forth in the Notice.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color w:val="000000"/>
          <w:sz w:val="24"/>
          <w:u w:val="single"/>
        </w:rPr>
        <w:t>Method of Exercise</w:t>
      </w:r>
      <w:r>
        <w:rPr>
          <w:rFonts w:ascii="Times New Roman;sans-serif" w:hAnsi="Times New Roman;sans-serif"/>
          <w:b/>
          <w:color w:val="000000"/>
          <w:sz w:val="24"/>
        </w:rPr>
        <w:t>.</w:t>
      </w:r>
    </w:p>
    <w:p>
      <w:pPr>
        <w:pStyle w:val="TextBody"/>
        <w:bidi w:val="0"/>
        <w:spacing w:lineRule="auto" w:line="285" w:before="249" w:after="283"/>
        <w:jc w:val="left"/>
        <w:rPr/>
      </w:pPr>
      <w:r>
        <w:rPr>
          <w:rFonts w:ascii="Times New Roman;sans-serif" w:hAnsi="Times New Roman;sans-serif"/>
          <w:b w:val="false"/>
          <w:color w:val="000000"/>
          <w:sz w:val="24"/>
        </w:rPr>
        <w:t xml:space="preserve">This Option shall be exercisable by execution and delivery of the Exercise Agreement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pStyle w:val="TextBody"/>
        <w:bidi w:val="0"/>
        <w:spacing w:lineRule="auto" w:line="285" w:before="24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 a condition to the exercise of this Option and as further set forth in Section 9 of the Plan, Optionee agrees to make adequate provision for federal, state or other applicable tax, withholding, required deductions or other payments, if any, which arise upon the grant, vesting or exercise of this Option, or disposition of Shares, whether by withholding, direct payment to the Company, or otherwise, as determined by the Company in its sole discretion.</w:t>
      </w:r>
    </w:p>
    <w:p>
      <w:pPr>
        <w:pStyle w:val="TextBody"/>
        <w:bidi w:val="0"/>
        <w:spacing w:lineRule="auto" w:line="285" w:before="244"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pStyle w:val="TextBody"/>
        <w:bidi w:val="0"/>
        <w:spacing w:lineRule="auto" w:line="285" w:before="25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w:t>
      </w:r>
    </w:p>
    <w:p>
      <w:pPr>
        <w:pStyle w:val="TextBody"/>
        <w:bidi w:val="0"/>
        <w:spacing w:lineRule="auto" w:line="285" w:before="243" w:after="283"/>
        <w:jc w:val="left"/>
        <w:rPr/>
      </w:pPr>
      <w:r>
        <w:rPr>
          <w:rFonts w:ascii="Times New Roman;sans-serif" w:hAnsi="Times New Roman;sans-serif"/>
          <w:b/>
          <w:color w:val="000000"/>
          <w:sz w:val="24"/>
          <w:u w:val="single"/>
        </w:rPr>
        <w:t>Method of Payment</w:t>
      </w:r>
      <w:r>
        <w:rPr>
          <w:rFonts w:ascii="Times New Roman;sans-serif" w:hAnsi="Times New Roman;sans-serif"/>
          <w:b/>
          <w:color w:val="000000"/>
          <w:sz w:val="24"/>
        </w:rPr>
        <w:t xml:space="preserve">. </w:t>
      </w:r>
      <w:r>
        <w:rPr>
          <w:rFonts w:ascii="Times New Roman;sans-serif" w:hAnsi="Times New Roman;sans-serif"/>
          <w:b w:val="false"/>
          <w:color w:val="000000"/>
          <w:sz w:val="24"/>
        </w:rPr>
        <w:t>Payment of the Exercise Price shall be by cash or check or, following the initial public offering of the Company’s Common Stock, by Cashless Exercise pursuant to which the Optionee delivers an irrevocable direction to a securities broker (on a form prescribed by the Company and according to a procedure established by the Company).</w:t>
      </w:r>
    </w:p>
    <w:p>
      <w:pPr>
        <w:pStyle w:val="TextBody"/>
        <w:bidi w:val="0"/>
        <w:spacing w:lineRule="auto" w:line="285" w:before="243" w:after="283"/>
        <w:jc w:val="left"/>
        <w:rPr/>
      </w:pPr>
      <w:r>
        <w:rPr>
          <w:rFonts w:ascii="Times New Roman;sans-serif" w:hAnsi="Times New Roman;sans-serif"/>
          <w:b/>
          <w:color w:val="000000"/>
          <w:sz w:val="24"/>
          <w:u w:val="single"/>
        </w:rPr>
        <w:t>Termination of Relationship</w:t>
      </w:r>
      <w:r>
        <w:rPr>
          <w:rFonts w:ascii="Times New Roman;sans-serif" w:hAnsi="Times New Roman;sans-serif"/>
          <w:b/>
          <w:color w:val="000000"/>
          <w:sz w:val="24"/>
        </w:rPr>
        <w:t xml:space="preserve">. </w:t>
      </w:r>
      <w:r>
        <w:rPr>
          <w:rFonts w:ascii="Times New Roman;sans-serif" w:hAnsi="Times New Roman;sans-serif"/>
          <w:b w:val="false"/>
          <w:color w:val="000000"/>
          <w:sz w:val="24"/>
        </w:rPr>
        <w:t>Following the date of termination of Optionee’s Continuous Service Status for any reason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Optionee may exercise this Option only as set forth in the Notice and this Section 5. If Optionee does not exercise this Option within the Termination Period set forth in the Notice or the termination periods set forth below, this Option</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shall terminate in its entirety. In no event, may any Option be exercised after the Expiration Date of this Option as set forth in the Notice.</w:t>
      </w:r>
    </w:p>
    <w:p>
      <w:pPr>
        <w:pStyle w:val="TextBody"/>
        <w:bidi w:val="0"/>
        <w:spacing w:lineRule="auto" w:line="285" w:before="241" w:after="283"/>
        <w:jc w:val="left"/>
        <w:rPr/>
      </w:pPr>
      <w:r>
        <w:rPr>
          <w:rFonts w:ascii="Times New Roman;sans-serif" w:hAnsi="Times New Roman;sans-serif"/>
          <w:b/>
          <w:color w:val="000000"/>
          <w:sz w:val="24"/>
          <w:u w:val="single"/>
        </w:rPr>
        <w:t>General Termination</w:t>
      </w:r>
      <w:r>
        <w:rPr>
          <w:rFonts w:ascii="Times New Roman;sans-serif" w:hAnsi="Times New Roman;sans-serif"/>
          <w:b/>
          <w:color w:val="000000"/>
          <w:sz w:val="24"/>
        </w:rPr>
        <w:t xml:space="preserve">. </w:t>
      </w:r>
      <w:r>
        <w:rPr>
          <w:rFonts w:ascii="Times New Roman;sans-serif" w:hAnsi="Times New Roman;sans-serif"/>
          <w:b w:val="false"/>
          <w:color w:val="000000"/>
          <w:sz w:val="24"/>
        </w:rPr>
        <w:t>In the event of termination of Optionee’s Continuous Service Status other than as a result of Optionee’s Disability or death or Optionee’s termination for Cause, Optionee may, to the extent Optionee is vested in the Optioned Stock at the date of such termination, exercise this Option during the Termination Period set forth in the Notice.</w:t>
      </w:r>
    </w:p>
    <w:p>
      <w:pPr>
        <w:pStyle w:val="TextBody"/>
        <w:bidi w:val="0"/>
        <w:spacing w:lineRule="auto" w:line="285" w:before="243" w:after="283"/>
        <w:jc w:val="left"/>
        <w:rPr/>
      </w:pPr>
      <w:r>
        <w:rPr>
          <w:rFonts w:ascii="Times New Roman;sans-serif" w:hAnsi="Times New Roman;sans-serif"/>
          <w:b/>
          <w:color w:val="000000"/>
          <w:sz w:val="24"/>
          <w:u w:val="single"/>
        </w:rPr>
        <w:t>Termination upon Disability of Optionee</w:t>
      </w:r>
      <w:r>
        <w:rPr>
          <w:rFonts w:ascii="Times New Roman;sans-serif" w:hAnsi="Times New Roman;sans-serif"/>
          <w:b/>
          <w:color w:val="000000"/>
          <w:sz w:val="24"/>
        </w:rPr>
        <w:t xml:space="preserve">. </w:t>
      </w:r>
      <w:r>
        <w:rPr>
          <w:rFonts w:ascii="Times New Roman;sans-serif" w:hAnsi="Times New Roman;sans-serif"/>
          <w:b w:val="false"/>
          <w:color w:val="000000"/>
          <w:sz w:val="24"/>
        </w:rPr>
        <w:t>In the event of termination of Optionee’s Continuous Service Status as a result of Optionee’s Disability, Optionee may, but only within 12 month(s) following the Termination Date, exercise this Option to the extent Optionee is vested in the Optioned Stock.</w:t>
      </w:r>
    </w:p>
    <w:p>
      <w:pPr>
        <w:pStyle w:val="TextBody"/>
        <w:bidi w:val="0"/>
        <w:spacing w:lineRule="auto" w:line="285" w:before="243" w:after="283"/>
        <w:jc w:val="left"/>
        <w:rPr/>
      </w:pPr>
      <w:r>
        <w:rPr>
          <w:rFonts w:ascii="Times New Roman;sans-serif" w:hAnsi="Times New Roman;sans-serif"/>
          <w:b/>
          <w:color w:val="000000"/>
          <w:sz w:val="24"/>
          <w:u w:val="single"/>
        </w:rPr>
        <w:t>Death of Optionee</w:t>
      </w:r>
      <w:r>
        <w:rPr>
          <w:rFonts w:ascii="Times New Roman;sans-serif" w:hAnsi="Times New Roman;sans-serif"/>
          <w:b/>
          <w:color w:val="000000"/>
          <w:sz w:val="24"/>
        </w:rPr>
        <w:t xml:space="preserve">. </w:t>
      </w:r>
      <w:r>
        <w:rPr>
          <w:rFonts w:ascii="Times New Roman;sans-serif" w:hAnsi="Times New Roman;sans-serif"/>
          <w:b w:val="false"/>
          <w:color w:val="000000"/>
          <w:sz w:val="24"/>
        </w:rPr>
        <w:t>In the event of termination of Optionee’s Continuous Service Status as a result of Optionee’s death, or in the event of Optionee’s death within 3 month(s) following Optionee’s Termination Date, this Option may be exercised at any time within 12 month(s) following the Termination Date, or if later, 12 month(s) following the date of death by any beneficiaries designated in accordance with Section 15 of the Plan or, if there are no such beneficiaries, by the Optionee’s estate, or by a person who acquired the right to exercise the Option by bequest or inheritance, but only to the extent Optionee is vested in this Option.</w:t>
      </w:r>
    </w:p>
    <w:p>
      <w:pPr>
        <w:pStyle w:val="TextBody"/>
        <w:bidi w:val="0"/>
        <w:spacing w:lineRule="auto" w:line="285" w:before="245" w:after="283"/>
        <w:jc w:val="left"/>
        <w:rPr/>
      </w:pPr>
      <w:r>
        <w:rPr>
          <w:rFonts w:ascii="Times New Roman;sans-serif" w:hAnsi="Times New Roman;sans-serif"/>
          <w:b/>
          <w:color w:val="000000"/>
          <w:sz w:val="24"/>
          <w:u w:val="single"/>
        </w:rPr>
        <w:t>Termination for Cause</w:t>
      </w:r>
      <w:r>
        <w:rPr>
          <w:rFonts w:ascii="Times New Roman;sans-serif" w:hAnsi="Times New Roman;sans-serif"/>
          <w:b/>
          <w:color w:val="000000"/>
          <w:sz w:val="24"/>
        </w:rPr>
        <w:t xml:space="preserve">. </w:t>
      </w:r>
      <w:r>
        <w:rPr>
          <w:rFonts w:ascii="Times New Roman;sans-serif" w:hAnsi="Times New Roman;sans-serif"/>
          <w:b w:val="false"/>
          <w:color w:val="000000"/>
          <w:sz w:val="24"/>
        </w:rPr>
        <w:t>In the event of termination of Optionee’s Continuous Service Status for Cause, this Option (including any vested 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pStyle w:val="TextBody"/>
        <w:bidi w:val="0"/>
        <w:spacing w:lineRule="auto" w:line="285" w:before="245" w:after="283"/>
        <w:jc w:val="left"/>
        <w:rPr/>
      </w:pPr>
      <w:r>
        <w:rPr>
          <w:rFonts w:ascii="Times New Roman;sans-serif" w:hAnsi="Times New Roman;sans-serif"/>
          <w:b/>
          <w:color w:val="000000"/>
          <w:sz w:val="24"/>
          <w:u w:val="single"/>
        </w:rPr>
        <w:t>NonTransferability of Option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This Option may not be transferred in any manner otherwise than by will or by the laws of descent or distribution and may be exercised during the lifetime of Optionee only by him or her. The terms of this Option shall be binding upon the executors, administrators, heirs, successors and assigns of Optionee. Notwithstanding the foregoing, beginning with (i) the period when the Company begins to rely on the exemption described in Rule 12h1(f)(1) promulgated under the Exchange Act, as determined by the Board in its sole discretion, and (ii) ending on the earlier of (A) the date when the Company ceases to rely on such exemption, as determined by the Board in its sole discretion, or (B) the date when the Company becomes subject to the reporting requirements of Section 13 or 15(d) of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w:t>
      </w:r>
    </w:p>
    <w:p>
      <w:pPr>
        <w:pStyle w:val="TextBody"/>
        <w:bidi w:val="0"/>
        <w:spacing w:lineRule="auto" w:line="285" w:before="9" w:after="283"/>
        <w:jc w:val="left"/>
        <w:rPr>
          <w:rFonts w:ascii="Times New Roman;sans-serif" w:hAnsi="Times New Roman;sans-serif"/>
          <w:b w:val="false"/>
          <w:color w:val="000000"/>
          <w:sz w:val="24"/>
        </w:rPr>
      </w:pPr>
      <w:r>
        <w:rPr>
          <w:rFonts w:ascii="Times New Roman;sans-serif" w:hAnsi="Times New Roman;sans-serif"/>
          <w:b w:val="false"/>
          <w:color w:val="000000"/>
          <w:sz w:val="24"/>
        </w:rPr>
        <w:t>Rule 16a1(h) and Rule 16a1(b) of the Exchange Act, respectively), other than to (i) persons who are Family Members through gifts or domestic relations orders, or (ii) to an executor or guardian of Optionee upon the death or disability of Optionee. Notwithstanding the foregoing sentence, the Board, in its sole discretion, may permit transfers to the Company or in connection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5"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Change of Control or other acquisition transactions involving the Company to the extent permitted by Rule 12h1(f).</w:t>
      </w:r>
    </w:p>
    <w:p>
      <w:pPr>
        <w:pStyle w:val="TextBody"/>
        <w:bidi w:val="0"/>
        <w:spacing w:lineRule="auto" w:line="285" w:before="241" w:after="283"/>
        <w:jc w:val="left"/>
        <w:rPr/>
      </w:pPr>
      <w:r>
        <w:rPr>
          <w:rFonts w:ascii="Times New Roman;sans-serif" w:hAnsi="Times New Roman;sans-serif"/>
          <w:b/>
          <w:color w:val="000000"/>
          <w:sz w:val="24"/>
          <w:u w:val="single"/>
        </w:rPr>
        <w:t>LockUp Agreement</w:t>
      </w:r>
      <w:r>
        <w:rPr>
          <w:rFonts w:ascii="Times New Roman;sans-serif" w:hAnsi="Times New Roman;sans-serif"/>
          <w:b/>
          <w:color w:val="000000"/>
          <w:sz w:val="24"/>
        </w:rPr>
        <w:t xml:space="preserve">. </w:t>
      </w:r>
      <w:r>
        <w:rPr>
          <w:rFonts w:ascii="Times New Roman;sans-serif" w:hAnsi="Times New Roman;sans-serif"/>
          <w:b w:val="false"/>
          <w:color w:val="000000"/>
          <w:sz w:val="24"/>
        </w:rPr>
        <w:t>In connection with the initial public offering of the Company’s securities and upon request of the Company or the underwriters managing such offering of the Company’s securities, Optionee hereby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pStyle w:val="TextBody"/>
        <w:bidi w:val="0"/>
        <w:spacing w:lineRule="auto" w:line="285" w:before="254" w:after="283"/>
        <w:jc w:val="left"/>
        <w:rPr/>
      </w:pPr>
      <w:r>
        <w:rPr>
          <w:rFonts w:ascii="Times New Roman;sans-serif" w:hAnsi="Times New Roman;sans-serif"/>
          <w:b/>
          <w:color w:val="000000"/>
          <w:sz w:val="24"/>
          <w:u w:val="single"/>
        </w:rPr>
        <w:t>Effect of Agreement</w:t>
      </w:r>
      <w:r>
        <w:rPr>
          <w:rFonts w:ascii="Times New Roman;sans-serif" w:hAnsi="Times New Roman;sans-serif"/>
          <w:b/>
          <w:color w:val="000000"/>
          <w:sz w:val="24"/>
        </w:rPr>
        <w:t xml:space="preserve">. </w:t>
      </w:r>
      <w:r>
        <w:rPr>
          <w:rFonts w:ascii="Times New Roman;sans-serif" w:hAnsi="Times New Roman;sans-serif"/>
          <w:b w:val="false"/>
          <w:color w:val="000000"/>
          <w:sz w:val="24"/>
        </w:rPr>
        <w:t>Optionee acknowledges receipt of a copy of the Plan and represents that he or she is familiar with the terms and 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pStyle w:val="TextBody"/>
        <w:bidi w:val="0"/>
        <w:spacing w:lineRule="auto" w:line="285" w:before="245" w:after="283"/>
        <w:jc w:val="left"/>
        <w:rPr/>
      </w:pPr>
      <w:r>
        <w:rPr>
          <w:rFonts w:ascii="Times New Roman;sans-serif" w:hAnsi="Times New Roman;sans-serif"/>
          <w:b/>
          <w:color w:val="000000"/>
          <w:sz w:val="24"/>
          <w:u w:val="single"/>
        </w:rPr>
        <w:t>Imposition of Other Requirements</w:t>
      </w:r>
      <w:r>
        <w:rPr>
          <w:rFonts w:ascii="Times New Roman;sans-serif" w:hAnsi="Times New Roman;sans-serif"/>
          <w:b/>
          <w:color w:val="000000"/>
          <w:sz w:val="24"/>
        </w:rPr>
        <w:t xml:space="preserve">. </w:t>
      </w:r>
      <w:r>
        <w:rPr>
          <w:rFonts w:ascii="Times New Roman;sans-serif" w:hAnsi="Times New Roman;sans-serif"/>
          <w:b w:val="false"/>
          <w:color w:val="000000"/>
          <w:sz w:val="24"/>
        </w:rPr>
        <w:t>The Company reserves the right to impose other requirements on Optionee’s participation in the Plan, on the Option and on any Award or Shares acquired under the Plan, to the extent the Company determines it is necessary or advisable in order to comply with Applicable Laws or facilitate the administration of the Plan. Optionee agrees to sign any additional agreements or undertakings that may be necessary to accomplish the foregoing. Furthermore, Optionee acknowledges that the laws of the country in which Optionee is working at the time of grant, vesting and exercise of the Option or the sale of Shares received pursuant to this Agreement (including any rules or regulations governing securities, foreign exchange, tax, labor, or other matters) may subject Optionee to additional procedural or regulatory requirements that Optionee is and will be solely responsible for and must fulfill.</w:t>
      </w:r>
    </w:p>
    <w:p>
      <w:pPr>
        <w:pStyle w:val="TextBody"/>
        <w:bidi w:val="0"/>
        <w:spacing w:lineRule="auto" w:line="285" w:before="248" w:after="283"/>
        <w:jc w:val="left"/>
        <w:rPr/>
      </w:pPr>
      <w:r>
        <w:rPr>
          <w:rFonts w:ascii="Times New Roman;sans-serif" w:hAnsi="Times New Roman;sans-serif"/>
          <w:b/>
          <w:color w:val="000000"/>
          <w:sz w:val="24"/>
          <w:u w:val="single"/>
        </w:rPr>
        <w:t>Electronic Delivery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Company may, in its sole discretion, decide to deliver any documents related to Optionee’s current or future participation in the Plan by electronic means or to request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248"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Optionee’s consent to participate in the Plan by electronic means. Optionee hereby consents to receive such documents by electronic delivery and agrees to participate in the Plan through an</w:t>
      </w:r>
    </w:p>
    <w:p>
      <w:pPr>
        <w:pStyle w:val="TextBody"/>
        <w:bidi w:val="0"/>
        <w:spacing w:lineRule="auto" w:line="285"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online or electronic system established and maintained by the Company or a third party designated by the Company.</w:t>
      </w:r>
    </w:p>
    <w:p>
      <w:pPr>
        <w:pStyle w:val="TextBody"/>
        <w:bidi w:val="0"/>
        <w:spacing w:lineRule="auto" w:line="240" w:before="241" w:after="283"/>
        <w:jc w:val="left"/>
        <w:rPr/>
      </w:pPr>
      <w:r>
        <w:rPr>
          <w:rFonts w:ascii="Times New Roman;sans-serif" w:hAnsi="Times New Roman;sans-serif"/>
          <w:b/>
          <w:color w:val="000000"/>
          <w:sz w:val="24"/>
          <w:u w:val="single"/>
        </w:rPr>
        <w:t>Miscellaneous</w:t>
      </w:r>
      <w:r>
        <w:rPr>
          <w:rFonts w:ascii="Times New Roman;sans-serif" w:hAnsi="Times New Roman;sans-serif"/>
          <w:b/>
          <w:color w:val="000000"/>
          <w:sz w:val="24"/>
        </w:rPr>
        <w:t>.</w:t>
      </w:r>
    </w:p>
    <w:p>
      <w:pPr>
        <w:pStyle w:val="TextBody"/>
        <w:bidi w:val="0"/>
        <w:spacing w:lineRule="auto" w:line="285" w:before="249" w:after="283"/>
        <w:jc w:val="left"/>
        <w:rPr/>
      </w:pPr>
      <w:r>
        <w:rPr>
          <w:rFonts w:ascii="Times New Roman;sans-serif" w:hAnsi="Times New Roman;sans-serif"/>
          <w:b/>
          <w:color w:val="000000"/>
          <w:sz w:val="24"/>
          <w:u w:val="single"/>
        </w:rPr>
        <w:t>Governing Law</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Agreement and all acts and transactions 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pStyle w:val="TextBody"/>
        <w:bidi w:val="0"/>
        <w:spacing w:lineRule="auto" w:line="285" w:before="245" w:after="283"/>
        <w:jc w:val="left"/>
        <w:rPr/>
      </w:pPr>
      <w:r>
        <w:rPr>
          <w:rFonts w:ascii="Times New Roman;sans-serif" w:hAnsi="Times New Roman;sans-serif"/>
          <w:b/>
          <w:color w:val="000000"/>
          <w:sz w:val="24"/>
          <w:u w:val="single"/>
        </w:rPr>
        <w:t>Entire Agreement; Enforcement of Rights</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Agreement, together with the Notice to which this Agreement is attached and the Plan, sets forth the entire agreement and understanding of the parties relating to the subject matter herein and therein and merges all prior or contemporaneous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pStyle w:val="TextBody"/>
        <w:bidi w:val="0"/>
        <w:spacing w:lineRule="auto" w:line="285" w:before="246" w:after="283"/>
        <w:jc w:val="left"/>
        <w:rPr/>
      </w:pPr>
      <w:r>
        <w:rPr>
          <w:rFonts w:ascii="Times New Roman;sans-serif" w:hAnsi="Times New Roman;sans-serif"/>
          <w:b/>
          <w:color w:val="000000"/>
          <w:sz w:val="24"/>
          <w:u w:val="single"/>
        </w:rPr>
        <w:t>Severability</w:t>
      </w:r>
      <w:r>
        <w:rPr>
          <w:rFonts w:ascii="Times New Roman;sans-serif" w:hAnsi="Times New Roman;sans-serif"/>
          <w:b/>
          <w:color w:val="000000"/>
          <w:sz w:val="24"/>
        </w:rPr>
        <w:t xml:space="preserve">. </w:t>
      </w:r>
      <w:r>
        <w:rPr>
          <w:rFonts w:ascii="Times New Roman;sans-serif" w:hAnsi="Times New Roman;sans-serif"/>
          <w:b w:val="false"/>
          <w:color w:val="000000"/>
          <w:sz w:val="24"/>
        </w:rPr>
        <w:t>If one or more provisions of this Agreement are held to be unenforceable under Applicable Laws,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pStyle w:val="TextBody"/>
        <w:bidi w:val="0"/>
        <w:spacing w:lineRule="auto" w:line="285" w:before="245" w:after="283"/>
        <w:jc w:val="left"/>
        <w:rPr/>
      </w:pPr>
      <w:r>
        <w:rPr>
          <w:rFonts w:ascii="Times New Roman;sans-serif" w:hAnsi="Times New Roman;sans-serif"/>
          <w:b/>
          <w:color w:val="000000"/>
          <w:sz w:val="24"/>
          <w:u w:val="single"/>
        </w:rPr>
        <w:t>Notices</w:t>
      </w:r>
      <w:r>
        <w:rPr>
          <w:rFonts w:ascii="Times New Roman;sans-serif" w:hAnsi="Times New Roman;sans-serif"/>
          <w:b/>
          <w:color w:val="000000"/>
          <w:sz w:val="24"/>
        </w:rPr>
        <w:t xml:space="preserve">. </w:t>
      </w:r>
      <w:r>
        <w:rPr>
          <w:rFonts w:ascii="Times New Roman;sans-serif" w:hAnsi="Times New Roman;sans-serif"/>
          <w:b w:val="false"/>
          <w:color w:val="000000"/>
          <w:sz w:val="24"/>
        </w:rPr>
        <w:t>Any notice required or permitted by this Agreement shall be in writing and shall be deemed sufficient when delivered personally or by overnight courier or sent by email or fax (upon customary confirmation of receipt), or fortyeight (48) hours after being deposited in the</w:t>
      </w:r>
    </w:p>
    <w:p>
      <w:pPr>
        <w:pStyle w:val="TextBody"/>
        <w:bidi w:val="0"/>
        <w:spacing w:lineRule="auto" w:line="285"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mail as certified or registered mail with postage prepaid, addressed to the party to be notified at such party’s address or fax number as set forth on the signature page, as subsequently modified by written notice, or if no address is specified on the signature page, at the most recent address set forth in the Company’s books and records.</w:t>
      </w:r>
    </w:p>
    <w:p>
      <w:pPr>
        <w:pStyle w:val="TextBody"/>
        <w:bidi w:val="0"/>
        <w:spacing w:lineRule="auto" w:line="285" w:before="243" w:after="283"/>
        <w:jc w:val="left"/>
        <w:rPr/>
      </w:pPr>
      <w:r>
        <w:rPr>
          <w:rFonts w:ascii="Times New Roman;sans-serif" w:hAnsi="Times New Roman;sans-serif"/>
          <w:b/>
          <w:color w:val="000000"/>
          <w:sz w:val="24"/>
          <w:u w:val="single"/>
        </w:rPr>
        <w:t>Counterparts</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Agreement may be executed in two or more counterparts, each of which shall be deemed an original and all of which together shall constitute one instrument.</w:t>
      </w:r>
    </w:p>
    <w:p>
      <w:pPr>
        <w:pStyle w:val="TextBody"/>
        <w:bidi w:val="0"/>
        <w:spacing w:lineRule="auto" w:line="285" w:before="241" w:after="283"/>
        <w:jc w:val="left"/>
        <w:rPr/>
      </w:pPr>
      <w:r>
        <w:rPr>
          <w:rFonts w:ascii="Times New Roman;sans-serif" w:hAnsi="Times New Roman;sans-serif"/>
          <w:b/>
          <w:color w:val="000000"/>
          <w:sz w:val="24"/>
          <w:u w:val="single"/>
        </w:rPr>
        <w:t>Successors and Assigns</w:t>
      </w:r>
      <w:r>
        <w:rPr>
          <w:rFonts w:ascii="Times New Roman;sans-serif" w:hAnsi="Times New Roman;sans-serif"/>
          <w:b/>
          <w:color w:val="000000"/>
          <w:sz w:val="24"/>
        </w:rPr>
        <w:t xml:space="preserve">. </w:t>
      </w:r>
      <w:r>
        <w:rPr>
          <w:rFonts w:ascii="Times New Roman;sans-serif" w:hAnsi="Times New Roman;sans-serif"/>
          <w:b w:val="false"/>
          <w:color w:val="000000"/>
          <w:sz w:val="24"/>
        </w:rPr>
        <w:t>The rights and benefits of this Agreement shall inure to the benefit of, and be enforceable by the Company’s successors and assigns. The rights and obligations of Optionee under this Agreement may not be assigned without the prior written consent of the Company.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5"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your signature and the signature of the Company’s representative below, you and the Company agree that this Option is granted under and governed by the terms and conditions of this Agreement and the Life360, Inc. 2011 Stock Plan and Notice, both of which are attached to and made a part of this Agreement. Further, by signing below, you acknowledge and agree that the Option evidenced by this Stock Option Agreement and the Notice represents the only option granted to you on the Date of Grant and that you do not have any right, title, claim or interest in or to any other option to purchase shares of the Company’s Common Stock with the same Date of Grant as this Option. To the extent that you have previously received a Notice of Stock Option Grant and Stock Option Agreement evidencing an option with the same Date of Grant, you acknowledge and agree that such paperwork is null and void and not representative of any option to purchase shares of the Company’s stock.</w:t>
      </w:r>
    </w:p>
    <w:p>
      <w:pPr>
        <w:pStyle w:val="TextBody"/>
        <w:bidi w:val="0"/>
        <w:spacing w:lineRule="auto" w:line="285" w:before="248"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Agreement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and agents shall not be held liable for any applicable costs, taxes, or penalties associated with this Option if, in fact, the IRS or any other person (including, without limitation, a successor corporation or an acquirer in a Change of Control) were to determine that this Option constitutes deferred compensation under Section 409A of the Code. You should consult with your own tax advisor concerning the tax consequences of such a determination by the IRS. For purposes of this paragraph, the term “Company” will be interpreted to include any Parent, Subsidiary or Affiliate.</w:t>
      </w:r>
    </w:p>
    <w:p>
      <w:pPr>
        <w:pStyle w:val="TextBody"/>
        <w:bidi w:val="0"/>
        <w:spacing w:lineRule="auto" w:line="240" w:before="252" w:after="283"/>
        <w:jc w:val="left"/>
        <w:rPr/>
      </w:pPr>
      <w:r>
        <w:rPr>
          <w:rFonts w:ascii="Times New Roman;sans-serif" w:hAnsi="Times New Roman;sans-serif"/>
          <w:b/>
          <w:color w:val="000000"/>
          <w:sz w:val="16"/>
        </w:rPr>
        <w:t>THE COMPANY</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27" w:after="283"/>
        <w:jc w:val="left"/>
        <w:rPr/>
      </w:pPr>
      <w:r>
        <w:rPr/>
      </w:r>
    </w:p>
    <w:p>
      <w:pPr>
        <w:pStyle w:val="TextBody"/>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OPTIONEE:</w:t>
      </w:r>
    </w:p>
    <w:p>
      <w:pPr>
        <w:pStyle w:val="TextBody"/>
        <w:bidi w:val="0"/>
        <w:spacing w:lineRule="auto" w:line="240" w:before="249" w:after="283"/>
        <w:jc w:val="left"/>
        <w:rPr/>
      </w:pPr>
      <w:r>
        <w:rPr>
          <w:rFonts w:ascii="Times New Roman;sans-serif" w:hAnsi="Times New Roman;sans-serif"/>
          <w:b w:val="false"/>
          <w:color w:val="000000"/>
          <w:sz w:val="24"/>
        </w:rPr>
        <w:t>L</w:t>
      </w:r>
      <w:r>
        <w:rPr>
          <w:rFonts w:ascii="Times New Roman;sans-serif" w:hAnsi="Times New Roman;sans-serif"/>
          <w:b w:val="false"/>
          <w:color w:val="000000"/>
          <w:sz w:val="16"/>
        </w:rPr>
        <w:t>IFE</w:t>
      </w:r>
      <w:r>
        <w:rPr>
          <w:rFonts w:ascii="Times New Roman;sans-serif" w:hAnsi="Times New Roman;sans-serif"/>
          <w:b w:val="false"/>
          <w:color w:val="000000"/>
          <w:sz w:val="24"/>
        </w:rPr>
        <w:t>360, I</w:t>
      </w:r>
      <w:r>
        <w:rPr>
          <w:rFonts w:ascii="Times New Roman;sans-serif" w:hAnsi="Times New Roman;sans-serif"/>
          <w:b w:val="false"/>
          <w:color w:val="000000"/>
          <w:sz w:val="16"/>
        </w:rPr>
        <w:t>NC</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26"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«OPTIONEE»</w:t>
      </w:r>
    </w:p>
    <w:p>
      <w:pPr>
        <w:pStyle w:val="TextBody"/>
        <w:bidi w:val="0"/>
        <w:spacing w:lineRule="auto" w:line="240" w:before="249"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8"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before="0" w:after="0"/>
        <w:jc w:val="left"/>
        <w:rPr/>
      </w:pPr>
      <w:r>
        <w:rPr/>
      </w:r>
    </w:p>
    <w:p>
      <w:pPr>
        <w:pStyle w:val="TextBody"/>
        <w:bidi w:val="0"/>
        <w:spacing w:before="27" w:after="283"/>
        <w:jc w:val="left"/>
        <w:rPr/>
      </w:pPr>
      <w:r>
        <w:rPr/>
      </w:r>
    </w:p>
    <w:p>
      <w:pPr>
        <w:pStyle w:val="TextBody"/>
        <w:bidi w:val="0"/>
        <w:spacing w:lineRule="auto" w:line="28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 Title:</w:t>
      </w:r>
    </w:p>
    <w:p>
      <w:pPr>
        <w:pStyle w:val="TextBody"/>
        <w:bidi w:val="0"/>
        <w:spacing w:before="76"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ans-serif" w:hAnsi="Times New Roman;sans-serif"/>
          <w:b/>
          <w:color w:val="000000"/>
          <w:sz w:val="22"/>
        </w:rPr>
      </w:pPr>
      <w:r>
        <w:rPr>
          <w:rFonts w:ascii="Times New Roman;sans-serif" w:hAnsi="Times New Roman;sans-serif"/>
          <w:b/>
          <w:color w:val="000000"/>
          <w:sz w:val="22"/>
        </w:rPr>
        <w:t>Exhibit 10.12</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jc w:val="center"/>
        <w:rPr>
          <w:rFonts w:ascii="Times New Roman;sans-serif" w:hAnsi="Times New Roman;sans-serif"/>
          <w:b/>
          <w:color w:val="000000"/>
          <w:sz w:val="24"/>
        </w:rPr>
      </w:pPr>
      <w:r>
        <w:rPr>
          <w:rFonts w:ascii="Times New Roman;sans-serif" w:hAnsi="Times New Roman;sans-serif"/>
          <w:b/>
          <w:color w:val="000000"/>
          <w:sz w:val="24"/>
        </w:rPr>
        <w:t>AMENDMENT NO. 1 TO</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DATA SERVICES AND LICENSE AGREEMENT</w:t>
      </w:r>
    </w:p>
    <w:p>
      <w:pPr>
        <w:pStyle w:val="TextBody"/>
        <w:bidi w:val="0"/>
        <w:spacing w:lineRule="auto" w:line="240" w:before="271" w:after="283"/>
        <w:ind w:left="0" w:right="0" w:firstLine="719"/>
        <w:jc w:val="left"/>
        <w:rPr/>
      </w:pPr>
      <w:r>
        <w:rPr>
          <w:rFonts w:ascii="Times New Roman;sans-serif" w:hAnsi="Times New Roman;sans-serif"/>
          <w:b w:val="false"/>
          <w:color w:val="000000"/>
          <w:sz w:val="24"/>
        </w:rPr>
        <w:t>Reference is made to the Data Services and License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effective as of January 26, 2022, by and between Life360, Inc., a Delaware corporation (“</w:t>
      </w:r>
      <w:r>
        <w:rPr>
          <w:rFonts w:ascii="Times New Roman;sans-serif" w:hAnsi="Times New Roman;sans-serif"/>
          <w:b/>
          <w:color w:val="000000"/>
          <w:sz w:val="24"/>
        </w:rPr>
        <w:t>Life360</w:t>
      </w:r>
      <w:r>
        <w:rPr>
          <w:color w:val="000000"/>
        </w:rPr>
        <w:t>”</w:t>
      </w:r>
      <w:r>
        <w:rPr>
          <w:rFonts w:ascii="Times New Roman;sans-serif" w:hAnsi="Times New Roman;sans-serif"/>
          <w:b w:val="false"/>
          <w:color w:val="000000"/>
          <w:sz w:val="24"/>
        </w:rPr>
        <w:t>), and Placer Labs Inc., a Delaware corporation (“</w:t>
      </w:r>
      <w:r>
        <w:rPr>
          <w:rFonts w:ascii="Times New Roman;sans-serif" w:hAnsi="Times New Roman;sans-serif"/>
          <w:b/>
          <w:color w:val="000000"/>
          <w:sz w:val="24"/>
        </w:rPr>
        <w:t>Placer</w:t>
      </w:r>
      <w:r>
        <w:rPr>
          <w:color w:val="000000"/>
        </w:rPr>
        <w:t>”</w:t>
      </w:r>
      <w:r>
        <w:rPr>
          <w:rFonts w:ascii="Times New Roman;sans-serif" w:hAnsi="Times New Roman;sans-serif"/>
          <w:b w:val="false"/>
          <w:color w:val="000000"/>
          <w:sz w:val="24"/>
        </w:rPr>
        <w:t>). Unless otherwise defined, capitalized terms herein have the same meaning as in the Agreement.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AMENDMENT NO. 1 TO DATA SERVICES AND LICENSE AGREEMENT</w:t>
      </w:r>
    </w:p>
    <w:p>
      <w:pPr>
        <w:pStyle w:val="TextBody"/>
        <w:bidi w:val="0"/>
        <w:spacing w:lineRule="auto" w:line="240" w:before="0" w:after="0"/>
        <w:jc w:val="left"/>
        <w:rPr/>
      </w:pPr>
      <w:r>
        <w:rPr>
          <w:rFonts w:ascii="Times New Roman;sans-serif" w:hAnsi="Times New Roman;sans-serif"/>
          <w:b w:val="false"/>
          <w:color w:val="000000"/>
          <w:sz w:val="24"/>
        </w:rPr>
        <w:t>(this “</w:t>
      </w:r>
      <w:r>
        <w:rPr>
          <w:rFonts w:ascii="Times New Roman;sans-serif" w:hAnsi="Times New Roman;sans-serif"/>
          <w:b/>
          <w:color w:val="000000"/>
          <w:sz w:val="24"/>
        </w:rPr>
        <w:t>Amendment</w:t>
      </w:r>
      <w:r>
        <w:rPr>
          <w:color w:val="000000"/>
        </w:rPr>
        <w:t>”</w:t>
      </w:r>
      <w:r>
        <w:rPr>
          <w:rFonts w:ascii="Times New Roman;sans-serif" w:hAnsi="Times New Roman;sans-serif"/>
          <w:b w:val="false"/>
          <w:color w:val="000000"/>
          <w:sz w:val="24"/>
        </w:rPr>
        <w:t>) is entered into by and between the parties as of June 8, 2022.</w:t>
      </w:r>
    </w:p>
    <w:p>
      <w:pPr>
        <w:pStyle w:val="TextBody"/>
        <w:bidi w:val="0"/>
        <w:spacing w:before="0" w:after="0"/>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parties have been operating under the Agreement, and now desire to amend and modify certain provisions therein.</w:t>
      </w:r>
    </w:p>
    <w:p>
      <w:pPr>
        <w:pStyle w:val="TextBody"/>
        <w:bidi w:val="0"/>
        <w:spacing w:before="1" w:after="283"/>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Notwithstanding any other provisions in the Agreement, the parties agree, and the Agreement is accordingly amended and modified, as follows:</w:t>
      </w:r>
    </w:p>
    <w:p>
      <w:pPr>
        <w:pStyle w:val="TextBody"/>
        <w:bidi w:val="0"/>
        <w:spacing w:before="0" w:after="0"/>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1.Section 2(f) of Attachment A of the Agreement is amended to add the following sub-sections (ii) and (iii):</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2(f)(ii) For clarity, Placer shall not sell, disclose or make available to third parties any Aggregated Data derived or generated, in whole or in part, from the processing of Further Obfuscated DPS Output Data pertaining to any point of interest or other location with fewer than 50 unique devices. For further clarity, Placer represents that each “dot” or heatmap displayed on the Placer dashboard, including route beginning and end points, is displayed in an approximate and randomized location on a map segment such that it shall never represent the actual location of any individual-level device.</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2(f)(iii) Placer shall take reasonable steps to not display, disclose or make available to third parties, and shall prohibit clients from querying, Aggregate Data insights associated with sensitive points of interest (“</w:t>
      </w:r>
      <w:r>
        <w:rPr>
          <w:rFonts w:ascii="Times New Roman;sans-serif" w:hAnsi="Times New Roman;sans-serif"/>
          <w:b/>
          <w:color w:val="000000"/>
          <w:sz w:val="24"/>
        </w:rPr>
        <w:t>Sensitive POI</w:t>
      </w:r>
      <w:r>
        <w:rPr>
          <w:color w:val="000000"/>
        </w:rPr>
        <w:t>”</w:t>
      </w:r>
      <w:r>
        <w:rPr>
          <w:rFonts w:ascii="Times New Roman;sans-serif" w:hAnsi="Times New Roman;sans-serif"/>
          <w:b w:val="false"/>
          <w:color w:val="000000"/>
          <w:sz w:val="24"/>
        </w:rPr>
        <w:t>), which shall include at a minimum, the following types of locations: abortion clinics, K-12 schools, military facilities, religious facilities or places of worship. The Parties agree to work collaboratively and in good faith to update the Sensitive POI categories and locations and suppression methodology as needed to address changing consumer attitudes and trends, actual or perceived privacy or security risks, and technological improvements and capabilities.</w:t>
      </w:r>
    </w:p>
    <w:p>
      <w:pPr>
        <w:pStyle w:val="TextBody"/>
        <w:bidi w:val="0"/>
        <w:spacing w:before="274" w:after="283"/>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2.In the event of any conflict between the Agreement and this Amendment, the provisions in this Amendment shall control. In all other respects, the Agreement shall remain in full force and effect.</w:t>
      </w:r>
    </w:p>
    <w:p>
      <w:pPr>
        <w:pStyle w:val="TextBody"/>
        <w:bidi w:val="0"/>
        <w:spacing w:before="0" w:after="0"/>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3.This Amendment shall be governed by, and construed in accordance with, the laws of the State of California, without reference to conflicts of laws principles that would require the application of the laws of a different jurisdiction.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25170"/>
                <wp:effectExtent l="0" t="0" r="0" b="0"/>
                <wp:wrapNone/>
                <wp:docPr id="162" name="Frame159"/>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4145-6151-3528.4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4145-6151-3528.4</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75" w:after="283"/>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4.This Amendment may be executed in counterparts, each of which will be considered an original and all of which together will constitute the same instrument, and may be executed by facsimile or electronic signature.</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Placer</w:t>
      </w:r>
      <w:r>
        <w:rPr>
          <w:color w:val="000000"/>
        </w:rPr>
        <w:t>”    “</w:t>
      </w:r>
      <w:r>
        <w:rPr>
          <w:rFonts w:ascii="Times New Roman;sans-serif" w:hAnsi="Times New Roman;sans-serif"/>
          <w:b/>
          <w:color w:val="000000"/>
          <w:sz w:val="24"/>
        </w:rPr>
        <w:t>Life360</w:t>
      </w:r>
      <w:r>
        <w:rPr>
          <w:color w:val="000000"/>
        </w:rPr>
        <w:t>”</w:t>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1200150" cy="447675"/>
            <wp:effectExtent l="0" t="0" r="0" b="0"/>
            <wp:docPr id="1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 descr=""/>
                    <pic:cNvPicPr>
                      <a:picLocks noChangeAspect="1" noChangeArrowheads="1"/>
                    </pic:cNvPicPr>
                  </pic:nvPicPr>
                  <pic:blipFill>
                    <a:blip r:embed="rId38"/>
                    <a:stretch>
                      <a:fillRect/>
                    </a:stretch>
                  </pic:blipFill>
                  <pic:spPr bwMode="auto">
                    <a:xfrm>
                      <a:off x="0" y="0"/>
                      <a:ext cx="1200150" cy="447675"/>
                    </a:xfrm>
                    <a:prstGeom prst="rect">
                      <a:avLst/>
                    </a:prstGeom>
                  </pic:spPr>
                </pic:pic>
              </a:graphicData>
            </a:graphic>
          </wp:inline>
        </w:drawing>
      </w:r>
      <w:r>
        <w:rPr>
          <w:rFonts w:ascii="Times New Roman;sans-serif" w:hAnsi="Times New Roman;sans-serif"/>
          <w:b w:val="false"/>
          <w:color w:val="000000"/>
          <w:sz w:val="24"/>
        </w:rPr>
        <w:t>Placer Labs Inc.    Life360,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drawing>
          <wp:inline distT="0" distB="0" distL="0" distR="0">
            <wp:extent cx="1000125" cy="447675"/>
            <wp:effectExtent l="0" t="0" r="0" b="0"/>
            <wp:docPr id="1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 descr=""/>
                    <pic:cNvPicPr>
                      <a:picLocks noChangeAspect="1" noChangeArrowheads="1"/>
                    </pic:cNvPicPr>
                  </pic:nvPicPr>
                  <pic:blipFill>
                    <a:blip r:embed="rId39"/>
                    <a:stretch>
                      <a:fillRect/>
                    </a:stretch>
                  </pic:blipFill>
                  <pic:spPr bwMode="auto">
                    <a:xfrm>
                      <a:off x="0" y="0"/>
                      <a:ext cx="1000125" cy="447675"/>
                    </a:xfrm>
                    <a:prstGeom prst="rect">
                      <a:avLst/>
                    </a:prstGeom>
                  </pic:spPr>
                </pic:pic>
              </a:graphicData>
            </a:graphic>
          </wp:inline>
        </w:drawing>
      </w:r>
      <w:r>
        <w:rPr>
          <w:rFonts w:ascii="Times New Roman;sans-serif" w:hAnsi="Times New Roman;sans-serif"/>
          <w:b w:val="false"/>
          <w:color w:val="000000"/>
          <w:sz w:val="24"/>
        </w:rPr>
        <w:t xml:space="preserve">By: </w:t>
      </w:r>
      <w:r>
        <w:rPr>
          <w:color w:val="000000"/>
          <w:u w:val="single"/>
        </w:rPr>
        <w:t>    </w:t>
      </w:r>
      <w:r>
        <w:rPr>
          <w:color w:val="000000"/>
        </w:rPr>
        <w:t>    </w:t>
      </w:r>
      <w:r>
        <w:rPr>
          <w:rFonts w:ascii="Times New Roman;sans-serif" w:hAnsi="Times New Roman;sans-serif"/>
          <w:b w:val="false"/>
          <w:color w:val="000000"/>
          <w:sz w:val="24"/>
        </w:rPr>
        <w:t xml:space="preserve">By: </w:t>
      </w: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240"/>
        <w:jc w:val="right"/>
        <w:rPr>
          <w:rFonts w:ascii="Times New Roman;sans-serif" w:hAnsi="Times New Roman;sans-serif"/>
          <w:b/>
          <w:color w:val="000000"/>
          <w:sz w:val="22"/>
        </w:rPr>
      </w:pPr>
      <w:r>
        <w:rPr>
          <w:rFonts w:ascii="Times New Roman;sans-serif" w:hAnsi="Times New Roman;sans-serif"/>
          <w:b/>
          <w:color w:val="000000"/>
          <w:sz w:val="22"/>
        </w:rPr>
        <w:t>Exhibit 10.26</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30960"/>
                <wp:effectExtent l="0" t="0" r="0" b="0"/>
                <wp:wrapNone/>
                <wp:docPr id="165" name="Frame160"/>
                <a:graphic xmlns:a="http://schemas.openxmlformats.org/drawingml/2006/main">
                  <a:graphicData uri="http://schemas.microsoft.com/office/word/2010/wordprocessingShape">
                    <wps:wsp>
                      <wps:cNvSpPr txBox="1"/>
                      <wps:spPr>
                        <a:xfrm>
                          <a:off x="0" y="0"/>
                          <a:ext cx="6480175" cy="1330960"/>
                        </a:xfrm>
                        <a:prstGeom prst="rect"/>
                        <a:solidFill>
                          <a:srgbClr val="FFFFFF"/>
                        </a:solidFill>
                      </wps:spPr>
                      <wps:txbx>
                        <w:txbxContent>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4145-6151-3528.4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8pt;mso-wrap-distance-left:0pt;mso-wrap-distance-right:0pt;mso-wrap-distance-top:0pt;mso-wrap-distance-bottom:0pt;margin-top:0pt;mso-position-vertical:top;mso-position-vertical-relative:text;margin-left:-419.65pt;mso-position-horizontal:left;mso-position-horizontal-relative:text">
                <v:textbox>
                  <w:txbxContent>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4145-6151-3528.4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PRIVATE &amp; CONFIDENTIAL</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[__] 2024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address</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By email only: [email]</w:t>
      </w:r>
    </w:p>
    <w:p>
      <w:pPr>
        <w:pStyle w:val="TextBody"/>
        <w:bidi w:val="0"/>
        <w:spacing w:before="0" w:after="2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Dear [name]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Amended Letter of Appointment as a Non-Executive Director </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1Appointment</w:t>
      </w:r>
    </w:p>
    <w:p>
      <w:pPr>
        <w:pStyle w:val="TextBody"/>
        <w:bidi w:val="0"/>
        <w:spacing w:lineRule="auto" w:line="240" w:before="0" w:after="240"/>
        <w:jc w:val="left"/>
        <w:rPr/>
      </w:pPr>
      <w:r>
        <w:rPr>
          <w:rFonts w:ascii="Times New Roman;sans-serif" w:hAnsi="Times New Roman;sans-serif"/>
          <w:b w:val="false"/>
          <w:color w:val="000000"/>
          <w:sz w:val="22"/>
        </w:rPr>
        <w:t>Life360, Inc. (</w:t>
      </w:r>
      <w:r>
        <w:rPr>
          <w:rFonts w:ascii="Times New Roman;sans-serif" w:hAnsi="Times New Roman;sans-serif"/>
          <w:b/>
          <w:color w:val="000000"/>
          <w:sz w:val="22"/>
        </w:rPr>
        <w:t>Company</w:t>
      </w:r>
      <w:r>
        <w:rPr>
          <w:rFonts w:ascii="Times New Roman;sans-serif" w:hAnsi="Times New Roman;sans-serif"/>
          <w:b w:val="false"/>
          <w:color w:val="000000"/>
          <w:sz w:val="22"/>
        </w:rPr>
        <w:t>) is pleased to confirm your position of Non-executive Director of the Company, on the terms and conditions set out in this letter. The terms and conditions contained in this letter are intended to supersede the terms of any prior agreement relating to your appointment as a Non-executive Director.</w:t>
      </w:r>
    </w:p>
    <w:p>
      <w:pPr>
        <w:pStyle w:val="TextBody"/>
        <w:bidi w:val="0"/>
        <w:spacing w:lineRule="auto" w:line="417"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 xml:space="preserve">2Term </w:t>
      </w:r>
    </w:p>
    <w:p>
      <w:pPr>
        <w:pStyle w:val="TextBody"/>
        <w:bidi w:val="0"/>
        <w:spacing w:lineRule="auto" w:line="240" w:before="0" w:after="240"/>
        <w:jc w:val="both"/>
        <w:rPr/>
      </w:pPr>
      <w:r>
        <w:rPr>
          <w:rFonts w:ascii="Times New Roman;sans-serif" w:hAnsi="Times New Roman;sans-serif"/>
          <w:b w:val="false"/>
          <w:color w:val="000000"/>
          <w:sz w:val="22"/>
        </w:rPr>
        <w:t>In accordance with the Company’s Amended and Restated Certificate of Incorporation (</w:t>
      </w:r>
      <w:r>
        <w:rPr>
          <w:rFonts w:ascii="Times New Roman;sans-serif" w:hAnsi="Times New Roman;sans-serif"/>
          <w:b/>
          <w:color w:val="000000"/>
          <w:sz w:val="22"/>
        </w:rPr>
        <w:t>Certificate of Incorporation</w:t>
      </w:r>
      <w:r>
        <w:rPr>
          <w:rFonts w:ascii="Times New Roman;sans-serif" w:hAnsi="Times New Roman;sans-serif"/>
          <w:b w:val="false"/>
          <w:color w:val="000000"/>
          <w:sz w:val="22"/>
        </w:rPr>
        <w:t xml:space="preserve">), the Directors of the Company are divided into three classes, designated as Class I, Class II and Class III. You are classified as a Class [X] Director. This means that your appointment will continue until the [insert year] annual meeting of the Company unless you otherwise cease to be a Non-executive Director as a result of one of the circumstances set out in paragraph 6 below.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Your on-going appointment as a Non-executive Director is dependent on obtaining the necessary approval of the Company's stockholders, consistent with legal and regulatory requirements.</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3Duties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You must diligently and faithfully perform the following duties:</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(a)the duties necessary or incidental to the position of a Non-executive Director of the Company; and</w:t>
      </w:r>
    </w:p>
    <w:p>
      <w:pPr>
        <w:pStyle w:val="TextBody"/>
        <w:bidi w:val="0"/>
        <w:spacing w:lineRule="auto" w:line="240" w:before="0" w:after="240"/>
        <w:ind w:left="0" w:right="0" w:hanging="360"/>
        <w:jc w:val="left"/>
        <w:rPr/>
      </w:pPr>
      <w:r>
        <w:rPr>
          <w:rFonts w:ascii="Times New Roman;sans-serif" w:hAnsi="Times New Roman;sans-serif"/>
          <w:b w:val="false"/>
          <w:color w:val="000000"/>
          <w:sz w:val="22"/>
        </w:rPr>
        <w:t xml:space="preserve">(b)any other duties that are reasonably assigned to you by the board of directors of the Company (the </w:t>
      </w:r>
      <w:r>
        <w:rPr>
          <w:rFonts w:ascii="Times New Roman;sans-serif" w:hAnsi="Times New Roman;sans-serif"/>
          <w:b/>
          <w:color w:val="000000"/>
          <w:sz w:val="22"/>
        </w:rPr>
        <w:t>Board</w:t>
      </w:r>
      <w:r>
        <w:rPr>
          <w:rFonts w:ascii="Times New Roman;sans-serif" w:hAnsi="Times New Roman;sans-serif"/>
          <w:b w:val="false"/>
          <w:color w:val="000000"/>
          <w:sz w:val="22"/>
        </w:rPr>
        <w:t>).</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4Time commitment envisaged</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fulfilling the role of a Non-executive Director, it is anticipated that you will devote as much time as may be necessary for the performance of your duties. It is difficult to be precise as to the likely time commitment expected of you as a Non-executive Director moving forward as this will depend on the Company's needs and matters which arise from time to time. However, it is expected that you will be required to:</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(a)attend all Board meetings, including regularly scheduled meetings and any additional meetings that are convened by the Board to consider any issues which arise in the period between the scheduled meetings. It is expected that you will attend the meetings of the Board held on the continent of your residence in person and otherwise participate by telephonic, electronic or other means;</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(b)attend each annual meeting of the Company in person or virtually, if a virtual meeting is held online;</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(c)engage in informal discussions with your fellow Directors as the need arises; and</w:t>
      </w:r>
    </w:p>
    <w:p>
      <w:pPr>
        <w:pStyle w:val="TextBody"/>
        <w:bidi w:val="0"/>
        <w:spacing w:before="0" w:after="24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(d)review and comment on public financial reports, announcements and other releases prepared by the Company as necessary.</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Board papers will be distributed electronically or by post prior to the Board meetings.</w:t>
      </w:r>
    </w:p>
    <w:p>
      <w:pPr>
        <w:pStyle w:val="TextBody"/>
        <w:bidi w:val="0"/>
        <w:spacing w:lineRule="auto" w:line="240" w:before="0" w:after="240"/>
        <w:jc w:val="left"/>
        <w:rPr/>
      </w:pPr>
      <w:r>
        <w:rPr>
          <w:rFonts w:ascii="Times New Roman;sans-serif" w:hAnsi="Times New Roman;sans-serif"/>
          <w:b w:val="false"/>
          <w:color w:val="000000"/>
          <w:sz w:val="22"/>
        </w:rPr>
        <w:t>You may also be appointed by the Board to serve as a member of any Board committees which are established from time to time in accordance with the Company's Amended and Restated Bylaws (</w:t>
      </w:r>
      <w:r>
        <w:rPr>
          <w:rFonts w:ascii="Times New Roman;sans-serif" w:hAnsi="Times New Roman;sans-serif"/>
          <w:b/>
          <w:color w:val="000000"/>
          <w:sz w:val="22"/>
        </w:rPr>
        <w:t>Bylaws</w:t>
      </w:r>
      <w:r>
        <w:rPr>
          <w:rFonts w:ascii="Times New Roman;sans-serif" w:hAnsi="Times New Roman;sans-serif"/>
          <w:b w:val="false"/>
          <w:color w:val="000000"/>
          <w:sz w:val="22"/>
        </w:rPr>
        <w:t xml:space="preserve">) and dependent on the needs of the business. This is likely to entail additional time involvement.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your appointment you are deemed to have confirmed to the Company that you are able to allocate sufficient time to meet the expectations of your role. You should seek the agreement of the Board before you accept any additional commitments that will affect the time required to be allocated to your role as a Non-executive Director of the Company. Such consent will not be unreasonably withheld.</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5Powers and duties of Directors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powers and duties of Directors are broad and are governed by:</w:t>
      </w:r>
    </w:p>
    <w:p>
      <w:pPr>
        <w:pStyle w:val="TextBody"/>
        <w:bidi w:val="0"/>
        <w:spacing w:lineRule="auto" w:line="240" w:before="0" w:after="240"/>
        <w:ind w:left="0" w:right="0" w:hanging="360"/>
        <w:jc w:val="left"/>
        <w:rPr/>
      </w:pPr>
      <w:r>
        <w:rPr>
          <w:rFonts w:ascii="Times New Roman;sans-serif" w:hAnsi="Times New Roman;sans-serif"/>
          <w:b w:val="false"/>
          <w:color w:val="000000"/>
          <w:sz w:val="22"/>
        </w:rPr>
        <w:t xml:space="preserve">(a)Delaware General Corporation Law (the </w:t>
      </w:r>
      <w:r>
        <w:rPr>
          <w:rFonts w:ascii="Times New Roman;sans-serif" w:hAnsi="Times New Roman;sans-serif"/>
          <w:b/>
          <w:color w:val="000000"/>
          <w:sz w:val="22"/>
        </w:rPr>
        <w:t>DGCL</w:t>
      </w:r>
      <w:r>
        <w:rPr>
          <w:rFonts w:ascii="Times New Roman;sans-serif" w:hAnsi="Times New Roman;sans-serif"/>
          <w:b w:val="false"/>
          <w:color w:val="000000"/>
          <w:sz w:val="22"/>
        </w:rPr>
        <w:t>);</w:t>
      </w:r>
    </w:p>
    <w:p>
      <w:pPr>
        <w:pStyle w:val="TextBody"/>
        <w:bidi w:val="0"/>
        <w:spacing w:lineRule="auto" w:line="240" w:before="0" w:after="240"/>
        <w:ind w:left="0" w:right="0" w:hanging="360"/>
        <w:jc w:val="left"/>
        <w:rPr/>
      </w:pPr>
      <w:r>
        <w:rPr>
          <w:rFonts w:ascii="Times New Roman;sans-serif" w:hAnsi="Times New Roman;sans-serif"/>
          <w:b w:val="false"/>
          <w:color w:val="000000"/>
          <w:sz w:val="22"/>
        </w:rPr>
        <w:t>(b)the ASX Listing Rules (if the Company is listed on the ASX) and the listing standards of any U.S. securities exchange on which the Company’s securities may be listed (the “</w:t>
      </w:r>
      <w:r>
        <w:rPr>
          <w:rFonts w:ascii="Times New Roman;sans-serif" w:hAnsi="Times New Roman;sans-serif"/>
          <w:b/>
          <w:color w:val="000000"/>
          <w:sz w:val="22"/>
        </w:rPr>
        <w:t>U.S. Listing Rules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(c)the Company's Certificate of Incorporation and Bylaws in force, and as amended from time to time; and</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(d)the Company's Board and committee charters and corporate governance policies as are in force from time to time.</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 breach of your legal or fiduciary duties as a Director may expose you to civil liabilities.</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6Termination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appointment letter and your appointment as a Non-executive Director will be immediately terminated if the stockholders of the Company resolve that you should be removed as a Non-executive Director pursuant to their rights under the Company's Bylaws, Certificate of Incorporation and the DGCL without the need for any further action by the Company.</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Board may recommend the termination of your appointment as a Non-executive Director if, among other circumstances, the Board determines that you are not satisfactorily performing your duties as a Non-executive Director.</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You agree to tender your resignation as a Non-executive Director and your appointment as a Non-executive Director will also automatically cease in the following circumstances, without the need for any further action by the Company:</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(a)you cease to be a Director of the Company in accordance with the provisions of the DGCL or any other applicable law;</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(b)you become bankrupt or make any arrangement or composition with your creditors generally;</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(c)you become prohibited from being a Director of the Company by reason of any order made under provisions of the DGCL or any other applicable law;</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(d)you become of unsound mind or become a person whose person or estate is liable to be dealt with in any way under a law relating to mental health;</w:t>
      </w:r>
    </w:p>
    <w:p>
      <w:pPr>
        <w:pStyle w:val="TextBody"/>
        <w:bidi w:val="0"/>
        <w:spacing w:before="0" w:after="24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(e)you resign your office by providing one month's notice in writing to the Company;</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(f)you are removed from office by resolution of the Company;</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(g)you are not re-elected to office by the stockholders of the Company; or</w:t>
      </w:r>
    </w:p>
    <w:p>
      <w:pPr>
        <w:pStyle w:val="TextBody"/>
        <w:bidi w:val="0"/>
        <w:spacing w:lineRule="auto" w:line="240"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(h)you cease to be able to hold the position of a Director of the Company for any other circumstances specified in the Company's Bylaws or Certificate of Incorporation as is in force from time to time.</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7Remuneration and expenses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Your remuneration and any other forms of financial compensation shall be determined and approved annually by the Board and, if applicable, in accordance with any Non-executive Director remuneration policy adopted by the Company. The Company must obtain stockholder approval to increase the maximum aggregate amount payable to Directors under the ASX Listing Rules. Accordingly, any increase in your remuneration will be subject to this increase being within the maximum aggregate amount approved by stockholders from time to time in accordance with the ASX Listing Rules.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will pay your reasonable out-of-pocket expenses, either directly or by reimbursement, incurred in attending Board or committee meetings, dealing with Company business or in carrying out your duties as a Non-executive Director, subject to limits determined and approved by the Board and, if applicable, any Non-executive Director remuneration policy adopted by the Company. Please liaise with the Company's CEO or another person appointed by the Company from time to time regarding any procedural or validation requirements in this regard.</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8Notifications to ASX</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you are aware, the Company is required to provide to ASX information in relation to a Director's interests and transactions in the Company's securities and to make arrangements with Directors obliging them to provide certain information to enable the Company to meet its disclosure obligations within the required time frame. By signing this letter, you agree to provide to the Company the information set out in the Annexure and within the time period in accordance with Listing Rule 3.19B.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 long as the Company is listed on the ASX, certain information, background checks and statutory declarations need to be provided to the ASX. This includes information relating to countries that you resided in for the last 10 years and criminal and bankruptcy checks both in Australia and any country that you have resided. You consent to the Company obtaining such information, undertaking background checks and agree to provide the relevant statutory declaration and necessary assistance in providing such information to ASX.</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9Performance evaluation</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During your time as a Director, your performance as a Director together with the performance of the Board as a whole will be reviewed in accordance with processes agreed by the Board from time to time. The Board may make recommendations in the relevant notice of meeting to stockholders regarding your re-election having regard to those reviews.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Directors will provide feedback in relation to the performance of the Board and its committees on an annual basis. It is important that individual Directors participate in such reviews. Each Board committee will also be required to provide feedback in terms of a review of its own performance.</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Feedback will be collected by you or, where the Board considers it appropriate, by an external facilitator. Such feedback will be discussed by the Board, with consideration being given as to whether any steps should be taken to improve performance of the Board or its committees.</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10Disclosure of interests and independence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Under the DGCL and any applicable laws, you have, subject to certain limited exceptions, a positive obligation to give notice of any material personal interest which you have in a matter that relates to the affairs of the Company. This notice must give details of the nature and extent of the interest and the relationship of the interest to the affairs of the Company and must be given at a Board meeting as soon as practicable after you become aware of your interest in the matter (with the details being recorded in the minutes of that meeting). Such a notice may be a standing notice of the nature and extent of your interest in the matter.</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if you have a material personal interest in a matter that is being considered at a Board meeting, you must not be present (except in limited circumstances) while the matter is being considered at the meeting and you must not vote on that matter.</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Each year the Board will assess your independence. If your independent status as a Non-executive Director is lost, you must immediately disclose this to the Board. In determining independence the Board will have regard to the recommendations of the ASX Corporate Governance Council and the U.S. Listing Rules when considering factors that may affect independence.</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be required by law or the ASX Listing Rules to provide information about you to various authorities including ASIC and ASX. You agree to provide all information that is required for these purposes promptly and before the Company is required to so provide that information.</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11Trading policy regarding dealing in securities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You are required to comply with the Company's securities trading policy (as amended from to time) at all times.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particular, you should be aware that you are under a positive obligation to immediately disclose to the Company any acquisition or sale of any securities in the Company. You should notify the Company immediately if you or an associate becomes a substantial stockholder in the Company. </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12Indemnity and insurance arrangements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Bylaws provide that you may be indemnified out of the funds of the Company (to the extent permitted by applicable law) against liability incurred for the reason you are acting as a Non-executive Director. The Company entered into an Indemnification Agreement with you in respect of your period of appointment as a Non-executive Director.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intends to maintain directors and officers insurance on behalf of the Company. The details of your appointment will need to be notified to the insurer by the Company at that time. A copy of the insurance policy and details will be provided to you.</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13Rights to access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any conflict of interest, you may inspect the books and records of the Company, including any existing Company policies or procedures which are in place including the Company's corporate governance policies and charters along with any other information, financial or otherwise, relating to the Company's affairs that you reasonably request. </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14Confidentiality</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your role as a Non-executive Director you will receive confidential information of, or with respect to, the Company. You must only use such information in the proper performance of your duties and must not improperly use the information to gain advantage for yourself or someone else or to cause detriment to the Company. You must maintain the confidentiality of such information and must not disclose such information to third parties without the prior permission of the Board. This obligation continues even after ceasing to be a Director of the Company.</w:t>
      </w:r>
    </w:p>
    <w:p>
      <w:pPr>
        <w:pStyle w:val="TextBody"/>
        <w:bidi w:val="0"/>
        <w:spacing w:before="0" w:after="24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15Compliance with policies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You will be expected to comply with all relevant policies and procedures of the Company in force from time to time that are applicable to your role as a Non-executive Director including, but not limited to, Board, corporate governance and continuous disclosure policies.</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16Independent Advice</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Occasions may arise when you consider that you need professional advice in the furtherance of your duties as a Director and it is understood that it may be appropriate for you to seek advice from independent advisers at the Company's expense. It is expected that you will comply with relevant Board policies when doing so.</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17Disclaimer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Nothing in this letter constitutes financial, tax or other advice and the Company encourages you to seek your own independent advice where necessary.</w:t>
      </w:r>
    </w:p>
    <w:p>
      <w:pPr>
        <w:pStyle w:val="TextBody"/>
        <w:bidi w:val="0"/>
        <w:spacing w:lineRule="auto" w:line="24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18Continuing education arrangements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You will be regularly briefed at Board meetings in relation to business performance and current major issues.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Directors are expected to undertake any necessary continuing professional education to enable them to discharge their duties.</w:t>
      </w:r>
    </w:p>
    <w:p>
      <w:pPr>
        <w:pStyle w:val="TextBody"/>
        <w:bidi w:val="0"/>
        <w:spacing w:lineRule="auto" w:line="417"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 * * * * * *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Would you kindly confirm your acceptance of these terms of appointment by signing and returning the enclosed copy of this letter.</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Yours sincerely, </w:t>
      </w:r>
    </w:p>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John Philip Coghlan</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Chairman</w:t>
      </w:r>
    </w:p>
    <w:p>
      <w:pPr>
        <w:pStyle w:val="TextBody"/>
        <w:bidi w:val="0"/>
        <w:spacing w:before="0" w:after="24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confirm my acceptance of these terms of appointment.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color w:val="000000"/>
          <w:sz w:val="22"/>
        </w:rPr>
        <w: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[insert name]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Non-executive Director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color w:val="000000"/>
          <w:sz w:val="22"/>
        </w:rPr>
        <w: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ANNEXURE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Initial disclosure (Listing Rule Appendix 3X)</w:t>
      </w:r>
    </w:p>
    <w:p>
      <w:pPr>
        <w:pStyle w:val="TextBody"/>
        <w:bidi w:val="0"/>
        <w:spacing w:before="0" w:after="0"/>
        <w:jc w:val="both"/>
        <w:rPr/>
      </w:pPr>
      <w:r>
        <w:rPr/>
      </w:r>
    </w:p>
    <w:p>
      <w:pPr>
        <w:pStyle w:val="TextBody"/>
        <w:bidi w:val="0"/>
        <w:spacing w:lineRule="auto" w:line="240" w:before="0" w:after="0"/>
        <w:ind w:left="0" w:right="0" w:hanging="900"/>
        <w:jc w:val="both"/>
        <w:rPr>
          <w:rFonts w:ascii="Times New Roman;sans-serif" w:hAnsi="Times New Roman;sans-serif"/>
          <w:b w:val="false"/>
          <w:color w:val="000000"/>
          <w:sz w:val="22"/>
        </w:rPr>
      </w:pPr>
      <w:r>
        <w:rPr>
          <w:rFonts w:ascii="Times New Roman;sans-serif" w:hAnsi="Times New Roman;sans-serif"/>
          <w:b w:val="false"/>
          <w:color w:val="000000"/>
          <w:sz w:val="22"/>
        </w:rPr>
        <w:t>(a)    You will provide the following information as soon as reasonably possible after your execution of this appointment letter:</w:t>
      </w:r>
    </w:p>
    <w:p>
      <w:pPr>
        <w:pStyle w:val="TextBody"/>
        <w:bidi w:val="0"/>
        <w:spacing w:before="0" w:after="0"/>
        <w:ind w:left="0" w:right="0" w:hanging="900"/>
        <w:jc w:val="both"/>
        <w:rPr/>
      </w:pPr>
      <w:r>
        <w:rPr/>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2"/>
        </w:rPr>
        <w:t>details of all securities of the Company or a related body corporate of the Company (</w:t>
      </w:r>
      <w:r>
        <w:rPr>
          <w:rFonts w:ascii="Times New Roman;sans-serif" w:hAnsi="Times New Roman;sans-serif"/>
          <w:b/>
          <w:color w:val="000000"/>
          <w:sz w:val="22"/>
        </w:rPr>
        <w:t>Securities</w:t>
      </w:r>
      <w:r>
        <w:rPr>
          <w:rFonts w:ascii="Times New Roman;sans-serif" w:hAnsi="Times New Roman;sans-serif"/>
          <w:b w:val="false"/>
          <w:color w:val="000000"/>
          <w:sz w:val="22"/>
        </w:rPr>
        <w:t>) registered in your name. These details include the number and class of the Securities;</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2"/>
        </w:rPr>
        <w:t xml:space="preserve">details of all Securities not registered in your name but in which you have a “relevant interest” within the meaning of section 9 of the </w:t>
      </w:r>
      <w:r>
        <w:rPr>
          <w:rFonts w:ascii="Times New Roman;sans-serif" w:hAnsi="Times New Roman;sans-serif"/>
          <w:b w:val="false"/>
          <w:i/>
          <w:color w:val="000000"/>
          <w:sz w:val="22"/>
        </w:rPr>
        <w:t>Corporations Act 2001</w:t>
      </w:r>
      <w:r>
        <w:rPr>
          <w:color w:val="000000"/>
        </w:rPr>
        <w:t xml:space="preserve"> </w:t>
      </w:r>
      <w:r>
        <w:rPr>
          <w:rFonts w:ascii="Times New Roman;sans-serif" w:hAnsi="Times New Roman;sans-serif"/>
          <w:b w:val="false"/>
          <w:color w:val="000000"/>
          <w:sz w:val="22"/>
        </w:rPr>
        <w:t>(Cth). These details include the number and class of the Securities, the name of the registered holder and the circumstances giving rise to the relevant interest; and</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details of all contracts (other than contracts to which the Company is a party) to which you are a party or under which you are entitled to a benefit, and that confer a right to call for or deliver shares in, debentures of, or interests in a managed investment scheme made available by, the Company or a related body corporate. These details include the number and class of the shares, debentures or interests, the name of the registered holder if the shares, debentures or interests have been issued and the nature of your interest under the contract.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Ongoing disclosure (Listing Rule Appendix 3Y)</w:t>
      </w:r>
    </w:p>
    <w:p>
      <w:pPr>
        <w:pStyle w:val="TextBody"/>
        <w:bidi w:val="0"/>
        <w:spacing w:before="0" w:after="0"/>
        <w:jc w:val="both"/>
        <w:rPr/>
      </w:pPr>
      <w:r>
        <w:rPr/>
      </w:r>
    </w:p>
    <w:p>
      <w:pPr>
        <w:pStyle w:val="TextBody"/>
        <w:bidi w:val="0"/>
        <w:spacing w:lineRule="auto" w:line="240" w:before="0" w:after="0"/>
        <w:ind w:left="0" w:right="0" w:hanging="99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provide the following information as soon as reasonably possible after the date of any change described below and in any event no later than 5 business days after the date of any such change:</w:t>
      </w:r>
    </w:p>
    <w:p>
      <w:pPr>
        <w:pStyle w:val="TextBody"/>
        <w:bidi w:val="0"/>
        <w:spacing w:before="0" w:after="0"/>
        <w:jc w:val="both"/>
        <w:rPr/>
      </w:pPr>
      <w:r>
        <w:rPr/>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2"/>
        </w:rPr>
        <w:t xml:space="preserve">details of changes in Securities registered in your name other than changes occurring as a result of corporate actions by the Company. These details include the date of the change, the number and class of the Securities held before and after the change, and the nature of the change (for example, on-market transfer). You will also provide details of the consideration payable in connection with the change, or if a market consideration is not payable, the value of the Securities the subject of the change; </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2"/>
        </w:rPr>
        <w:t xml:space="preserve">details of changes in Securities not registered in your name but in which you has a relevant interest within the meaning of section 9 of the </w:t>
      </w:r>
      <w:r>
        <w:rPr>
          <w:rFonts w:ascii="Times New Roman;sans-serif" w:hAnsi="Times New Roman;sans-serif"/>
          <w:b w:val="false"/>
          <w:i/>
          <w:color w:val="000000"/>
          <w:sz w:val="22"/>
        </w:rPr>
        <w:t>Corporations Act 2001</w:t>
      </w:r>
      <w:r>
        <w:rPr>
          <w:color w:val="000000"/>
        </w:rPr>
        <w:t xml:space="preserve"> </w:t>
      </w:r>
      <w:r>
        <w:rPr>
          <w:rFonts w:ascii="Times New Roman;sans-serif" w:hAnsi="Times New Roman;sans-serif"/>
          <w:b w:val="false"/>
          <w:color w:val="000000"/>
          <w:sz w:val="22"/>
        </w:rPr>
        <w:t>(Cth). These details shall include the date of the change, the number and class of the Securities held before and after the change, the name of the registered holder before and after the change, the circumstances giving rise to the relevant interest and the nature of the change. You will also provide details of the consideration payable in connection with the change, or if a market consideration is not payable, the value of the Securities the subject of the change; and</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details of all changes to contracts (other than contracts to which the Company is a party) to which you are a party or under which you are entitled to a benefit, and that confer a right to call for or deliver shares in, debentures of, or interests in a managed investment scheme made available by, the Company or a related body corporate. These details include the date of the change, the number and class of the shares, debentures or interests to which the interest relates before and after the change, the name of the registered holder if the shares, debentures or interests have been issued, and the nature of your interest under the contract. You will also provide details of the value or consideration relating to the change and if the consideration is non-cash, an estimated value of the consideration.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Final disclosure (Listing Rule Appendix 3Z)</w:t>
      </w:r>
    </w:p>
    <w:p>
      <w:pPr>
        <w:pStyle w:val="TextBody"/>
        <w:bidi w:val="0"/>
        <w:spacing w:before="0" w:after="0"/>
        <w:jc w:val="both"/>
        <w:rPr/>
      </w:pPr>
      <w:r>
        <w:rPr/>
      </w:r>
    </w:p>
    <w:p>
      <w:pPr>
        <w:pStyle w:val="TextBody"/>
        <w:bidi w:val="0"/>
        <w:spacing w:lineRule="auto" w:line="240" w:before="0" w:after="0"/>
        <w:ind w:left="0" w:right="0" w:hanging="99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provide the following information as soon as reasonably possible after the date of ceasing to be a director and in any event no later than 5 business days after the date of ceasing to be a director:</w:t>
      </w:r>
    </w:p>
    <w:p>
      <w:pPr>
        <w:pStyle w:val="TextBody"/>
        <w:bidi w:val="0"/>
        <w:jc w:val="both"/>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2"/>
        </w:rPr>
        <w:t xml:space="preserve">details of all Securities registered in your name. These details include the number and class of the Securities; </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2"/>
        </w:rPr>
        <w:t xml:space="preserve">details of all Securities not registered in your name but in which you has a relevant interest within the meaning of section 9 of the </w:t>
      </w:r>
      <w:r>
        <w:rPr>
          <w:rFonts w:ascii="Times New Roman;sans-serif" w:hAnsi="Times New Roman;sans-serif"/>
          <w:b w:val="false"/>
          <w:i/>
          <w:color w:val="000000"/>
          <w:sz w:val="22"/>
        </w:rPr>
        <w:t>Corporations Act 2001</w:t>
      </w:r>
      <w:r>
        <w:rPr>
          <w:color w:val="000000"/>
        </w:rPr>
        <w:t xml:space="preserve"> </w:t>
      </w:r>
      <w:r>
        <w:rPr>
          <w:rFonts w:ascii="Times New Roman;sans-serif" w:hAnsi="Times New Roman;sans-serif"/>
          <w:b w:val="false"/>
          <w:color w:val="000000"/>
          <w:sz w:val="22"/>
        </w:rPr>
        <w:t>(Cth). These details include the number and class of the Securities, the name of the registered holder and the circumstances giving rise to the relevant interest; and</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details of all contracts (other than contracts to which the Company is a party) to which you are a party or under which you are entitled to a benefit, and that confer a right to call for or deliver shares in, debentures of, or interests in a managed investment scheme made available by, the Company or a related body corporate. These details include the number and class of the shares, debentures or interests, the name of the registered holder if the shares, debentures or interests have been issued and the nature of the interest under the contract.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val="false"/>
          <w:color w:val="000000"/>
          <w:sz w:val="20"/>
        </w:rPr>
        <w:t>Life360, Inc.</w:t>
      </w:r>
      <w:r>
        <w:rPr>
          <w:rFonts w:ascii="Times New Roman;sans-serif" w:hAnsi="Times New Roman;sans-serif"/>
          <w:b w:val="false"/>
          <w:color w:val="000000"/>
          <w:sz w:val="20"/>
          <w:shd w:fill="FFFF00" w:val="clear"/>
        </w:rPr>
        <w:br/>
      </w:r>
      <w:r>
        <w:rPr>
          <w:rFonts w:ascii="Times New Roman;sans-serif" w:hAnsi="Times New Roman;sans-serif"/>
          <w:b w:val="false"/>
          <w:color w:val="000000"/>
          <w:sz w:val="20"/>
        </w:rPr>
        <w:t xml:space="preserve">San Mateo, California </w:t>
      </w:r>
    </w:p>
    <w:p>
      <w:pPr>
        <w:pStyle w:val="TextBody"/>
        <w:bidi w:val="0"/>
        <w:spacing w:lineRule="auto" w:line="393" w:before="0" w:after="0"/>
        <w:jc w:val="left"/>
        <w:rPr/>
      </w:pPr>
      <w:r>
        <w:rPr>
          <w:rFonts w:ascii="Times New Roman;sans-serif" w:hAnsi="Times New Roman;sans-serif"/>
          <w:b w:val="false"/>
          <w:color w:val="000000"/>
          <w:sz w:val="20"/>
          <w:shd w:fill="FFFF00" w:val="clear"/>
        </w:rPr>
        <w:br/>
      </w:r>
      <w:r>
        <w:rPr>
          <w:rFonts w:ascii="Times New Roman;sans-serif" w:hAnsi="Times New Roman;sans-serif"/>
          <w:b w:val="false"/>
          <w:color w:val="000000"/>
          <w:sz w:val="20"/>
        </w:rPr>
        <w:t>We consent to the incorporation by reference in the Registration Statement Nos. 333-268529 and 333-274727 on Form S-8 of our reports dated February 29, 2024, relating to the financial statements of Life360, Inc. and the effectiveness of Life360, Inc.'s internal control over financial reporting appearing in this Annual Report on Form 10-K for the year ended December 31, 2023.</w:t>
      </w:r>
    </w:p>
    <w:p>
      <w:pPr>
        <w:pStyle w:val="TextBody"/>
        <w:bidi w:val="0"/>
        <w:spacing w:before="0" w:after="0"/>
        <w:jc w:val="center"/>
        <w:rPr/>
      </w:pPr>
      <w:r>
        <w:rPr/>
      </w:r>
    </w:p>
    <w:tbl>
      <w:tblPr>
        <w:tblW w:w="2879" w:type="dxa"/>
        <w:jc w:val="left"/>
        <w:tblInd w:w="0" w:type="dxa"/>
        <w:tblLayout w:type="fixed"/>
        <w:tblCellMar>
          <w:top w:w="28" w:type="dxa"/>
          <w:left w:w="28" w:type="dxa"/>
          <w:bottom w:w="28" w:type="dxa"/>
          <w:right w:w="28" w:type="dxa"/>
        </w:tblCellMar>
      </w:tblPr>
      <w:tblGrid>
        <w:gridCol w:w="922"/>
        <w:gridCol w:w="809"/>
        <w:gridCol w:w="1148"/>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DELOITTE &amp; TOUCHE LLP</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 Francisco, California</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Arial;sans-serif" w:hAnsi="Arial;sans-serif"/>
                <w:b w:val="false"/>
                <w:color w:val="000000"/>
                <w:sz w:val="20"/>
              </w:rPr>
            </w:pPr>
            <w:r>
              <w:rPr>
                <w:rFonts w:ascii="Arial;sans-serif" w:hAnsi="Arial;sans-serif"/>
                <w:b w:val="false"/>
                <w:color w:val="000000"/>
                <w:sz w:val="20"/>
              </w:rPr>
              <w:t>February 29, 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0"/>
        </w:rPr>
        <w:t>Life360, Inc.</w:t>
      </w:r>
      <w:r>
        <w:rPr>
          <w:rFonts w:ascii="Times New Roman;sans-serif" w:hAnsi="Times New Roman;sans-serif"/>
          <w:b w:val="false"/>
          <w:color w:val="000000"/>
          <w:sz w:val="20"/>
          <w:shd w:fill="FFFF00" w:val="clear"/>
        </w:rPr>
        <w:br/>
      </w:r>
      <w:r>
        <w:rPr>
          <w:rFonts w:ascii="Times New Roman;sans-serif" w:hAnsi="Times New Roman;sans-serif"/>
          <w:b w:val="false"/>
          <w:color w:val="000000"/>
          <w:sz w:val="20"/>
        </w:rPr>
        <w:t xml:space="preserve">San Mateo, California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br/>
        <w:t>We hereby consent to the incorporation by reference in the Registration Statements on Form S-8 (Nos. 333-274727 and 333-268529) of Life360, Inc. (the Company) of our report dated March 23, 2023, relating to the consolidated financial statements which appears in the Company’s Annual Report on Form 10-K for the year ended December 31, 2023.</w:t>
      </w:r>
    </w:p>
    <w:p>
      <w:pPr>
        <w:pStyle w:val="TextBody"/>
        <w:bidi w:val="0"/>
        <w:spacing w:before="0" w:after="0"/>
        <w:jc w:val="right"/>
        <w:rPr/>
      </w:pPr>
      <w:r>
        <w:rPr/>
      </w:r>
    </w:p>
    <w:tbl>
      <w:tblPr>
        <w:tblW w:w="2354" w:type="dxa"/>
        <w:jc w:val="right"/>
        <w:tblInd w:w="0" w:type="dxa"/>
        <w:tblLayout w:type="fixed"/>
        <w:tblCellMar>
          <w:top w:w="28" w:type="dxa"/>
          <w:left w:w="28" w:type="dxa"/>
          <w:bottom w:w="28" w:type="dxa"/>
          <w:right w:w="28" w:type="dxa"/>
        </w:tblCellMar>
      </w:tblPr>
      <w:tblGrid>
        <w:gridCol w:w="753"/>
        <w:gridCol w:w="660"/>
        <w:gridCol w:w="941"/>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BDO USA, P.C.</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 Francisco, California</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Arial;sans-serif" w:hAnsi="Arial;sans-serif"/>
                <w:b w:val="false"/>
                <w:color w:val="000000"/>
                <w:sz w:val="20"/>
              </w:rPr>
            </w:pPr>
            <w:r>
              <w:rPr>
                <w:rFonts w:ascii="Arial;sans-serif" w:hAnsi="Arial;sans-serif"/>
                <w:b w:val="false"/>
                <w:color w:val="000000"/>
                <w:sz w:val="20"/>
              </w:rPr>
              <w:t>February 29, 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58"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73"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Life360, Inc. (the “Company”), on Form 10-K for the year ended December 31, 2023 (the “Report”), I, Chris Hulls, Chief Executive Officer of the Company, hereby certify pursuant to 18 U.S.C. § 1350, as adopted pursuant to § 906 of the Sarbanes-Oxley Act of 2002 that, to my knowledge:</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958"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Life360, Inc. (the “Company”), on Form 10-K for the year ended December 31, 2023 (the “Report”), I, Russell Burke, Chief Financial Officer of the Company, hereby certify pursuant to 18 U.S.C. § 1350, as adopted pursuant to § 906 of the Sarbanes-Oxley Act of 2002 that, to my knowledge:</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973"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1760/000119312522120522/d328928dex21.htm" TargetMode="External"/><Relationship Id="rId4" Type="http://schemas.openxmlformats.org/officeDocument/2006/relationships/hyperlink" Target="https://www.sec.gov/Archives/edgar/data/1581760/000119312522120522/d328928dex22.htm" TargetMode="External"/><Relationship Id="rId5" Type="http://schemas.openxmlformats.org/officeDocument/2006/relationships/hyperlink" Target="https://www.sec.gov/Archives/edgar/data/1581760/000119312522120522/d328928dex23.htm" TargetMode="External"/><Relationship Id="rId6" Type="http://schemas.openxmlformats.org/officeDocument/2006/relationships/hyperlink" Target="https://www.sec.gov/Archives/edgar/data/1581760/000119312522120522/d328928dex24.htm" TargetMode="External"/><Relationship Id="rId7" Type="http://schemas.openxmlformats.org/officeDocument/2006/relationships/hyperlink" Target="https://www.sec.gov/Archives/edgar/data/1581760/000119312522120522/d328928dex25.htm" TargetMode="External"/><Relationship Id="rId8" Type="http://schemas.openxmlformats.org/officeDocument/2006/relationships/hyperlink" Target="https://www.sec.gov/Archives/edgar/data/1581760/000119312522120522/d328928dex31.htm" TargetMode="External"/><Relationship Id="rId9" Type="http://schemas.openxmlformats.org/officeDocument/2006/relationships/hyperlink" Target="https://www.sec.gov/Archives/edgar/data/1581760/000158176023000031/exhibit32-life360fy22xbyla.htm" TargetMode="External"/><Relationship Id="rId10" Type="http://schemas.openxmlformats.org/officeDocument/2006/relationships/hyperlink" Target="https://www.sec.gov/Archives/edgar/data/1581760/000119312522120522/d328928dex41.htm" TargetMode="External"/><Relationship Id="rId11" Type="http://schemas.openxmlformats.org/officeDocument/2006/relationships/hyperlink" Target="https://www.sec.gov/Archives/edgar/data/1581760/000119312522120522/d328928dex101.htm" TargetMode="External"/><Relationship Id="rId12" Type="http://schemas.openxmlformats.org/officeDocument/2006/relationships/hyperlink" Target="https://www.sec.gov/Archives/edgar/data/1581760/000119312522120522/d328928dex102.htm" TargetMode="External"/><Relationship Id="rId13" Type="http://schemas.openxmlformats.org/officeDocument/2006/relationships/hyperlink" Target="https://www.sec.gov/Archives/edgar/data/1581760/000119312522120522/d328928dex105.htm" TargetMode="External"/><Relationship Id="rId14" Type="http://schemas.openxmlformats.org/officeDocument/2006/relationships/hyperlink" Target="https://www.sec.gov/Archives/edgar/data/1581760/000119312522120522/d328928dex106.htm" TargetMode="External"/><Relationship Id="rId15" Type="http://schemas.openxmlformats.org/officeDocument/2006/relationships/hyperlink" Target="https://www.sec.gov/Archives/edgar/data/1581760/000119312522120522/d328928dex108.htm" TargetMode="External"/><Relationship Id="rId16" Type="http://schemas.openxmlformats.org/officeDocument/2006/relationships/hyperlink" Target="https://www.sec.gov/Archives/edgar/data/1581760/000119312522120522/d328928dex109.htm" TargetMode="External"/><Relationship Id="rId17" Type="http://schemas.openxmlformats.org/officeDocument/2006/relationships/hyperlink" Target="https://www.sec.gov/Archives/edgar/data/1581760/000119312522120522/d328928dex1010.htm" TargetMode="External"/><Relationship Id="rId18" Type="http://schemas.openxmlformats.org/officeDocument/2006/relationships/hyperlink" Target="https://www.sec.gov/Archives/edgar/data/1581760/000119312522120522/d328928dex1011.htm" TargetMode="External"/><Relationship Id="rId19" Type="http://schemas.openxmlformats.org/officeDocument/2006/relationships/hyperlink" Target="https://www.sec.gov/Archives/edgar/data/1581760/000119312522172365/d328928dex1013.htm" TargetMode="External"/><Relationship Id="rId20" Type="http://schemas.openxmlformats.org/officeDocument/2006/relationships/hyperlink" Target="https://www.sec.gov/Archives/edgar/data/1581760/000119312522120522/d328928dex1015.htm" TargetMode="External"/><Relationship Id="rId21" Type="http://schemas.openxmlformats.org/officeDocument/2006/relationships/hyperlink" Target="https://www.sec.gov/Archives/edgar/data/1581760/000119312522120522/d328928dex1016.htm" TargetMode="External"/><Relationship Id="rId22" Type="http://schemas.openxmlformats.org/officeDocument/2006/relationships/hyperlink" Target="https://www.sec.gov/Archives/edgar/data/1581760/000119312522120522/d328928dex1017.htm" TargetMode="External"/><Relationship Id="rId23" Type="http://schemas.openxmlformats.org/officeDocument/2006/relationships/hyperlink" Target="https://www.sec.gov/Archives/edgar/data/1581760/000119312522172365/d328928dex1018.htm" TargetMode="External"/><Relationship Id="rId24" Type="http://schemas.openxmlformats.org/officeDocument/2006/relationships/hyperlink" Target="https://www.sec.gov/Archives/edgar/data/1581760/000119312522172365/d328928dex1019.htm" TargetMode="External"/><Relationship Id="rId25" Type="http://schemas.openxmlformats.org/officeDocument/2006/relationships/hyperlink" Target="https://www.sec.gov/Archives/edgar/data/1581760/000119312522172365/d328928dex1031.htm" TargetMode="External"/><Relationship Id="rId26" Type="http://schemas.openxmlformats.org/officeDocument/2006/relationships/hyperlink" Target="https://www.sec.gov/Archives/edgar/data/1581760/000119312522172365/d328928dex1032.htm" TargetMode="External"/><Relationship Id="rId27" Type="http://schemas.openxmlformats.org/officeDocument/2006/relationships/hyperlink" Target="https://www.sec.gov/Archives/edgar/data/1581760/000119312522172365/d328928dex1033.htm" TargetMode="External"/><Relationship Id="rId28" Type="http://schemas.openxmlformats.org/officeDocument/2006/relationships/hyperlink" Target="https://www.sec.gov/Archives/edgar/data/1581760/000158176023000101/exhibit101-fourthamendme.htm" TargetMode="External"/><Relationship Id="rId29" Type="http://schemas.openxmlformats.org/officeDocument/2006/relationships/hyperlink" Target="https://www.sec.gov/Archives/edgar/data/1581760/000119312522172365/d328928dex1034.htm" TargetMode="External"/><Relationship Id="rId30" Type="http://schemas.openxmlformats.org/officeDocument/2006/relationships/hyperlink" Target="https://www.sec.gov/Archives/edgar/data/1581760/000119312522172365/d328928dex1035.htm" TargetMode="External"/><Relationship Id="rId31" Type="http://schemas.openxmlformats.org/officeDocument/2006/relationships/hyperlink" Target="https://www.sec.gov/Archives/edgar/data/1581760/000119312522172365/d328928dex1036.htm" TargetMode="External"/><Relationship Id="rId32" Type="http://schemas.openxmlformats.org/officeDocument/2006/relationships/hyperlink" Target="https://www.sec.gov/Archives/edgar/data/1581760/000119312522172365/d328928dex1037.htm" TargetMode="External"/><Relationship Id="rId33" Type="http://schemas.openxmlformats.org/officeDocument/2006/relationships/hyperlink" Target="https://www.sec.gov/Archives/edgar/data/1581760/000158176023000101/exhibit102-life360q123cjse.htm" TargetMode="External"/><Relationship Id="rId34" Type="http://schemas.openxmlformats.org/officeDocument/2006/relationships/hyperlink" Target="https://www.sec.gov/Archives/edgar/data/1581760/000158176023000035/exhibitbdoletter.htm" TargetMode="External"/><Relationship Id="rId35" Type="http://schemas.openxmlformats.org/officeDocument/2006/relationships/hyperlink" Target="https://www.sec.gov/Archives/edgar/data/1581760/000119312522120522/d328928dex211.htm" TargetMode="External"/><Relationship Id="rId36" Type="http://schemas.openxmlformats.org/officeDocument/2006/relationships/image" Target="media/image2.png"/><Relationship Id="rId37" Type="http://schemas.openxmlformats.org/officeDocument/2006/relationships/image" Target="media/image3.png"/><Relationship Id="rId38" Type="http://schemas.openxmlformats.org/officeDocument/2006/relationships/image" Target="media/image2.png"/><Relationship Id="rId39" Type="http://schemas.openxmlformats.org/officeDocument/2006/relationships/image" Target="media/image4.pn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94839</Words>
  <Characters>527648</Characters>
  <CharactersWithSpaces>619745</CharactersWithSpaces>
  <Paragraphs>5001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