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509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509510"/>
                    </a:xfrm>
                    <a:prstGeom prst="rect">
                      <a:avLst/>
                    </a:prstGeom>
                    <a:noFill/>
                  </pic:spPr>
                </pic:pic>
              </a:graphicData>
            </a:graphic>
          </wp:anchor>
        </w:drawing>
      </w:r>
    </w:p>
    <w:p>
      <w:pPr>
        <w:spacing w:after="0" w:line="1181" w:lineRule="exact"/>
        <w:rPr>
          <w:sz w:val="24"/>
          <w:szCs w:val="24"/>
          <w:color w:val="auto"/>
        </w:rPr>
      </w:pPr>
    </w:p>
    <w:p>
      <w:pPr>
        <w:sectPr>
          <w:pgSz w:w="11900" w:h="16905"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Hulls Chris</w:t>
              </w:r>
            </w:hyperlink>
          </w:p>
        </w:tc>
        <w:tc>
          <w:tcPr>
            <w:tcW w:w="1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Life360,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LIF</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03/19/2026</w:t>
            </w:r>
          </w:p>
        </w:tc>
        <w:tc>
          <w:tcPr>
            <w:tcW w:w="2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LIFE360, INC.</w:t>
            </w:r>
          </w:p>
        </w:tc>
        <w:tc>
          <w:tcPr>
            <w:tcW w:w="12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05"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905"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400" w:type="dxa"/>
            <w:vAlign w:val="bottom"/>
          </w:tcPr>
          <w:p>
            <w:pPr>
              <w:spacing w:after="0"/>
              <w:rPr>
                <w:sz w:val="11"/>
                <w:szCs w:val="11"/>
                <w:color w:val="auto"/>
              </w:rPr>
            </w:pPr>
          </w:p>
        </w:tc>
        <w:tc>
          <w:tcPr>
            <w:tcW w:w="172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72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4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4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4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03/19/2026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7"/>
                <w:szCs w:val="17"/>
                <w:color w:val="0000FF"/>
              </w:rPr>
              <w:t>27,000</w:t>
            </w:r>
          </w:p>
        </w:tc>
        <w:tc>
          <w:tcPr>
            <w:tcW w:w="52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Borders>
              <w:bottom w:val="single" w:sz="8" w:color="2C2C2C"/>
            </w:tcBorders>
          </w:tcPr>
          <w:p>
            <w:pPr>
              <w:jc w:val="center"/>
              <w:ind w:right="8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8.19</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349,452</w:t>
            </w:r>
            <w:r>
              <w:rPr>
                <w:rFonts w:ascii="Times New Roman" w:cs="Times New Roman" w:eastAsia="Times New Roman" w:hAnsi="Times New Roman"/>
                <w:sz w:val="21"/>
                <w:szCs w:val="21"/>
                <w:color w:val="008000"/>
                <w:w w:val="90"/>
                <w:vertAlign w:val="superscript"/>
              </w:rPr>
              <w:t>(2)(3)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03/19/2026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7"/>
                <w:szCs w:val="17"/>
                <w:color w:val="0000FF"/>
              </w:rPr>
              <w:t>15,133</w:t>
            </w:r>
          </w:p>
        </w:tc>
        <w:tc>
          <w:tcPr>
            <w:tcW w:w="52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39.43</w:t>
            </w:r>
            <w:r>
              <w:rPr>
                <w:rFonts w:ascii="Times New Roman" w:cs="Times New Roman" w:eastAsia="Times New Roman" w:hAnsi="Times New Roman"/>
                <w:sz w:val="21"/>
                <w:szCs w:val="21"/>
                <w:color w:val="008000"/>
                <w:vertAlign w:val="superscript"/>
              </w:rPr>
              <w:t>(4)</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334,319</w:t>
            </w:r>
            <w:r>
              <w:rPr>
                <w:rFonts w:ascii="Times New Roman" w:cs="Times New Roman" w:eastAsia="Times New Roman" w:hAnsi="Times New Roman"/>
                <w:sz w:val="21"/>
                <w:szCs w:val="21"/>
                <w:color w:val="008000"/>
                <w:w w:val="90"/>
                <w:vertAlign w:val="superscript"/>
              </w:rPr>
              <w:t>(2)(3)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Robin</w:t>
            </w:r>
          </w:p>
        </w:tc>
        <w:tc>
          <w:tcPr>
            <w:tcW w:w="0" w:type="dxa"/>
            <w:vAlign w:val="bottom"/>
          </w:tcPr>
          <w:p>
            <w:pPr>
              <w:spacing w:after="0"/>
              <w:rPr>
                <w:sz w:val="1"/>
                <w:szCs w:val="1"/>
                <w:color w:val="auto"/>
              </w:rPr>
            </w:pPr>
          </w:p>
        </w:tc>
      </w:tr>
      <w:tr>
        <w:trPr>
          <w:trHeight w:val="206"/>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jc w:val="center"/>
              <w:spacing w:after="0" w:line="207" w:lineRule="exact"/>
              <w:rPr>
                <w:sz w:val="20"/>
                <w:szCs w:val="20"/>
                <w:color w:val="auto"/>
              </w:rPr>
            </w:pPr>
            <w:r>
              <w:rPr>
                <w:rFonts w:ascii="Times New Roman" w:cs="Times New Roman" w:eastAsia="Times New Roman" w:hAnsi="Times New Roman"/>
                <w:sz w:val="17"/>
                <w:szCs w:val="17"/>
                <w:color w:val="0000FF"/>
                <w:w w:val="94"/>
              </w:rPr>
              <w:t>195,312</w:t>
            </w:r>
            <w:r>
              <w:rPr>
                <w:rFonts w:ascii="Times New Roman" w:cs="Times New Roman" w:eastAsia="Times New Roman" w:hAnsi="Times New Roman"/>
                <w:sz w:val="21"/>
                <w:szCs w:val="21"/>
                <w:color w:val="008000"/>
                <w:w w:val="94"/>
                <w:vertAlign w:val="superscript"/>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7"/>
        </w:trPr>
        <w:tc>
          <w:tcPr>
            <w:tcW w:w="2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4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Rose</w:t>
            </w:r>
          </w:p>
        </w:tc>
        <w:tc>
          <w:tcPr>
            <w:tcW w:w="0" w:type="dxa"/>
            <w:vAlign w:val="bottom"/>
          </w:tcPr>
          <w:p>
            <w:pPr>
              <w:spacing w:after="0"/>
              <w:rPr>
                <w:sz w:val="1"/>
                <w:szCs w:val="1"/>
                <w:color w:val="auto"/>
              </w:rPr>
            </w:pPr>
          </w:p>
        </w:tc>
      </w:tr>
      <w:tr>
        <w:trPr>
          <w:trHeight w:val="206"/>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jc w:val="center"/>
              <w:spacing w:after="0" w:line="207" w:lineRule="exact"/>
              <w:rPr>
                <w:sz w:val="20"/>
                <w:szCs w:val="20"/>
                <w:color w:val="auto"/>
              </w:rPr>
            </w:pPr>
            <w:r>
              <w:rPr>
                <w:rFonts w:ascii="Times New Roman" w:cs="Times New Roman" w:eastAsia="Times New Roman" w:hAnsi="Times New Roman"/>
                <w:sz w:val="17"/>
                <w:szCs w:val="17"/>
                <w:color w:val="0000FF"/>
                <w:w w:val="94"/>
              </w:rPr>
              <w:t>195,312</w:t>
            </w:r>
            <w:r>
              <w:rPr>
                <w:rFonts w:ascii="Times New Roman" w:cs="Times New Roman" w:eastAsia="Times New Roman" w:hAnsi="Times New Roman"/>
                <w:sz w:val="21"/>
                <w:szCs w:val="21"/>
                <w:color w:val="008000"/>
                <w:w w:val="94"/>
                <w:vertAlign w:val="superscript"/>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7"/>
        </w:trPr>
        <w:tc>
          <w:tcPr>
            <w:tcW w:w="2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4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24"/>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jc w:val="center"/>
              <w:spacing w:after="0" w:line="224" w:lineRule="exact"/>
              <w:rPr>
                <w:sz w:val="20"/>
                <w:szCs w:val="20"/>
                <w:color w:val="auto"/>
              </w:rPr>
            </w:pPr>
            <w:r>
              <w:rPr>
                <w:rFonts w:ascii="Times New Roman" w:cs="Times New Roman" w:eastAsia="Times New Roman" w:hAnsi="Times New Roman"/>
                <w:sz w:val="17"/>
                <w:szCs w:val="17"/>
                <w:color w:val="0000FF"/>
                <w:w w:val="94"/>
              </w:rPr>
              <w:t>195,312</w:t>
            </w:r>
            <w:r>
              <w:rPr>
                <w:rFonts w:ascii="Times New Roman" w:cs="Times New Roman" w:eastAsia="Times New Roman" w:hAnsi="Times New Roman"/>
                <w:sz w:val="21"/>
                <w:szCs w:val="21"/>
                <w:color w:val="008000"/>
                <w:w w:val="94"/>
                <w:vertAlign w:val="superscript"/>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Mckenzie</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7"/>
          <w:szCs w:val="17"/>
          <w:color w:val="0000FF"/>
        </w:rPr>
        <w:t>Hulls 2023</w:t>
      </w:r>
    </w:p>
    <w:p>
      <w:pPr>
        <w:spacing w:after="0" w:line="4"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Irrevocable</w:t>
      </w:r>
    </w:p>
    <w:p>
      <w:pPr>
        <w:spacing w:after="0" w:line="11"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Trust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03/19/2026</w:t>
            </w:r>
          </w:p>
        </w:tc>
        <w:tc>
          <w:tcPr>
            <w:tcW w:w="1100" w:type="dxa"/>
            <w:vAlign w:val="bottom"/>
          </w:tcPr>
          <w:p>
            <w:pPr>
              <w:spacing w:after="0"/>
              <w:rPr>
                <w:sz w:val="16"/>
                <w:szCs w:val="16"/>
                <w:color w:val="auto"/>
              </w:rPr>
            </w:pPr>
          </w:p>
        </w:tc>
        <w:tc>
          <w:tcPr>
            <w:tcW w:w="7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27,000</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05/20/2028</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27,000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206,801</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December 16, 2025.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p>
      <w:pPr>
        <w:spacing w:after="0" w:line="26"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108,371 restricted stock units previously granted, each of which represents a contingent right to receive one share of the Issuer's common stock upon vesting.</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$39.23 to $39.71,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585,938 CDIs.</w:t>
      </w:r>
    </w:p>
    <w:p>
      <w:pPr>
        <w:sectPr>
          <w:pgSz w:w="11900" w:h="1690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6. The stock option is fully vested and exercisable.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Jay Sood, Attorney-in-Fact</w:t>
            </w:r>
          </w:p>
        </w:tc>
        <w:tc>
          <w:tcPr>
            <w:tcW w:w="1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03/23/2026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2498"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2026-03-23T17:22:59Z</dcterms:created>
  <dcterms:modified xsi:type="dcterms:W3CDTF">2026-03-23T17:22:59Z</dcterms:modified>
</cp:coreProperties>
</file>