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7411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74115" cy="386080"/>
                    </a:xfrm>
                    <a:prstGeom prst="rect">
                      <a:avLst/>
                    </a:prstGeom>
                    <a:noFill/>
                  </pic:spPr>
                </pic:pic>
              </a:graphicData>
            </a:graphic>
          </wp:anchor>
        </w:drawing>
        <w:t>C. Thomas Hopkins</w:t>
      </w:r>
    </w:p>
    <w:p>
      <w:pPr>
        <w:spacing w:after="0" w:line="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+1 310 883 6417</w:t>
      </w:r>
    </w:p>
    <w:p>
      <w:pPr>
        <w:spacing w:after="0" w:line="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thopkins@cooley.com</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May 24,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Ms. Melissa Walsh</w:t>
      </w:r>
    </w:p>
    <w:p>
      <w:pPr>
        <w:spacing w:after="0" w:line="27"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Mr. Stephen Krikorian</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Ms. Aliya Ishmukhamedova</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color w:val="auto"/>
        </w:rPr>
        <w:t>Mr. Matthew Derby</w:t>
      </w:r>
    </w:p>
    <w:p>
      <w:pPr>
        <w:spacing w:after="0" w:line="230" w:lineRule="exact"/>
        <w:rPr>
          <w:sz w:val="24"/>
          <w:szCs w:val="24"/>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Re:</w:t>
        <w:tab/>
        <w:t>Life360, Inc.</w:t>
      </w:r>
    </w:p>
    <w:p>
      <w:pPr>
        <w:spacing w:after="0" w:line="31"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2023</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Form 8-K filed May 9, 2024</w:t>
      </w:r>
    </w:p>
    <w:p>
      <w:pPr>
        <w:spacing w:after="0" w:line="9"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File No. 000-56424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On behalf of Life360, Inc. (“</w:t>
      </w:r>
      <w:r>
        <w:rPr>
          <w:rFonts w:ascii="Times New Roman" w:cs="Times New Roman" w:eastAsia="Times New Roman" w:hAnsi="Times New Roman"/>
          <w:sz w:val="18"/>
          <w:szCs w:val="18"/>
          <w:b w:val="1"/>
          <w:bCs w:val="1"/>
          <w:i w:val="1"/>
          <w:iCs w:val="1"/>
          <w:color w:val="auto"/>
        </w:rPr>
        <w:t>Life360</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following information is in response to a letter, dated May 23, 2024, from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with respect to the Company’s Form 8-K filed on May 9, 2024 (the “</w:t>
      </w:r>
      <w:r>
        <w:rPr>
          <w:rFonts w:ascii="Times New Roman" w:cs="Times New Roman" w:eastAsia="Times New Roman" w:hAnsi="Times New Roman"/>
          <w:sz w:val="18"/>
          <w:szCs w:val="18"/>
          <w:b w:val="1"/>
          <w:bCs w:val="1"/>
          <w:i w:val="1"/>
          <w:iCs w:val="1"/>
          <w:color w:val="auto"/>
        </w:rPr>
        <w:t>Q1 Media Release</w:t>
      </w:r>
      <w:r>
        <w:rPr>
          <w:rFonts w:ascii="Times New Roman" w:cs="Times New Roman" w:eastAsia="Times New Roman" w:hAnsi="Times New Roman"/>
          <w:sz w:val="18"/>
          <w:szCs w:val="18"/>
          <w:color w:val="auto"/>
        </w:rPr>
        <w:t>”).</w:t>
      </w:r>
    </w:p>
    <w:p>
      <w:pPr>
        <w:spacing w:after="0" w:line="159"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numbering of the paragraphs below corresponds to the numbering of the comments in the letter. For the Staff’s convenience we have incorporated your comments into this response letter in bold, followed by the Company’s responses. Capitalized terms used but not defined herein are used herein as defined in the Q1 Media Release.</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8-K filed May 9, 2024</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 99.1, Media release of the Registrant dated May 9, 2024 (U.S. Time)</w:t>
      </w:r>
    </w:p>
    <w:p>
      <w:pPr>
        <w:spacing w:after="0" w:line="127" w:lineRule="exact"/>
        <w:rPr>
          <w:sz w:val="24"/>
          <w:szCs w:val="24"/>
          <w:color w:val="auto"/>
        </w:rPr>
      </w:pPr>
    </w:p>
    <w:p>
      <w:pPr>
        <w:ind w:left="544" w:right="140" w:hanging="544"/>
        <w:spacing w:after="0" w:line="257" w:lineRule="auto"/>
        <w:tabs>
          <w:tab w:leader="none" w:pos="54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We note your response to prior comment 4. As noted in Question 104.05 of Non-GAAP Financial Measures Compliance &amp; Disclosure Interpretations, revenue amounts adjusted in any manner are considered non-GAAP financial measures. The bundled offerings adjustment reverses the allocation of hardware revenue that is required to be recognized at a point in time under ASC 606. This adjustment appears to have the effect of changing the measurement and the pattern of revenue recognition, which is inconsistent with the guidance in Question 100.04 of Non-GAAP Financial Measures Compliance &amp; Disclosure Interpretations. Please remove this adjustment from all non-GAAP measures in future filings.</w:t>
      </w:r>
    </w:p>
    <w:p>
      <w:pPr>
        <w:spacing w:after="0" w:line="362" w:lineRule="exact"/>
        <w:rPr>
          <w:sz w:val="24"/>
          <w:szCs w:val="24"/>
          <w:color w:val="auto"/>
        </w:rPr>
      </w:pPr>
    </w:p>
    <w:p>
      <w:pPr>
        <w:jc w:val="center"/>
        <w:ind w:right="-103"/>
        <w:spacing w:after="0"/>
        <w:tabs>
          <w:tab w:leader="none" w:pos="120" w:val="left"/>
          <w:tab w:leader="none" w:pos="120" w:val="left"/>
          <w:tab w:leader="none" w:pos="100" w:val="left"/>
          <w:tab w:leader="none" w:pos="120" w:val="left"/>
        </w:tabs>
        <w:rPr>
          <w:sz w:val="20"/>
          <w:szCs w:val="20"/>
          <w:color w:val="auto"/>
        </w:rPr>
      </w:pPr>
      <w:r>
        <w:rPr>
          <w:rFonts w:ascii="Times New Roman" w:cs="Times New Roman" w:eastAsia="Times New Roman" w:hAnsi="Times New Roman"/>
          <w:sz w:val="18"/>
          <w:szCs w:val="18"/>
          <w:color w:val="auto"/>
        </w:rPr>
        <w:t>Cooley LLP </w:t>
        <w:tab/>
        <w:t>1333 2nd Street </w:t>
        <w:tab/>
        <w:t>Suite 400 </w:t>
        <w:tab/>
        <w:t>Santa Monica, CA </w:t>
      </w:r>
      <w:r>
        <w:rPr>
          <w:sz w:val="20"/>
          <w:szCs w:val="20"/>
          <w:color w:val="auto"/>
        </w:rPr>
        <w:tab/>
      </w:r>
      <w:r>
        <w:rPr>
          <w:rFonts w:ascii="Times New Roman" w:cs="Times New Roman" w:eastAsia="Times New Roman" w:hAnsi="Times New Roman"/>
          <w:sz w:val="17"/>
          <w:szCs w:val="17"/>
          <w:color w:val="auto"/>
        </w:rPr>
        <w:t>90401</w:t>
      </w:r>
    </w:p>
    <w:p>
      <w:pPr>
        <w:spacing w:after="0" w:line="27" w:lineRule="exact"/>
        <w:rPr>
          <w:sz w:val="24"/>
          <w:szCs w:val="24"/>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t: +1 310 883 6400 f: +1 310 883 6500 cooley.com</w:t>
      </w:r>
    </w:p>
    <w:p>
      <w:pPr>
        <w:sectPr>
          <w:pgSz w:w="11900" w:h="16838" w:orient="portrait"/>
          <w:cols w:equalWidth="0" w:num="1">
            <w:col w:w="10904"/>
          </w:cols>
          <w:pgMar w:left="436" w:top="1053" w:right="5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in future filings we will remove the bundled offerings adjustment from all non-GAAP financial measures.</w:t>
      </w:r>
    </w:p>
    <w:p>
      <w:pPr>
        <w:spacing w:after="0" w:line="127" w:lineRule="exact"/>
        <w:rPr>
          <w:sz w:val="20"/>
          <w:szCs w:val="20"/>
          <w:color w:val="auto"/>
        </w:rPr>
      </w:pPr>
    </w:p>
    <w:p>
      <w:pPr>
        <w:ind w:left="424" w:right="100" w:hanging="424"/>
        <w:spacing w:after="0" w:line="259" w:lineRule="auto"/>
        <w:tabs>
          <w:tab w:leader="none" w:pos="4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We note the revised explanation of usefulness of each of the non-GAAP measures within “Supplementary and Non-GAAP Financial Information” in response to prior comment 4. You indicate that non-GAAP cost of revenue and non-GAAP operating expenses are adjusted for non-recurring, non-cash expenses. However, we note that certain of these adjustments are recurring. Please explain how you considered Item 10(e)(1)(ii) of Regulation S-K and the guidance in Question 102.03 of Non-GAAP Financial Measures Compliance &amp; Disclosure Interpretations.</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120"/>
        <w:spacing w:after="0" w:line="256" w:lineRule="auto"/>
        <w:rPr>
          <w:sz w:val="20"/>
          <w:szCs w:val="20"/>
          <w:color w:val="auto"/>
        </w:rPr>
      </w:pPr>
      <w:r>
        <w:rPr>
          <w:rFonts w:ascii="Times New Roman" w:cs="Times New Roman" w:eastAsia="Times New Roman" w:hAnsi="Times New Roman"/>
          <w:sz w:val="18"/>
          <w:szCs w:val="18"/>
          <w:color w:val="auto"/>
        </w:rPr>
        <w:t>In response to the Staff’s comment, the Company has reviewed its disclosure of adjustments to GAAP financial information and the related rules and guidance cited by the Staff. Specifically, Item 10(e)(1)(ii) of Regulation S-K prohibits adjusting a non-GAAP financial performance measure to eliminate or smooth items identified as non-recurring, infrequent or unusual when the nature of the charge or gain is such that it is reasonably likely to recur within two years or if there was a similar charge or gain within the prior two years. Question 102.3 of the Non-GAAP Financial Measures Compliance &amp; Disclosure Interpretations (“</w:t>
      </w:r>
      <w:r>
        <w:rPr>
          <w:rFonts w:ascii="Times New Roman" w:cs="Times New Roman" w:eastAsia="Times New Roman" w:hAnsi="Times New Roman"/>
          <w:sz w:val="18"/>
          <w:szCs w:val="18"/>
          <w:b w:val="1"/>
          <w:bCs w:val="1"/>
          <w:i w:val="1"/>
          <w:iCs w:val="1"/>
          <w:color w:val="auto"/>
        </w:rPr>
        <w:t>Question 102.3</w:t>
      </w:r>
      <w:r>
        <w:rPr>
          <w:rFonts w:ascii="Times New Roman" w:cs="Times New Roman" w:eastAsia="Times New Roman" w:hAnsi="Times New Roman"/>
          <w:sz w:val="18"/>
          <w:szCs w:val="18"/>
          <w:color w:val="auto"/>
        </w:rPr>
        <w:t>”) clarifies that this prohibition is based on the description of the charge or gain that is being adjusted rather than the nature of the charge or gain.</w:t>
      </w:r>
    </w:p>
    <w:p>
      <w:pPr>
        <w:spacing w:after="0" w:line="79" w:lineRule="exact"/>
        <w:rPr>
          <w:sz w:val="20"/>
          <w:szCs w:val="20"/>
          <w:color w:val="auto"/>
        </w:rPr>
      </w:pPr>
    </w:p>
    <w:p>
      <w:pPr>
        <w:ind w:left="444" w:right="180"/>
        <w:spacing w:after="0" w:line="266" w:lineRule="auto"/>
        <w:rPr>
          <w:sz w:val="20"/>
          <w:szCs w:val="20"/>
          <w:color w:val="auto"/>
        </w:rPr>
      </w:pPr>
      <w:r>
        <w:rPr>
          <w:rFonts w:ascii="Times New Roman" w:cs="Times New Roman" w:eastAsia="Times New Roman" w:hAnsi="Times New Roman"/>
          <w:sz w:val="18"/>
          <w:szCs w:val="18"/>
          <w:color w:val="auto"/>
        </w:rPr>
        <w:t>The Company’s adjustments between GAAP and non-GAAP cost of revenue and operating expenses include both non-cash expenses, such as stock-based compensation, depreciation and amortization, and convertible notes and derivative liability fair value adjustments and non-recurring expenses, such as workplace restructuring costs and the write-off of obsolete inventory.</w:t>
      </w:r>
    </w:p>
    <w:p>
      <w:pPr>
        <w:spacing w:after="0" w:line="68" w:lineRule="exact"/>
        <w:rPr>
          <w:sz w:val="20"/>
          <w:szCs w:val="20"/>
          <w:color w:val="auto"/>
        </w:rPr>
      </w:pPr>
    </w:p>
    <w:p>
      <w:pPr>
        <w:ind w:left="444" w:right="260"/>
        <w:spacing w:after="0" w:line="258" w:lineRule="auto"/>
        <w:rPr>
          <w:sz w:val="20"/>
          <w:szCs w:val="20"/>
          <w:color w:val="auto"/>
        </w:rPr>
      </w:pPr>
      <w:r>
        <w:rPr>
          <w:rFonts w:ascii="Times New Roman" w:cs="Times New Roman" w:eastAsia="Times New Roman" w:hAnsi="Times New Roman"/>
          <w:sz w:val="18"/>
          <w:szCs w:val="18"/>
          <w:color w:val="auto"/>
        </w:rPr>
        <w:t>The non-recurring workplace restructuring costs incurred to date in 2024 and for the year ended December 31, 2023 consist of severance payments made to previous employees who were impacted by a reduction in force (“</w:t>
      </w:r>
      <w:r>
        <w:rPr>
          <w:rFonts w:ascii="Times New Roman" w:cs="Times New Roman" w:eastAsia="Times New Roman" w:hAnsi="Times New Roman"/>
          <w:sz w:val="18"/>
          <w:szCs w:val="18"/>
          <w:b w:val="1"/>
          <w:bCs w:val="1"/>
          <w:i w:val="1"/>
          <w:iCs w:val="1"/>
          <w:color w:val="auto"/>
        </w:rPr>
        <w:t>RIF</w:t>
      </w:r>
      <w:r>
        <w:rPr>
          <w:rFonts w:ascii="Times New Roman" w:cs="Times New Roman" w:eastAsia="Times New Roman" w:hAnsi="Times New Roman"/>
          <w:sz w:val="18"/>
          <w:szCs w:val="18"/>
          <w:color w:val="auto"/>
        </w:rPr>
        <w:t>”) in January 2023. The one-time RIF was designed to streamline the Company’s operations and drive lower operating expenses following the Company’s acquisition of Tile, Inc. (the “</w:t>
      </w:r>
      <w:r>
        <w:rPr>
          <w:rFonts w:ascii="Times New Roman" w:cs="Times New Roman" w:eastAsia="Times New Roman" w:hAnsi="Times New Roman"/>
          <w:sz w:val="18"/>
          <w:szCs w:val="18"/>
          <w:b w:val="1"/>
          <w:bCs w:val="1"/>
          <w:i w:val="1"/>
          <w:iCs w:val="1"/>
          <w:color w:val="auto"/>
        </w:rPr>
        <w:t>Tile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The Tile Acquisition was a unique and non-recurring transaction. The Company supplementally advises the Staff that routine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severance costs incurred outside unique non-recurring events have not been included as part of the non-recurring adjustment.</w:t>
      </w:r>
    </w:p>
    <w:p>
      <w:pPr>
        <w:spacing w:after="0" w:line="75"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color w:val="auto"/>
        </w:rPr>
        <w:t>The non-recurring write-off of obsolete inventory relates to the Company’s write-off of raw materials related to a specific chip set hardware product offering previously in development that was sunset during the first quarter of 2023 and is no longer included in the product roadmap going forward. This specific raw materials chip set had no alternative use to the Company following the decision to halt development. The Company determined the inventory did not align with the Company’s product roadmap and would not be utilized. At that time, the inventory was written-off and expense was incurred. The Company supplementally advises the Staff that routine inventory write-offs incurred outside unique non-recurring events have not been included as part of the non-recurring adjustment.</w:t>
      </w:r>
    </w:p>
    <w:p>
      <w:pPr>
        <w:sectPr>
          <w:pgSz w:w="11900" w:h="16838" w:orient="portrait"/>
          <w:cols w:equalWidth="0" w:num="1">
            <w:col w:w="11024"/>
          </w:cols>
          <w:pgMar w:left="436" w:top="270" w:right="439" w:bottom="1440" w:gutter="0" w:footer="0" w:header="0"/>
        </w:sectPr>
      </w:pPr>
    </w:p>
    <w:p>
      <w:pPr>
        <w:spacing w:after="0" w:line="120" w:lineRule="exact"/>
        <w:rPr>
          <w:sz w:val="20"/>
          <w:szCs w:val="20"/>
          <w:color w:val="auto"/>
        </w:rPr>
      </w:pPr>
    </w:p>
    <w:p>
      <w:pPr>
        <w:ind w:left="2904"/>
        <w:spacing w:after="0"/>
        <w:tabs>
          <w:tab w:leader="none" w:pos="3944" w:val="left"/>
          <w:tab w:leader="none" w:pos="5264" w:val="left"/>
          <w:tab w:leader="none" w:pos="6124" w:val="left"/>
        </w:tabs>
        <w:rPr>
          <w:sz w:val="20"/>
          <w:szCs w:val="20"/>
          <w:color w:val="auto"/>
        </w:rPr>
      </w:pPr>
      <w:r>
        <w:rPr>
          <w:rFonts w:ascii="Times New Roman" w:cs="Times New Roman" w:eastAsia="Times New Roman" w:hAnsi="Times New Roman"/>
          <w:sz w:val="18"/>
          <w:szCs w:val="18"/>
          <w:color w:val="auto"/>
        </w:rPr>
        <w:t>Cooley LLP </w:t>
        <w:tab/>
        <w:t>1333 2nd Street </w:t>
        <w:tab/>
        <w:t>Suite 400 </w:t>
      </w:r>
      <w:r>
        <w:rPr>
          <w:sz w:val="20"/>
          <w:szCs w:val="20"/>
          <w:color w:val="auto"/>
        </w:rPr>
        <w:tab/>
      </w:r>
      <w:r>
        <w:rPr>
          <w:rFonts w:ascii="Times New Roman" w:cs="Times New Roman" w:eastAsia="Times New Roman" w:hAnsi="Times New Roman"/>
          <w:sz w:val="15"/>
          <w:szCs w:val="15"/>
          <w:color w:val="auto"/>
        </w:rPr>
        <w:t>Santa Monica, </w:t>
      </w:r>
    </w:p>
    <w:p>
      <w:pPr>
        <w:spacing w:after="0" w:line="27" w:lineRule="exact"/>
        <w:rPr>
          <w:sz w:val="20"/>
          <w:szCs w:val="20"/>
          <w:color w:val="auto"/>
        </w:rPr>
      </w:pPr>
    </w:p>
    <w:p>
      <w:pPr>
        <w:ind w:left="3684"/>
        <w:spacing w:after="0"/>
        <w:rPr>
          <w:sz w:val="20"/>
          <w:szCs w:val="20"/>
          <w:color w:val="auto"/>
        </w:rPr>
      </w:pPr>
      <w:r>
        <w:rPr>
          <w:rFonts w:ascii="Times New Roman" w:cs="Times New Roman" w:eastAsia="Times New Roman" w:hAnsi="Times New Roman"/>
          <w:sz w:val="17"/>
          <w:szCs w:val="17"/>
          <w:color w:val="auto"/>
        </w:rPr>
        <w:t>t: +1 310 883 6400 f: +1 310 883 6500 cooley.com</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 90401</w:t>
      </w:r>
    </w:p>
    <w:p>
      <w:pPr>
        <w:sectPr>
          <w:pgSz w:w="11900" w:h="16838" w:orient="portrait"/>
          <w:cols w:equalWidth="0" w:num="2">
            <w:col w:w="7344" w:space="20"/>
            <w:col w:w="3660"/>
          </w:cols>
          <w:pgMar w:left="436" w:top="270" w:right="439"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May 24,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234" w:lineRule="exact"/>
        <w:rPr>
          <w:sz w:val="20"/>
          <w:szCs w:val="20"/>
          <w:color w:val="auto"/>
        </w:rPr>
      </w:pPr>
    </w:p>
    <w:p>
      <w:pPr>
        <w:jc w:val="both"/>
        <w:ind w:left="444"/>
        <w:spacing w:after="0" w:line="261" w:lineRule="auto"/>
        <w:rPr>
          <w:sz w:val="20"/>
          <w:szCs w:val="20"/>
          <w:color w:val="auto"/>
        </w:rPr>
      </w:pPr>
      <w:r>
        <w:rPr>
          <w:rFonts w:ascii="Times New Roman" w:cs="Times New Roman" w:eastAsia="Times New Roman" w:hAnsi="Times New Roman"/>
          <w:sz w:val="18"/>
          <w:szCs w:val="18"/>
          <w:color w:val="auto"/>
        </w:rPr>
        <w:t>The Company believes its adjustments are appropriate within the requirements of Regulation G and Item 10(e) of Regulation S-K and advises the Staff that it did not intend to characterize the recurring adjustments as non-recurring. Accordingly, the Company respectfully advises the Staff that it intends to revise its disclosure in future filings to provide further clarity on the nature of the adjustments in accordance with Item 10(e)(1)(ii) of Regulation S-K and the guidance in Question 102.03.</w:t>
      </w:r>
    </w:p>
    <w:p>
      <w:pPr>
        <w:spacing w:after="0" w:line="180" w:lineRule="exact"/>
        <w:rPr>
          <w:sz w:val="20"/>
          <w:szCs w:val="20"/>
          <w:color w:val="auto"/>
        </w:rPr>
      </w:pPr>
    </w:p>
    <w:p>
      <w:pPr>
        <w:jc w:val="center"/>
        <w:ind w:right="-43"/>
        <w:spacing w:after="0"/>
        <w:tabs>
          <w:tab w:leader="none" w:pos="120" w:val="left"/>
          <w:tab w:leader="none" w:pos="120" w:val="left"/>
          <w:tab w:leader="none" w:pos="100" w:val="left"/>
          <w:tab w:leader="none" w:pos="100" w:val="left"/>
        </w:tabs>
        <w:rPr>
          <w:sz w:val="20"/>
          <w:szCs w:val="20"/>
          <w:color w:val="auto"/>
        </w:rPr>
      </w:pPr>
      <w:r>
        <w:rPr>
          <w:rFonts w:ascii="Times New Roman" w:cs="Times New Roman" w:eastAsia="Times New Roman" w:hAnsi="Times New Roman"/>
          <w:sz w:val="18"/>
          <w:szCs w:val="18"/>
          <w:color w:val="auto"/>
        </w:rPr>
        <w:t xml:space="preserve">* </w:t>
        <w:tab/>
        <w:t> </w:t>
        <w:tab/>
        <w:t xml:space="preserve">* </w:t>
        <w:tab/>
        <w:t> </w:t>
        <w:tab/>
        <w:t>*</w:t>
      </w:r>
    </w:p>
    <w:p>
      <w:pPr>
        <w:spacing w:after="0" w:line="225"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Please contact me at (310) 883 6417 or via e-mail at thopkins@cooley.com with any questions or further comments regarding our responses to the Staff’s comments.</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C. Thomas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 Thomas Hopkins</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444" w:right="6720" w:hanging="444"/>
        <w:spacing w:after="0" w:line="276" w:lineRule="auto"/>
        <w:tabs>
          <w:tab w:leader="none" w:pos="4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 Hulls, Chief Executive Officer, Life360, Inc. Russell Burke, Chief Financial Officer, Life360, Inc.</w:t>
      </w:r>
    </w:p>
    <w:p>
      <w:pPr>
        <w:ind w:left="444" w:right="55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Susan Stick, General Counsel and Corporate Secretary, Life360, Inc. Natalie Y. Karam, Cooley LLP</w:t>
      </w:r>
    </w:p>
    <w:p>
      <w:pPr>
        <w:jc w:val="both"/>
        <w:ind w:left="444" w:right="85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Siana Lowrey, Cooley LLP Dave Peinsipp, Cooley LLP</w:t>
      </w:r>
    </w:p>
    <w:p>
      <w:pPr>
        <w:sectPr>
          <w:pgSz w:w="11900" w:h="16838" w:orient="portrait"/>
          <w:cols w:equalWidth="0" w:num="1">
            <w:col w:w="10964"/>
          </w:cols>
          <w:pgMar w:left="436" w:top="270" w:right="499" w:bottom="1440" w:gutter="0" w:footer="0" w:header="0"/>
        </w:sectPr>
      </w:pPr>
    </w:p>
    <w:p>
      <w:pPr>
        <w:spacing w:after="0" w:line="90" w:lineRule="exact"/>
        <w:rPr>
          <w:sz w:val="20"/>
          <w:szCs w:val="20"/>
          <w:color w:val="auto"/>
        </w:rPr>
      </w:pPr>
    </w:p>
    <w:p>
      <w:pPr>
        <w:ind w:left="2904"/>
        <w:spacing w:after="0"/>
        <w:tabs>
          <w:tab w:leader="none" w:pos="3944" w:val="left"/>
          <w:tab w:leader="none" w:pos="5264" w:val="left"/>
          <w:tab w:leader="none" w:pos="6124" w:val="left"/>
        </w:tabs>
        <w:rPr>
          <w:sz w:val="20"/>
          <w:szCs w:val="20"/>
          <w:color w:val="auto"/>
        </w:rPr>
      </w:pPr>
      <w:r>
        <w:rPr>
          <w:rFonts w:ascii="Times New Roman" w:cs="Times New Roman" w:eastAsia="Times New Roman" w:hAnsi="Times New Roman"/>
          <w:sz w:val="18"/>
          <w:szCs w:val="18"/>
          <w:color w:val="auto"/>
        </w:rPr>
        <w:t>Cooley LLP </w:t>
        <w:tab/>
        <w:t>1333 2nd Street </w:t>
        <w:tab/>
        <w:t>Suite 400 </w:t>
      </w:r>
      <w:r>
        <w:rPr>
          <w:sz w:val="20"/>
          <w:szCs w:val="20"/>
          <w:color w:val="auto"/>
        </w:rPr>
        <w:tab/>
      </w:r>
      <w:r>
        <w:rPr>
          <w:rFonts w:ascii="Times New Roman" w:cs="Times New Roman" w:eastAsia="Times New Roman" w:hAnsi="Times New Roman"/>
          <w:sz w:val="15"/>
          <w:szCs w:val="15"/>
          <w:color w:val="auto"/>
        </w:rPr>
        <w:t>Santa Monica, </w:t>
      </w:r>
    </w:p>
    <w:p>
      <w:pPr>
        <w:spacing w:after="0" w:line="27" w:lineRule="exact"/>
        <w:rPr>
          <w:sz w:val="20"/>
          <w:szCs w:val="20"/>
          <w:color w:val="auto"/>
        </w:rPr>
      </w:pPr>
    </w:p>
    <w:p>
      <w:pPr>
        <w:ind w:left="3684"/>
        <w:spacing w:after="0"/>
        <w:rPr>
          <w:sz w:val="20"/>
          <w:szCs w:val="20"/>
          <w:color w:val="auto"/>
        </w:rPr>
      </w:pPr>
      <w:r>
        <w:rPr>
          <w:rFonts w:ascii="Times New Roman" w:cs="Times New Roman" w:eastAsia="Times New Roman" w:hAnsi="Times New Roman"/>
          <w:sz w:val="17"/>
          <w:szCs w:val="17"/>
          <w:color w:val="auto"/>
        </w:rPr>
        <w:t>t: +1 310 883 6400 f: +1 310 883 6500 cooley.com</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 90401</w:t>
      </w:r>
    </w:p>
    <w:sectPr>
      <w:pgSz w:w="11900" w:h="16838" w:orient="portrait"/>
      <w:cols w:equalWidth="0" w:num="2">
        <w:col w:w="7344" w:space="20"/>
        <w:col w:w="3600"/>
      </w:cols>
      <w:pgMar w:left="436" w:top="27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2024-07-01T23:13:20Z</dcterms:created>
  <dcterms:modified xsi:type="dcterms:W3CDTF">2024-07-01T23:13:20Z</dcterms:modified>
</cp:coreProperties>
</file>