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65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5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Hulls Chris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5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54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483,830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Robin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195,312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Hulls 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Rose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195,312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Hulls 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195,312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Mckenzie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Hulls 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ICCA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Labs,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monthly from September 1, 2025, subject to the Reporting Person's continuous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151,934 RSUs previously granted,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shares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underlying 585,938 CDIs, which remain subject to a lock-up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member of ICCA Labs, LLC, an entity that holds an aggregate of 8,219 shares of the Issuer's common stock. The number of shares held as reported herein by the Reporting</w:t>
      </w:r>
    </w:p>
    <w:p>
      <w:pPr>
        <w:sectPr>
          <w:pgSz w:w="11900" w:h="1685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Person represents his proportionate ownership interest in ICCA Labs, LLC.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2498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2025-09-03T20:18:09Z</dcterms:created>
  <dcterms:modified xsi:type="dcterms:W3CDTF">2025-09-03T20:18:09Z</dcterms:modified>
</cp:coreProperties>
</file>