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4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Haro Alex</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Life360,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LIF</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06/07/2024</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06/07/2024</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857,457</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1,321,181</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06/07/2024</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right"/>
              <w:ind w:right="13"/>
              <w:spacing w:after="0"/>
              <w:rPr>
                <w:sz w:val="20"/>
                <w:szCs w:val="20"/>
                <w:color w:val="auto"/>
              </w:rPr>
            </w:pPr>
            <w:r>
              <w:rPr>
                <w:rFonts w:ascii="Times New Roman" w:cs="Times New Roman" w:eastAsia="Times New Roman" w:hAnsi="Times New Roman"/>
                <w:sz w:val="17"/>
                <w:szCs w:val="17"/>
                <w:color w:val="0000FF"/>
              </w:rPr>
              <w:t>20,204</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w:t>
            </w: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10,431</w:t>
            </w:r>
            <w:r>
              <w:rPr>
                <w:rFonts w:ascii="Times New Roman" w:cs="Times New Roman" w:eastAsia="Times New Roman" w:hAnsi="Times New Roman"/>
                <w:sz w:val="22"/>
                <w:szCs w:val="22"/>
                <w:color w:val="008000"/>
                <w:vertAlign w:val="superscript"/>
              </w:rPr>
              <w:t>(1)</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6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31,293 Chess Depositary Interests ("CDIs"). The CDIs are traded on the Australian Securities Exchange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40" w:right="14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ICCA Labs, LLC, an entity that holds an aggregate of 45,425 shares of the Issuer's common stock underlying 136,275 CDIs. The number of shares sold and held as reported herein by the Reporting Person represents his proportionate ownership interest in ICCA Labs, LLC.</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Russell J. Burke, Attorney- </w:t>
      </w:r>
      <w:r>
        <w:rPr>
          <w:rFonts w:ascii="Times New Roman" w:cs="Times New Roman" w:eastAsia="Times New Roman" w:hAnsi="Times New Roman"/>
          <w:sz w:val="33"/>
          <w:szCs w:val="33"/>
          <w:color w:val="0000FF"/>
          <w:vertAlign w:val="subscript"/>
        </w:rPr>
        <w:t>06/11/2024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32626"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2024-06-11T20:08:58Z</dcterms:created>
  <dcterms:modified xsi:type="dcterms:W3CDTF">2024-06-11T20:08:58Z</dcterms:modified>
</cp:coreProperties>
</file>