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8392d8k.htm"/>
      <w:bookmarkStart w:id="1" w:name="ksd52839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30, 2023 (June 28,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Life360,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000-56424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26-0197666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1900 South Norfolk Street, Suite 310</w:t>
            </w:r>
          </w:p>
        </w:tc>
      </w:tr>
      <w:tr>
        <w:trPr/>
        <w:tc>
          <w:tcPr>
            <w:tcW w:w="5900" w:type="dxa"/>
            <w:tcBorders/>
            <w:vAlign w:val="center"/>
          </w:tcPr>
          <w:p>
            <w:pPr>
              <w:pStyle w:val="TableContents"/>
              <w:bidi w:val="0"/>
              <w:spacing w:before="0" w:after="283"/>
              <w:jc w:val="center"/>
              <w:rPr>
                <w:b/>
              </w:rPr>
            </w:pPr>
            <w:r>
              <w:rPr>
                <w:b/>
              </w:rPr>
              <w:t>San Mateo, CA 94403</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00" w:after="0"/>
        <w:jc w:val="center"/>
        <w:rPr>
          <w:rFonts w:ascii="Times New Roman" w:hAnsi="Times New Roman"/>
          <w:b/>
          <w:sz w:val="20"/>
        </w:rPr>
      </w:pPr>
      <w:r>
        <w:rPr>
          <w:rFonts w:ascii="Times New Roman" w:hAnsi="Times New Roman"/>
          <w:b/>
          <w:sz w:val="20"/>
        </w:rPr>
        <w:t>(415) 484-5244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220" w:type="dxa"/>
        <w:jc w:val="left"/>
        <w:tblInd w:w="0" w:type="dxa"/>
        <w:tblLayout w:type="fixed"/>
        <w:tblCellMar>
          <w:top w:w="0" w:type="dxa"/>
          <w:left w:w="0" w:type="dxa"/>
          <w:bottom w:w="0" w:type="dxa"/>
          <w:right w:w="0" w:type="dxa"/>
        </w:tblCellMar>
      </w:tblPr>
      <w:tblGrid>
        <w:gridCol w:w="980"/>
        <w:gridCol w:w="2240"/>
      </w:tblGrid>
      <w:tr>
        <w:trPr/>
        <w:tc>
          <w:tcPr>
            <w:tcW w:w="980"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Life360, Inc. (the “Company”) is furnishing this Item 7.01 of this Current Report on Form 8-K in connection with the disclosure of information, in the form of the textual information from a disclosure with the Australian Securities Exchange (“ASX”) and the textual information from the Appendix 3Ys issued in connection with ASX regulations. Both the ASX Disclosure and Appendix 3Ys were issued on June 28, 2023. A copy of the ASX Disclosure is furnished as Exhibit 99.1 and a copy of each Appendix 3Y is furnished as Exhibit 99.2 and Exhibit 99.3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Christopher Hulls, the Chief Executive Officer and a Director of the Company and Alex Haro, a Director of the Company, previously established personal loan facilities of AU$10.5 million and AU$5.5 million, respectively, with a third-party lender. On June 28, 2023, Mr. Hulls repaid his loan in full by relinquishing to the third-party lender 570,554 shares (equivalent to 1,711,661 CDIs) held as security by the third-party lender. On the same date, Mr. Haro repaid his loan in full in cash using proceeds obtained from a new limited recourse loan facility for US$12 million with another third-party lender (the “New Facility”), which was reviewed and approved by the Company’s Board of Directors. The New Facility is guaranteed by Mr. Haro and secured by 2,126,236 shares (equivalent to 6,378,708 CDIs) of the Company’s common stock. The New Facility has a maturity date of late June 2024 unless repaid earlier. The loan is limited recourse and the lender has no rights to force a sale of the pledged shares in the absence of an event of default, the terms of which are customary for a facility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Exhibits 99.1, 99.2 and 99.3) is furnished pursuant to Item 7.01 and shall not be deemed to be “filed” for the purpose of Section 18 of the Securities and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This Item 7.01 of this Current Report on Form 8-K will not be deemed an admission as to the materiality of any information in this Item 7.01 that is required to be disclosed solely be Regulation FD. </w:t>
      </w:r>
    </w:p>
    <w:p>
      <w:pPr>
        <w:pStyle w:val="TextBody"/>
        <w:bidi w:val="0"/>
        <w:spacing w:before="240" w:after="0"/>
        <w:jc w:val="left"/>
        <w:rPr>
          <w:rFonts w:ascii="Times New Roman" w:hAnsi="Times New Roman"/>
          <w:sz w:val="20"/>
        </w:rPr>
      </w:pPr>
      <w:r>
        <w:rPr>
          <w:rFonts w:ascii="Times New Roman" w:hAnsi="Times New Roman"/>
          <w:sz w:val="20"/>
        </w:rPr>
        <w:t xml:space="preserve">The text included with this Item 7.01 of this Current Report on Form 8-K will be available on our website located at www.life360.com, although we reserve the right to discontinue that availability at any time.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28392dex991.htm">
              <w:r>
                <w:rPr>
                  <w:rStyle w:val="InternetLink"/>
                </w:rPr>
                <w:t xml:space="preserve">ASX Disclosure of the Registrant, dated June 28,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28392dex992.htm">
              <w:r>
                <w:rPr>
                  <w:rStyle w:val="InternetLink"/>
                </w:rPr>
                <w:t xml:space="preserve">Appendix 3Y of the Registrant for Mr. Hulls, dated June 28,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28392dex993.htm">
              <w:r>
                <w:rPr>
                  <w:rStyle w:val="InternetLink"/>
                </w:rPr>
                <w:t xml:space="preserve">Appendix 3Y of the Registrant for Mr. Haro, dated June 28,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53" w:type="dxa"/>
        <w:jc w:val="left"/>
        <w:tblInd w:w="0" w:type="dxa"/>
        <w:tblLayout w:type="fixed"/>
        <w:tblCellMar>
          <w:top w:w="0" w:type="dxa"/>
          <w:left w:w="0" w:type="dxa"/>
          <w:bottom w:w="0" w:type="dxa"/>
          <w:right w:w="0" w:type="dxa"/>
        </w:tblCellMar>
      </w:tblPr>
      <w:tblGrid>
        <w:gridCol w:w="2060"/>
        <w:gridCol w:w="60"/>
        <w:gridCol w:w="23"/>
        <w:gridCol w:w="60"/>
        <w:gridCol w:w="365"/>
        <w:gridCol w:w="60"/>
        <w:gridCol w:w="222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LIFE360, INC.</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Dated: June 30,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Russell Burke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Russell Burke</w:t>
            </w:r>
          </w:p>
        </w:tc>
      </w:tr>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528392dex991.htm"/>
      <w:bookmarkStart w:id="3" w:name="ksd528392dex991"/>
      <w:bookmarkEnd w:id="2"/>
      <w:bookmarkEnd w:id="3"/>
      <w:r>
        <w:rPr>
          <w:rFonts w:ascii="Times New Roman" w:hAnsi="Times New Roman"/>
          <w:b/>
          <w:sz w:val="20"/>
        </w:rPr>
        <w:t xml:space="preserve">Exhibit 99.1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 </w:t>
      </w:r>
      <w:r>
        <w:rPr>
          <w:rFonts w:ascii="Times New Roman" w:hAnsi="Times New Roman"/>
          <w:sz w:val="20"/>
        </w:rPr>
        <w:drawing>
          <wp:inline distT="0" distB="0" distL="0" distR="0">
            <wp:extent cx="1914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638175"/>
                    </a:xfrm>
                    <a:prstGeom prst="rect">
                      <a:avLst/>
                    </a:prstGeom>
                  </pic:spPr>
                </pic:pic>
              </a:graphicData>
            </a:graphic>
          </wp:inline>
        </w:drawing>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 June 2023 </w:t>
      </w:r>
    </w:p>
    <w:p>
      <w:pPr>
        <w:pStyle w:val="TextBody"/>
        <w:bidi w:val="0"/>
        <w:spacing w:before="120" w:after="0"/>
        <w:jc w:val="left"/>
        <w:rPr>
          <w:rFonts w:ascii="Times New Roman" w:hAnsi="Times New Roman"/>
          <w:b/>
          <w:sz w:val="20"/>
        </w:rPr>
      </w:pPr>
      <w:r>
        <w:rPr>
          <w:rFonts w:ascii="Times New Roman" w:hAnsi="Times New Roman"/>
          <w:b/>
          <w:sz w:val="20"/>
        </w:rPr>
        <w:t xml:space="preserve">Update on Founder loans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to ASX on 29 June 2021, Christopher Hulls (Co-founder, CEO and Executive Director) and Alex Haro (Co-founder and Non-executive Director) established personal loan facilities of A$10.5 million and A$5.5 million respectively with a third-party lender. </w:t>
      </w:r>
    </w:p>
    <w:p>
      <w:pPr>
        <w:pStyle w:val="TextBody"/>
        <w:bidi w:val="0"/>
        <w:spacing w:before="240" w:after="0"/>
        <w:jc w:val="left"/>
        <w:rPr>
          <w:rFonts w:ascii="Times New Roman" w:hAnsi="Times New Roman"/>
          <w:sz w:val="20"/>
        </w:rPr>
      </w:pPr>
      <w:r>
        <w:rPr>
          <w:rFonts w:ascii="Times New Roman" w:hAnsi="Times New Roman"/>
          <w:sz w:val="20"/>
        </w:rPr>
        <w:t xml:space="preserve">On 29 June 2023, Christopher Hulls repaid his loan in full by relinquishing to the third-party lender 1,711,661 CDIs (equivalent to 570,554 shares) held as security by the third-party lender. Christopher Hulls now holds 2,379,094 shares (equivalent to 7,137,282 CDIs) in Life360. </w:t>
      </w:r>
    </w:p>
    <w:p>
      <w:pPr>
        <w:pStyle w:val="TextBody"/>
        <w:bidi w:val="0"/>
        <w:spacing w:before="240" w:after="0"/>
        <w:jc w:val="left"/>
        <w:rPr>
          <w:rFonts w:ascii="Times New Roman" w:hAnsi="Times New Roman"/>
          <w:sz w:val="20"/>
        </w:rPr>
      </w:pPr>
      <w:r>
        <w:rPr>
          <w:rFonts w:ascii="Times New Roman" w:hAnsi="Times New Roman"/>
          <w:sz w:val="20"/>
        </w:rPr>
        <w:t xml:space="preserve">On the same date, Alex Haro repaid his loan in full in cash using proceeds obtained from a new limited recourse loan facility for US$12 million (approximately A$17.7 million as at 28 June 2023) with another third-party lender, which was reviewed and approved by the Board of Directors. Like his original loan, Alex Haros new facility is not a margin loan but is guaranteed by him and secured by 2,126,236 shares (equivalent to 6,378,708 CDIs). The new loan facility has a maturity date of late June 2024 unless repaid earlier. The loan is limited recourse and the lender has no rights to force a sale of the pledged shares in the absence of an event of default, the terms of which are customary for a facility of this nature. </w:t>
      </w:r>
    </w:p>
    <w:p>
      <w:pPr>
        <w:pStyle w:val="TextBody"/>
        <w:bidi w:val="0"/>
        <w:spacing w:before="240" w:after="0"/>
        <w:jc w:val="left"/>
        <w:rPr>
          <w:rFonts w:ascii="Times New Roman" w:hAnsi="Times New Roman"/>
          <w:sz w:val="20"/>
        </w:rPr>
      </w:pPr>
      <w:r>
        <w:rPr>
          <w:rFonts w:ascii="Times New Roman" w:hAnsi="Times New Roman"/>
          <w:sz w:val="20"/>
        </w:rPr>
        <w:t xml:space="preserve">For further information refer to the Appendix 3Ys lodged with the ASX today. </w:t>
      </w:r>
    </w:p>
    <w:p>
      <w:pPr>
        <w:pStyle w:val="TextBody"/>
        <w:bidi w:val="0"/>
        <w:spacing w:before="360" w:after="0"/>
        <w:jc w:val="left"/>
        <w:rPr>
          <w:rFonts w:ascii="Times New Roman" w:hAnsi="Times New Roman"/>
          <w:b/>
          <w:sz w:val="20"/>
        </w:rPr>
      </w:pPr>
      <w:r>
        <w:rPr>
          <w:rFonts w:ascii="Times New Roman" w:hAnsi="Times New Roman"/>
          <w:b/>
          <w:sz w:val="20"/>
        </w:rPr>
        <w:t xml:space="preserve">Guidance </w:t>
      </w:r>
    </w:p>
    <w:p>
      <w:pPr>
        <w:pStyle w:val="TextBody"/>
        <w:bidi w:val="0"/>
        <w:spacing w:before="120" w:after="0"/>
        <w:jc w:val="left"/>
        <w:rPr>
          <w:rFonts w:ascii="Times New Roman" w:hAnsi="Times New Roman"/>
          <w:sz w:val="20"/>
        </w:rPr>
      </w:pPr>
      <w:r>
        <w:rPr>
          <w:rFonts w:ascii="Times New Roman" w:hAnsi="Times New Roman"/>
          <w:sz w:val="20"/>
        </w:rPr>
        <w:t xml:space="preserve">Life360s CY23 earnings expectations are unchanged from the guidance provided with the Q1 CY23 results on 16 May 2023. </w:t>
      </w:r>
    </w:p>
    <w:p>
      <w:pPr>
        <w:pStyle w:val="TextBody"/>
        <w:bidi w:val="0"/>
        <w:spacing w:before="360" w:after="0"/>
        <w:jc w:val="left"/>
        <w:rPr>
          <w:rFonts w:ascii="Times New Roman" w:hAnsi="Times New Roman"/>
          <w:b/>
          <w:sz w:val="20"/>
        </w:rPr>
      </w:pPr>
      <w:r>
        <w:rPr>
          <w:rFonts w:ascii="Times New Roman" w:hAnsi="Times New Roman"/>
          <w:b/>
          <w:sz w:val="20"/>
        </w:rPr>
        <w:t xml:space="preserve">Authorization </w:t>
      </w:r>
    </w:p>
    <w:p>
      <w:pPr>
        <w:pStyle w:val="TextBody"/>
        <w:bidi w:val="0"/>
        <w:spacing w:before="120" w:after="0"/>
        <w:jc w:val="left"/>
        <w:rPr>
          <w:rFonts w:ascii="Times New Roman" w:hAnsi="Times New Roman"/>
          <w:sz w:val="20"/>
        </w:rPr>
      </w:pPr>
      <w:r>
        <w:rPr>
          <w:rFonts w:ascii="Times New Roman" w:hAnsi="Times New Roman"/>
          <w:sz w:val="20"/>
        </w:rPr>
        <w:t xml:space="preserve">Chris Hulls, Director, Co-Founder and Chief Executive Officer of Life360 authorized this announcement being given to ASX.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1 </w:t>
      </w:r>
    </w:p>
    <w:p>
      <w:pPr>
        <w:pStyle w:val="TextBody"/>
        <w:bidi w:val="0"/>
        <w:spacing w:before="120" w:after="0"/>
        <w:jc w:val="left"/>
        <w:rPr>
          <w:rFonts w:ascii="Times New Roman" w:hAnsi="Times New Roman"/>
          <w:b/>
          <w:sz w:val="20"/>
        </w:rPr>
      </w:pPr>
      <w:r>
        <w:rPr>
          <w:rFonts w:ascii="Times New Roman" w:hAnsi="Times New Roman"/>
          <w:b/>
          <w:sz w:val="20"/>
        </w:rPr>
        <w:t xml:space="preserve">Note: all references to $ are to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Life360 </w:t>
      </w:r>
    </w:p>
    <w:p>
      <w:pPr>
        <w:pStyle w:val="TextBody"/>
        <w:bidi w:val="0"/>
        <w:spacing w:before="120" w:after="0"/>
        <w:jc w:val="left"/>
        <w:rPr>
          <w:rFonts w:ascii="Times New Roman" w:hAnsi="Times New Roman"/>
          <w:sz w:val="20"/>
        </w:rPr>
      </w:pPr>
      <w:r>
        <w:rPr>
          <w:rFonts w:ascii="Times New Roman" w:hAnsi="Times New Roman"/>
          <w:sz w:val="20"/>
        </w:rPr>
        <w:t xml:space="preserve">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50.8 million monthly active users (MAU) as of March 31, 2023, located in more than 150 countries. For more information, please visit life360.com. </w:t>
      </w:r>
    </w:p>
    <w:p>
      <w:pPr>
        <w:pStyle w:val="TextBody"/>
        <w:bidi w:val="0"/>
        <w:spacing w:before="240" w:after="0"/>
        <w:jc w:val="left"/>
        <w:rPr>
          <w:rFonts w:ascii="Times New Roman" w:hAnsi="Times New Roman"/>
          <w:sz w:val="20"/>
        </w:rPr>
      </w:pPr>
      <w:r>
        <w:rPr>
          <w:rFonts w:ascii="Times New Roman" w:hAnsi="Times New Roman"/>
          <w:sz w:val="20"/>
        </w:rPr>
        <w:t xml:space="preserve">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2"/>
        <w:gridCol w:w="121"/>
        <w:gridCol w:w="5012"/>
      </w:tblGrid>
      <w:tr>
        <w:trPr/>
        <w:tc>
          <w:tcPr>
            <w:tcW w:w="50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Australian investor enquiries:</w:t>
            </w:r>
          </w:p>
        </w:tc>
        <w:tc>
          <w:tcPr>
            <w:tcW w:w="121"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Australian media enquiries:</w:t>
            </w:r>
          </w:p>
        </w:tc>
      </w:tr>
      <w:tr>
        <w:trPr/>
        <w:tc>
          <w:tcPr>
            <w:tcW w:w="50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Jolanta Masojada, +61 417 261 367</w:t>
            </w:r>
          </w:p>
        </w:tc>
        <w:tc>
          <w:tcPr>
            <w:tcW w:w="121"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Giles Rafferty, +61 481 467 903</w:t>
            </w:r>
          </w:p>
        </w:tc>
      </w:tr>
      <w:tr>
        <w:trPr/>
        <w:tc>
          <w:tcPr>
            <w:tcW w:w="507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jmasojada@life360.com</w:t>
            </w:r>
          </w:p>
        </w:tc>
        <w:tc>
          <w:tcPr>
            <w:tcW w:w="121"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grafferty@firstadvisers.com.au</w:t>
            </w:r>
          </w:p>
        </w:tc>
      </w:tr>
      <w:tr>
        <w:trPr>
          <w:trHeight w:val="120" w:hRule="atLeast"/>
        </w:trPr>
        <w:tc>
          <w:tcPr>
            <w:tcW w:w="5072" w:type="dxa"/>
            <w:tcBorders/>
            <w:vAlign w:val="center"/>
          </w:tcPr>
          <w:p>
            <w:pPr>
              <w:pStyle w:val="TableContents"/>
              <w:bidi w:val="0"/>
              <w:spacing w:before="0" w:after="283"/>
              <w:jc w:val="left"/>
              <w:rPr>
                <w:sz w:val="4"/>
                <w:szCs w:val="4"/>
              </w:rPr>
            </w:pPr>
            <w:r>
              <w:rPr>
                <w:sz w:val="4"/>
                <w:szCs w:val="4"/>
              </w:rPr>
            </w:r>
          </w:p>
        </w:tc>
        <w:tc>
          <w:tcPr>
            <w:tcW w:w="5133" w:type="dxa"/>
            <w:gridSpan w:val="2"/>
            <w:tcBorders/>
            <w:vAlign w:val="center"/>
          </w:tcPr>
          <w:p>
            <w:pPr>
              <w:pStyle w:val="TableContents"/>
              <w:bidi w:val="0"/>
              <w:spacing w:before="0" w:after="283"/>
              <w:jc w:val="left"/>
              <w:rPr>
                <w:sz w:val="4"/>
                <w:szCs w:val="4"/>
              </w:rPr>
            </w:pPr>
            <w:r>
              <w:rPr>
                <w:sz w:val="4"/>
                <w:szCs w:val="4"/>
              </w:rPr>
            </w:r>
          </w:p>
        </w:tc>
      </w:tr>
      <w:tr>
        <w:trPr/>
        <w:tc>
          <w:tcPr>
            <w:tcW w:w="507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U.S. investors:</w:t>
            </w:r>
          </w:p>
        </w:tc>
        <w:tc>
          <w:tcPr>
            <w:tcW w:w="121"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 U.S. media inquiries:</w:t>
            </w:r>
          </w:p>
        </w:tc>
      </w:tr>
      <w:tr>
        <w:trPr/>
        <w:tc>
          <w:tcPr>
            <w:tcW w:w="507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Investors@life360.com</w:t>
            </w:r>
          </w:p>
        </w:tc>
        <w:tc>
          <w:tcPr>
            <w:tcW w:w="121" w:type="dxa"/>
            <w:tcBorders/>
            <w:vAlign w:val="bottom"/>
          </w:tcPr>
          <w:p>
            <w:pPr>
              <w:pStyle w:val="TableContents"/>
              <w:bidi w:val="0"/>
              <w:spacing w:before="0" w:after="283"/>
              <w:jc w:val="left"/>
              <w:rPr/>
            </w:pPr>
            <w:r>
              <w:rPr/>
              <w:t>  </w:t>
            </w:r>
          </w:p>
        </w:tc>
        <w:tc>
          <w:tcPr>
            <w:tcW w:w="5012"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press@life360.com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include reaffirming Life360s expectations with respect to the guidance regarding the financial and operating performance of its business previously provided with Life 350s Q1 CY23 results.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Life360s business, market risks, Life360s need for additional capital, and the risk that Life360s products and services may not perform as expected, as described in greater detail under the heading Risk Factors in Life360s Annual Report on Form 10-K filed with the Securities and Exchange Commission on March 23, 2023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Life360, Inc. | ARBN 629 412 942 | 1900 South Norfolk St, Suite 310 San Mateo, CA 94403 | investors.life360.com     Page 3 </w:t>
      </w:r>
    </w:p>
    <w:p>
      <w:pPr>
        <w:pStyle w:val="TextBody"/>
        <w:bidi w:val="0"/>
        <w:spacing w:before="0" w:after="0"/>
        <w:jc w:val="right"/>
        <w:rPr>
          <w:rFonts w:ascii="Times New Roman" w:hAnsi="Times New Roman"/>
          <w:b/>
          <w:sz w:val="20"/>
        </w:rPr>
      </w:pPr>
      <w:bookmarkStart w:id="4" w:name="d528392dex992.htm"/>
      <w:bookmarkStart w:id="5" w:name="ksd528392dex992"/>
      <w:bookmarkEnd w:id="4"/>
      <w:bookmarkEnd w:id="5"/>
      <w:r>
        <w:rPr>
          <w:rFonts w:ascii="Times New Roman" w:hAnsi="Times New Roman"/>
          <w:b/>
          <w:sz w:val="20"/>
        </w:rPr>
        <w:t xml:space="preserve">Exhibit 99.2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Times New Roman" w:hAnsi="Times New Roman"/>
          <w:i/>
          <w:sz w:val="20"/>
        </w:rPr>
      </w:pPr>
      <w:r>
        <w:rPr>
          <w:rFonts w:ascii="Times New Roman" w:hAnsi="Times New Roman"/>
          <w:i/>
          <w:sz w:val="20"/>
        </w:rPr>
        <w:t xml:space="preserve">Rule 3.19A.2 </w:t>
      </w:r>
    </w:p>
    <w:p>
      <w:pPr>
        <w:pStyle w:val="TextBody"/>
        <w:bidi w:val="0"/>
        <w:spacing w:before="240" w:after="0"/>
        <w:jc w:val="center"/>
        <w:rPr>
          <w:rFonts w:ascii="Times New Roman" w:hAnsi="Times New Roman"/>
          <w:b/>
          <w:sz w:val="20"/>
        </w:rPr>
      </w:pPr>
      <w:r>
        <w:rPr>
          <w:rFonts w:ascii="Times New Roman" w:hAnsi="Times New Roman"/>
          <w:b/>
          <w:sz w:val="20"/>
        </w:rPr>
        <w:t xml:space="preserve">Appendix 3Y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or documents not available now must be given to ASX as soon as available. Information and documents given to ASX become ASXs property and may be made public. </w:t>
      </w:r>
    </w:p>
    <w:p>
      <w:pPr>
        <w:pStyle w:val="TextBody"/>
        <w:bidi w:val="0"/>
        <w:spacing w:before="240" w:after="0"/>
        <w:jc w:val="left"/>
        <w:rPr>
          <w:rFonts w:ascii="Times New Roman" w:hAnsi="Times New Roman"/>
          <w:sz w:val="20"/>
        </w:rPr>
      </w:pPr>
      <w:r>
        <w:rPr>
          <w:rFonts w:ascii="Times New Roman" w:hAnsi="Times New Roman"/>
          <w:sz w:val="20"/>
        </w:rPr>
        <w:t xml:space="preserve">Introduced 30/09/01 Amended 01/01/11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Name of entity: Life360, Inc.</w:t>
            </w:r>
          </w:p>
        </w:tc>
      </w:tr>
      <w:tr>
        <w:trPr/>
        <w:tc>
          <w:tcPr>
            <w:tcW w:w="10205" w:type="dxa"/>
            <w:tcBorders/>
          </w:tcPr>
          <w:p>
            <w:pPr>
              <w:pStyle w:val="TableContents"/>
              <w:bidi w:val="0"/>
              <w:spacing w:before="0" w:after="283"/>
              <w:jc w:val="left"/>
              <w:rPr>
                <w:b/>
              </w:rPr>
            </w:pPr>
            <w:r>
              <w:rPr>
                <w:b/>
              </w:rPr>
              <w:t>ARBN: 629 412 942</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entity) give ASX the following information under listing rule 3.19A.2 and as agent for the director for the purposes of section 205G of the Corporations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Name of Director</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Christopher (Chris) Hulls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Date of last notice</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15 June 2023</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1 - Change of directors relevant interests in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In the case of a trust, this includes interests in the trust made available by the responsible entity of the trust </w:t>
      </w:r>
    </w:p>
    <w:p>
      <w:pPr>
        <w:pStyle w:val="TextBody"/>
        <w:bidi w:val="0"/>
        <w:spacing w:before="240" w:after="0"/>
        <w:jc w:val="left"/>
        <w:rPr>
          <w:rFonts w:ascii="Times New Roman" w:hAnsi="Times New Roman"/>
          <w:sz w:val="20"/>
        </w:rPr>
      </w:pPr>
      <w:r>
        <w:rPr>
          <w:rFonts w:ascii="Times New Roman" w:hAnsi="Times New Roman"/>
          <w:sz w:val="20"/>
        </w:rPr>
        <w:t xml:space="preserve">Note: In the case of a company, interests which come within paragraph (i)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123"/>
        <w:gridCol w:w="4878"/>
      </w:tblGrid>
      <w:tr>
        <w:trPr/>
        <w:tc>
          <w:tcPr>
            <w:tcW w:w="520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Direct or indirect interest</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Direct Interest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Nature of indirect interest</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  </w:t>
            </w:r>
          </w:p>
        </w:tc>
      </w:tr>
      <w:tr>
        <w:trPr/>
        <w:tc>
          <w:tcPr>
            <w:tcW w:w="5204" w:type="dxa"/>
            <w:tcBorders/>
          </w:tcPr>
          <w:p>
            <w:pPr>
              <w:pStyle w:val="TableContents"/>
              <w:bidi w:val="0"/>
              <w:spacing w:before="0" w:after="283"/>
              <w:jc w:val="left"/>
              <w:rPr>
                <w:b/>
              </w:rPr>
            </w:pPr>
            <w:r>
              <w:rPr>
                <w:b/>
              </w:rPr>
              <w:t>(including registered holder)</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Note: Provide details of the circumstances giving rise to the relevant interest.</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Date of change</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28 June 2023 (PST) (being 29 June 2023 AEST)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No. of securities held prior to change</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   5,059,656 CHESS Depositary Interests (</w:t>
            </w:r>
            <w:r>
              <w:rPr>
                <w:rFonts w:ascii="Times New Roman" w:hAnsi="Times New Roman"/>
                <w:b/>
                <w:sz w:val="20"/>
              </w:rPr>
              <w:t>CDIs</w:t>
            </w:r>
            <w:r>
              <w:rPr>
                <w:rFonts w:ascii="Times New Roman" w:hAnsi="Times New Roman"/>
                <w:sz w:val="20"/>
              </w:rPr>
              <w:t>)</w:t>
            </w:r>
          </w:p>
        </w:tc>
      </w:tr>
      <w:tr>
        <w:trPr/>
        <w:tc>
          <w:tcPr>
            <w:tcW w:w="520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   1,263,095 Shares of Common Stock (</w:t>
            </w:r>
            <w:r>
              <w:rPr>
                <w:rFonts w:ascii="Times New Roman" w:hAnsi="Times New Roman"/>
                <w:b/>
                <w:sz w:val="20"/>
              </w:rPr>
              <w:t>Shares</w:t>
            </w:r>
            <w:r>
              <w:rPr>
                <w:rFonts w:ascii="Times New Roman" w:hAnsi="Times New Roman"/>
                <w:sz w:val="20"/>
              </w:rPr>
              <w:t>)(equivalent to 3,789,285 CDIs)</w:t>
            </w:r>
          </w:p>
        </w:tc>
      </w:tr>
      <w:tr>
        <w:trPr/>
        <w:tc>
          <w:tcPr>
            <w:tcW w:w="520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   2,090,348 Options over Shares (</w:t>
            </w:r>
            <w:r>
              <w:rPr>
                <w:rFonts w:ascii="Times New Roman" w:hAnsi="Times New Roman"/>
                <w:b/>
                <w:sz w:val="20"/>
              </w:rPr>
              <w:t>Options</w:t>
            </w:r>
            <w:r>
              <w:rPr>
                <w:rFonts w:ascii="Times New Roman" w:hAnsi="Times New Roman"/>
                <w:sz w:val="20"/>
              </w:rPr>
              <w:t>)</w:t>
            </w:r>
          </w:p>
        </w:tc>
      </w:tr>
      <w:tr>
        <w:trPr/>
        <w:tc>
          <w:tcPr>
            <w:tcW w:w="520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   68,023 Restricted Stock Units (</w:t>
            </w:r>
            <w:r>
              <w:rPr>
                <w:rFonts w:ascii="Times New Roman" w:hAnsi="Times New Roman"/>
                <w:b/>
                <w:sz w:val="20"/>
              </w:rPr>
              <w:t>RSUs</w:t>
            </w:r>
            <w:r>
              <w:rPr>
                <w:rFonts w:ascii="Times New Roman" w:hAnsi="Times New Roman"/>
                <w:sz w:val="20"/>
              </w:rPr>
              <w:t>)</w:t>
            </w:r>
          </w:p>
        </w:tc>
      </w:tr>
      <w:tr>
        <w:trPr/>
        <w:tc>
          <w:tcPr>
            <w:tcW w:w="5204"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   89,880 CDIs held by ICCA Labs, LLC1 </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 xml:space="preserve">Class </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CDIs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Number acquired</w:t>
            </w:r>
          </w:p>
        </w:tc>
        <w:tc>
          <w:tcPr>
            <w:tcW w:w="123" w:type="dxa"/>
            <w:tcBorders/>
            <w:vAlign w:val="bottom"/>
          </w:tcPr>
          <w:p>
            <w:pPr>
              <w:pStyle w:val="TableContents"/>
              <w:bidi w:val="0"/>
              <w:spacing w:before="0" w:after="283"/>
              <w:jc w:val="left"/>
              <w:rPr/>
            </w:pPr>
            <w:r>
              <w:rPr/>
              <w:t>  </w:t>
            </w:r>
          </w:p>
        </w:tc>
        <w:tc>
          <w:tcPr>
            <w:tcW w:w="4878" w:type="dxa"/>
            <w:tcBorders/>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 Hulls is a member of ICCA Labs, LLC, an entity that holds Life360 CDIs. The number of CDIs attributable to Chris Hulls by reason of his membership interest in ICCA Labs, LLC is 89,880.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200" w:after="0"/>
        <w:jc w:val="left"/>
        <w:rPr>
          <w:rFonts w:ascii="Times New Roman" w:hAnsi="Times New Roman"/>
          <w:sz w:val="20"/>
        </w:rPr>
      </w:pPr>
      <w:r>
        <w:rPr>
          <w:rFonts w:ascii="Times New Roman" w:hAnsi="Times New Roman"/>
          <w:sz w:val="20"/>
        </w:rPr>
        <w:t xml:space="preserve">01/01/2011 Appendix 3Y 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3Y </w:t>
      </w:r>
    </w:p>
    <w:p>
      <w:pPr>
        <w:pStyle w:val="TextBody"/>
        <w:bidi w:val="0"/>
        <w:spacing w:before="0" w:after="0"/>
        <w:jc w:val="lef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0"/>
        <w:gridCol w:w="123"/>
        <w:gridCol w:w="4892"/>
      </w:tblGrid>
      <w:tr>
        <w:trPr/>
        <w:tc>
          <w:tcPr>
            <w:tcW w:w="51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b/>
              </w:rPr>
            </w:pPr>
            <w:r>
              <w:rPr>
                <w:b/>
              </w:rPr>
              <w:t>Number disposed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1,711,661 CDIs (equivalent to 570,554 Shares).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0"/>
              <w:jc w:val="left"/>
              <w:rPr>
                <w:rFonts w:ascii="Times New Roman" w:hAnsi="Times New Roman"/>
                <w:b/>
                <w:sz w:val="20"/>
              </w:rPr>
            </w:pPr>
            <w:r>
              <w:rPr>
                <w:rFonts w:ascii="Times New Roman" w:hAnsi="Times New Roman"/>
                <w:b/>
                <w:sz w:val="20"/>
              </w:rPr>
              <w:t>Value/Consideration</w:t>
            </w:r>
          </w:p>
          <w:p>
            <w:pPr>
              <w:pStyle w:val="TableContents"/>
              <w:bidi w:val="0"/>
              <w:spacing w:before="0" w:after="20"/>
              <w:jc w:val="left"/>
              <w:rPr>
                <w:rFonts w:ascii="Times New Roman" w:hAnsi="Times New Roman"/>
                <w:sz w:val="20"/>
              </w:rPr>
            </w:pPr>
            <w:r>
              <w:rPr>
                <w:rFonts w:ascii="Times New Roman" w:hAnsi="Times New Roman"/>
                <w:sz w:val="20"/>
              </w:rPr>
              <w:t>Note: If consideration is non-cash, provide details and estimated valuation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CDIs were transferred in payment of the principal, accrued interest and expenses on a A$10.5 million loan facility2 at a price per CDI of A$7.31, the VWAP on 28 June 2023.</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b/>
              </w:rPr>
            </w:pPr>
            <w:r>
              <w:rPr>
                <w:b/>
              </w:rPr>
              <w:t xml:space="preserve">No. of securities held after change </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   3,347,995 CDIs (equivalent to 1,115,999 Shares)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   1,263,095 Shares (equivalent to 3,789,285 CDIs)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   2,090,348 Options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   68,023 RSUs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   89,880 CDIs held by ICCA Labs, LLC</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0"/>
              <w:jc w:val="left"/>
              <w:rPr>
                <w:rFonts w:ascii="Times New Roman" w:hAnsi="Times New Roman"/>
                <w:b/>
                <w:sz w:val="20"/>
              </w:rPr>
            </w:pPr>
            <w:r>
              <w:rPr>
                <w:rFonts w:ascii="Times New Roman" w:hAnsi="Times New Roman"/>
                <w:b/>
                <w:sz w:val="20"/>
              </w:rPr>
              <w:t>Nature of change</w:t>
            </w:r>
          </w:p>
          <w:p>
            <w:pPr>
              <w:pStyle w:val="TableContents"/>
              <w:bidi w:val="0"/>
              <w:spacing w:before="0" w:after="20"/>
              <w:jc w:val="left"/>
              <w:rPr>
                <w:rFonts w:ascii="Times New Roman" w:hAnsi="Times New Roman"/>
                <w:sz w:val="20"/>
              </w:rPr>
            </w:pPr>
            <w:r>
              <w:rPr>
                <w:rFonts w:ascii="Times New Roman" w:hAnsi="Times New Roman"/>
                <w:sz w:val="20"/>
              </w:rPr>
              <w:t>Example: on-market trade, off-market trade, exercise of options, issue of securities under dividend reinvestment plan, participation in buy-back</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pPr>
            <w:r>
              <w:rPr/>
              <w:t>CDIs were transferred in payment of a loan facility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2  Change of directors interests in contracts </w:t>
      </w:r>
    </w:p>
    <w:p>
      <w:pPr>
        <w:pStyle w:val="TextBody"/>
        <w:bidi w:val="0"/>
        <w:spacing w:before="120" w:after="0"/>
        <w:jc w:val="left"/>
        <w:rPr>
          <w:rFonts w:ascii="Times New Roman" w:hAnsi="Times New Roman"/>
          <w:sz w:val="20"/>
        </w:rPr>
      </w:pPr>
      <w:r>
        <w:rPr>
          <w:rFonts w:ascii="Times New Roman" w:hAnsi="Times New Roman"/>
          <w:sz w:val="20"/>
        </w:rPr>
        <w:t xml:space="preserve">Note: In the case of a company, interests which come within paragraph (ii)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28"/>
        <w:gridCol w:w="121"/>
        <w:gridCol w:w="6156"/>
      </w:tblGrid>
      <w:tr>
        <w:trPr/>
        <w:tc>
          <w:tcPr>
            <w:tcW w:w="39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156" w:type="dxa"/>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Detail of contract</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Nature of interest</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Name of registered holder</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c>
          <w:tcPr>
            <w:tcW w:w="3928" w:type="dxa"/>
            <w:tcBorders/>
          </w:tcPr>
          <w:p>
            <w:pPr>
              <w:pStyle w:val="TableContents"/>
              <w:bidi w:val="0"/>
              <w:spacing w:before="0" w:after="283"/>
              <w:jc w:val="left"/>
              <w:rPr>
                <w:b/>
              </w:rPr>
            </w:pPr>
            <w:r>
              <w:rPr>
                <w:b/>
              </w:rPr>
              <w:t>(if issued securities)</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sz w:val="4"/>
                <w:szCs w:val="4"/>
              </w:rPr>
            </w:pPr>
            <w:r>
              <w:rPr>
                <w:sz w:val="4"/>
                <w:szCs w:val="4"/>
              </w:rPr>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Date of change</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0"/>
              <w:jc w:val="left"/>
              <w:rPr>
                <w:rFonts w:ascii="Times New Roman" w:hAnsi="Times New Roman"/>
                <w:b/>
                <w:sz w:val="20"/>
              </w:rPr>
            </w:pPr>
            <w:r>
              <w:rPr>
                <w:rFonts w:ascii="Times New Roman" w:hAnsi="Times New Roman"/>
                <w:b/>
                <w:sz w:val="20"/>
              </w:rPr>
              <w:t>No. and class of securities to which interest related prior to change</w:t>
            </w:r>
          </w:p>
          <w:p>
            <w:pPr>
              <w:pStyle w:val="TableContents"/>
              <w:bidi w:val="0"/>
              <w:spacing w:before="0" w:after="20"/>
              <w:jc w:val="left"/>
              <w:rPr>
                <w:rFonts w:ascii="Times New Roman" w:hAnsi="Times New Roman"/>
                <w:sz w:val="20"/>
              </w:rPr>
            </w:pPr>
            <w:r>
              <w:rPr>
                <w:rFonts w:ascii="Times New Roman" w:hAnsi="Times New Roman"/>
                <w:sz w:val="20"/>
              </w:rPr>
              <w:t>Note: Details are only required for a contract in relation to which the interest has changed</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Interest acquired</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Interest disposed</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Value/Consideration</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r>
        <w:trPr/>
        <w:tc>
          <w:tcPr>
            <w:tcW w:w="3928" w:type="dxa"/>
            <w:tcBorders/>
          </w:tcPr>
          <w:p>
            <w:pPr>
              <w:pStyle w:val="TableContents"/>
              <w:bidi w:val="0"/>
              <w:spacing w:before="0" w:after="283"/>
              <w:jc w:val="left"/>
              <w:rPr/>
            </w:pPr>
            <w:r>
              <w:rPr/>
              <w:t>Note: If consideration is non-cash, provide details and an estimated valuation</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sz w:val="4"/>
                <w:szCs w:val="4"/>
              </w:rPr>
            </w:pPr>
            <w:r>
              <w:rPr>
                <w:sz w:val="4"/>
                <w:szCs w:val="4"/>
              </w:rPr>
            </w:r>
          </w:p>
        </w:tc>
      </w:tr>
      <w:tr>
        <w:trPr>
          <w:trHeight w:val="120" w:hRule="atLeast"/>
        </w:trPr>
        <w:tc>
          <w:tcPr>
            <w:tcW w:w="3928" w:type="dxa"/>
            <w:tcBorders/>
            <w:vAlign w:val="center"/>
          </w:tcPr>
          <w:p>
            <w:pPr>
              <w:pStyle w:val="TableContents"/>
              <w:bidi w:val="0"/>
              <w:spacing w:before="0" w:after="283"/>
              <w:jc w:val="left"/>
              <w:rPr>
                <w:sz w:val="4"/>
                <w:szCs w:val="4"/>
              </w:rPr>
            </w:pPr>
            <w:r>
              <w:rPr>
                <w:sz w:val="4"/>
                <w:szCs w:val="4"/>
              </w:rPr>
            </w:r>
          </w:p>
        </w:tc>
        <w:tc>
          <w:tcPr>
            <w:tcW w:w="6277"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283"/>
              <w:jc w:val="left"/>
              <w:rPr>
                <w:b/>
              </w:rPr>
            </w:pPr>
            <w:r>
              <w:rPr>
                <w:b/>
              </w:rPr>
              <w:t>Interest after change</w:t>
            </w:r>
          </w:p>
        </w:tc>
        <w:tc>
          <w:tcPr>
            <w:tcW w:w="121" w:type="dxa"/>
            <w:tcBorders/>
            <w:vAlign w:val="bottom"/>
          </w:tcPr>
          <w:p>
            <w:pPr>
              <w:pStyle w:val="TableContents"/>
              <w:bidi w:val="0"/>
              <w:spacing w:before="0" w:after="283"/>
              <w:jc w:val="left"/>
              <w:rPr/>
            </w:pPr>
            <w:r>
              <w:rPr/>
              <w:t>  </w:t>
            </w:r>
          </w:p>
        </w:tc>
        <w:tc>
          <w:tcPr>
            <w:tcW w:w="6156" w:type="dxa"/>
            <w:tcBorders/>
          </w:tcPr>
          <w:p>
            <w:pPr>
              <w:pStyle w:val="TableContents"/>
              <w:bidi w:val="0"/>
              <w:spacing w:before="0" w:after="283"/>
              <w:jc w:val="left"/>
              <w:rPr/>
            </w:pPr>
            <w:r>
              <w:rPr/>
              <w:t>N/A</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of the loan facility were included in an Appendix 3Y lodged with the ASX on 29 June 2021.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left"/>
              <w:rPr/>
            </w:pPr>
            <w:r>
              <w:rPr/>
              <w:t>Appendix 3Y Page 2</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right"/>
              <w:rPr/>
            </w:pPr>
            <w:r>
              <w:rPr/>
              <w:t>01/01/2011</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Part 3  + Closed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1"/>
        <w:gridCol w:w="123"/>
        <w:gridCol w:w="4831"/>
      </w:tblGrid>
      <w:tr>
        <w:trPr/>
        <w:tc>
          <w:tcPr>
            <w:tcW w:w="52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Were the interests in the securities or contracts detailed above traded during a + closed period where prior written clearance was required?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No.</w:t>
            </w:r>
          </w:p>
        </w:tc>
      </w:tr>
      <w:tr>
        <w:trPr>
          <w:trHeight w:val="120" w:hRule="atLeast"/>
        </w:trPr>
        <w:tc>
          <w:tcPr>
            <w:tcW w:w="5251" w:type="dxa"/>
            <w:tcBorders/>
            <w:vAlign w:val="center"/>
          </w:tcPr>
          <w:p>
            <w:pPr>
              <w:pStyle w:val="TableContents"/>
              <w:bidi w:val="0"/>
              <w:spacing w:before="0" w:after="283"/>
              <w:jc w:val="left"/>
              <w:rPr>
                <w:sz w:val="4"/>
                <w:szCs w:val="4"/>
              </w:rPr>
            </w:pPr>
            <w:r>
              <w:rPr>
                <w:sz w:val="4"/>
                <w:szCs w:val="4"/>
              </w:rPr>
            </w:r>
          </w:p>
        </w:tc>
        <w:tc>
          <w:tcPr>
            <w:tcW w:w="4954" w:type="dxa"/>
            <w:gridSpan w:val="2"/>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If so, was prior written clearance provided to allow the trade to proceed during this period?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N/A</w:t>
            </w:r>
          </w:p>
        </w:tc>
      </w:tr>
      <w:tr>
        <w:trPr>
          <w:trHeight w:val="120" w:hRule="atLeast"/>
        </w:trPr>
        <w:tc>
          <w:tcPr>
            <w:tcW w:w="5251" w:type="dxa"/>
            <w:tcBorders/>
            <w:vAlign w:val="center"/>
          </w:tcPr>
          <w:p>
            <w:pPr>
              <w:pStyle w:val="TableContents"/>
              <w:bidi w:val="0"/>
              <w:spacing w:before="0" w:after="283"/>
              <w:jc w:val="left"/>
              <w:rPr>
                <w:sz w:val="4"/>
                <w:szCs w:val="4"/>
              </w:rPr>
            </w:pPr>
            <w:r>
              <w:rPr>
                <w:sz w:val="4"/>
                <w:szCs w:val="4"/>
              </w:rPr>
            </w:r>
          </w:p>
        </w:tc>
        <w:tc>
          <w:tcPr>
            <w:tcW w:w="4954" w:type="dxa"/>
            <w:gridSpan w:val="2"/>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If prior written clearance was provided, on what date was this provided?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200" w:after="0"/>
        <w:jc w:val="left"/>
        <w:rPr>
          <w:rFonts w:ascii="Times New Roman" w:hAnsi="Times New Roman"/>
          <w:sz w:val="20"/>
        </w:rPr>
      </w:pPr>
      <w:r>
        <w:rPr>
          <w:rFonts w:ascii="Times New Roman" w:hAnsi="Times New Roman"/>
          <w:sz w:val="20"/>
        </w:rPr>
        <w:t xml:space="preserve">01/01/2011 Appendix 3Y Page 3 </w:t>
      </w:r>
    </w:p>
    <w:p>
      <w:pPr>
        <w:pStyle w:val="TextBody"/>
        <w:bidi w:val="0"/>
        <w:spacing w:before="0" w:after="0"/>
        <w:jc w:val="right"/>
        <w:rPr>
          <w:rFonts w:ascii="Times New Roman" w:hAnsi="Times New Roman"/>
          <w:b/>
          <w:sz w:val="20"/>
        </w:rPr>
      </w:pPr>
      <w:bookmarkStart w:id="6" w:name="d528392dex993.htm"/>
      <w:bookmarkStart w:id="7" w:name="ksd528392dex993"/>
      <w:bookmarkEnd w:id="6"/>
      <w:bookmarkEnd w:id="7"/>
      <w:r>
        <w:rPr>
          <w:rFonts w:ascii="Times New Roman" w:hAnsi="Times New Roman"/>
          <w:b/>
          <w:sz w:val="20"/>
        </w:rPr>
        <w:t xml:space="preserve">Exhibit 99.3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240" w:after="0"/>
        <w:jc w:val="right"/>
        <w:rPr>
          <w:rFonts w:ascii="Times New Roman" w:hAnsi="Times New Roman"/>
          <w:i/>
          <w:sz w:val="20"/>
        </w:rPr>
      </w:pPr>
      <w:r>
        <w:rPr>
          <w:rFonts w:ascii="Times New Roman" w:hAnsi="Times New Roman"/>
          <w:i/>
          <w:sz w:val="20"/>
        </w:rPr>
        <w:t xml:space="preserve">Rule 3.19A.2 </w:t>
      </w:r>
    </w:p>
    <w:p>
      <w:pPr>
        <w:pStyle w:val="TextBody"/>
        <w:bidi w:val="0"/>
        <w:spacing w:before="240" w:after="0"/>
        <w:jc w:val="center"/>
        <w:rPr>
          <w:rFonts w:ascii="Times New Roman" w:hAnsi="Times New Roman"/>
          <w:b/>
          <w:sz w:val="20"/>
        </w:rPr>
      </w:pPr>
      <w:r>
        <w:rPr>
          <w:rFonts w:ascii="Times New Roman" w:hAnsi="Times New Roman"/>
          <w:b/>
          <w:sz w:val="20"/>
        </w:rPr>
        <w:t xml:space="preserve">Appendix 3Y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or documents not available now must be given to ASX as soon as available. Information and documents given to ASX become ASXs property and may be made public. </w:t>
      </w:r>
    </w:p>
    <w:p>
      <w:pPr>
        <w:pStyle w:val="TextBody"/>
        <w:bidi w:val="0"/>
        <w:spacing w:before="240" w:after="0"/>
        <w:jc w:val="left"/>
        <w:rPr>
          <w:rFonts w:ascii="Times New Roman" w:hAnsi="Times New Roman"/>
          <w:sz w:val="20"/>
        </w:rPr>
      </w:pPr>
      <w:r>
        <w:rPr>
          <w:rFonts w:ascii="Times New Roman" w:hAnsi="Times New Roman"/>
          <w:sz w:val="20"/>
        </w:rPr>
        <w:t xml:space="preserve">Introduced 30/09/01 Amended 01/01/11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2"/>
        <w:gridCol w:w="222"/>
        <w:gridCol w:w="7981"/>
      </w:tblGrid>
      <w:tr>
        <w:trPr/>
        <w:tc>
          <w:tcPr>
            <w:tcW w:w="2002"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2002" w:type="dxa"/>
            <w:tcBorders/>
          </w:tcPr>
          <w:p>
            <w:pPr>
              <w:pStyle w:val="TableContents"/>
              <w:bidi w:val="0"/>
              <w:spacing w:before="0" w:after="283"/>
              <w:jc w:val="left"/>
              <w:rPr>
                <w:b/>
              </w:rPr>
            </w:pPr>
            <w:r>
              <w:rPr>
                <w:b/>
              </w:rPr>
              <w:t>Name of entity        </w:t>
            </w:r>
          </w:p>
        </w:tc>
        <w:tc>
          <w:tcPr>
            <w:tcW w:w="222" w:type="dxa"/>
            <w:tcBorders/>
            <w:vAlign w:val="bottom"/>
          </w:tcPr>
          <w:p>
            <w:pPr>
              <w:pStyle w:val="TableContents"/>
              <w:bidi w:val="0"/>
              <w:spacing w:before="0" w:after="283"/>
              <w:jc w:val="left"/>
              <w:rPr/>
            </w:pPr>
            <w:r>
              <w:rPr/>
              <w:t>  </w:t>
            </w:r>
          </w:p>
        </w:tc>
        <w:tc>
          <w:tcPr>
            <w:tcW w:w="7981" w:type="dxa"/>
            <w:tcBorders/>
          </w:tcPr>
          <w:p>
            <w:pPr>
              <w:pStyle w:val="TableContents"/>
              <w:bidi w:val="0"/>
              <w:spacing w:before="0" w:after="283"/>
              <w:jc w:val="left"/>
              <w:rPr>
                <w:b/>
              </w:rPr>
            </w:pPr>
            <w:r>
              <w:rPr>
                <w:b/>
              </w:rPr>
              <w:t>Life360, Inc.</w:t>
            </w:r>
          </w:p>
        </w:tc>
      </w:tr>
      <w:tr>
        <w:trPr>
          <w:trHeight w:val="120" w:hRule="atLeast"/>
        </w:trPr>
        <w:tc>
          <w:tcPr>
            <w:tcW w:w="2002" w:type="dxa"/>
            <w:tcBorders/>
            <w:vAlign w:val="center"/>
          </w:tcPr>
          <w:p>
            <w:pPr>
              <w:pStyle w:val="TableContents"/>
              <w:bidi w:val="0"/>
              <w:spacing w:before="0" w:after="283"/>
              <w:jc w:val="left"/>
              <w:rPr>
                <w:sz w:val="4"/>
                <w:szCs w:val="4"/>
              </w:rPr>
            </w:pPr>
            <w:r>
              <w:rPr>
                <w:sz w:val="4"/>
                <w:szCs w:val="4"/>
              </w:rPr>
            </w:r>
          </w:p>
        </w:tc>
        <w:tc>
          <w:tcPr>
            <w:tcW w:w="8203" w:type="dxa"/>
            <w:gridSpan w:val="2"/>
            <w:tcBorders/>
            <w:vAlign w:val="center"/>
          </w:tcPr>
          <w:p>
            <w:pPr>
              <w:pStyle w:val="TableContents"/>
              <w:bidi w:val="0"/>
              <w:spacing w:before="0" w:after="283"/>
              <w:jc w:val="left"/>
              <w:rPr>
                <w:sz w:val="4"/>
                <w:szCs w:val="4"/>
              </w:rPr>
            </w:pPr>
            <w:r>
              <w:rPr>
                <w:sz w:val="4"/>
                <w:szCs w:val="4"/>
              </w:rPr>
            </w:r>
          </w:p>
        </w:tc>
      </w:tr>
      <w:tr>
        <w:trPr/>
        <w:tc>
          <w:tcPr>
            <w:tcW w:w="2002" w:type="dxa"/>
            <w:tcBorders/>
          </w:tcPr>
          <w:p>
            <w:pPr>
              <w:pStyle w:val="TableContents"/>
              <w:bidi w:val="0"/>
              <w:spacing w:before="0" w:after="283"/>
              <w:jc w:val="left"/>
              <w:rPr>
                <w:b/>
              </w:rPr>
            </w:pPr>
            <w:r>
              <w:rPr>
                <w:b/>
              </w:rPr>
              <w:t>ARBN</w:t>
            </w:r>
          </w:p>
        </w:tc>
        <w:tc>
          <w:tcPr>
            <w:tcW w:w="222" w:type="dxa"/>
            <w:tcBorders/>
            <w:vAlign w:val="bottom"/>
          </w:tcPr>
          <w:p>
            <w:pPr>
              <w:pStyle w:val="TableContents"/>
              <w:bidi w:val="0"/>
              <w:spacing w:before="0" w:after="283"/>
              <w:jc w:val="left"/>
              <w:rPr/>
            </w:pPr>
            <w:r>
              <w:rPr/>
              <w:t>  </w:t>
            </w:r>
          </w:p>
        </w:tc>
        <w:tc>
          <w:tcPr>
            <w:tcW w:w="7981" w:type="dxa"/>
            <w:tcBorders/>
          </w:tcPr>
          <w:p>
            <w:pPr>
              <w:pStyle w:val="TableContents"/>
              <w:bidi w:val="0"/>
              <w:spacing w:before="0" w:after="283"/>
              <w:jc w:val="left"/>
              <w:rPr>
                <w:b/>
              </w:rPr>
            </w:pPr>
            <w:r>
              <w:rPr>
                <w:b/>
              </w:rPr>
              <w:t>629 412 942</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entity) give ASX the following information under listing rule 3.19A.2 and as agent for the director for the purposes of section 205G of the Corporations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5"/>
        <w:gridCol w:w="123"/>
        <w:gridCol w:w="7157"/>
      </w:tblGrid>
      <w:tr>
        <w:trPr/>
        <w:tc>
          <w:tcPr>
            <w:tcW w:w="29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57" w:type="dxa"/>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b/>
              </w:rPr>
            </w:pPr>
            <w:r>
              <w:rPr>
                <w:b/>
              </w:rPr>
              <w:t>Name of Director</w:t>
            </w:r>
          </w:p>
        </w:tc>
        <w:tc>
          <w:tcPr>
            <w:tcW w:w="123"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Alexander (Alex) Haro</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b/>
              </w:rPr>
            </w:pPr>
            <w:r>
              <w:rPr>
                <w:b/>
              </w:rPr>
              <w:t>Date of last notice</w:t>
            </w:r>
          </w:p>
        </w:tc>
        <w:tc>
          <w:tcPr>
            <w:tcW w:w="123"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283"/>
              <w:jc w:val="left"/>
              <w:rPr/>
            </w:pPr>
            <w:r>
              <w:rPr/>
              <w:t>15 June 2023</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1 - Change of directors relevant interests in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In the case of a trust, this includes interests in the trust made available by the responsible entity of the trust </w:t>
      </w:r>
    </w:p>
    <w:p>
      <w:pPr>
        <w:pStyle w:val="TextBody"/>
        <w:bidi w:val="0"/>
        <w:spacing w:before="240" w:after="0"/>
        <w:jc w:val="left"/>
        <w:rPr>
          <w:rFonts w:ascii="Times New Roman" w:hAnsi="Times New Roman"/>
          <w:sz w:val="20"/>
        </w:rPr>
      </w:pPr>
      <w:r>
        <w:rPr>
          <w:rFonts w:ascii="Times New Roman" w:hAnsi="Times New Roman"/>
          <w:sz w:val="20"/>
        </w:rPr>
        <w:t xml:space="preserve">Note: In the case of a company, interests which come within paragraph (i)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6"/>
        <w:gridCol w:w="121"/>
        <w:gridCol w:w="4778"/>
      </w:tblGrid>
      <w:tr>
        <w:trPr/>
        <w:tc>
          <w:tcPr>
            <w:tcW w:w="53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78" w:type="dxa"/>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Direct or indirect interest</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Nature of indirect interest</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c>
          <w:tcPr>
            <w:tcW w:w="5306" w:type="dxa"/>
            <w:tcBorders/>
          </w:tcPr>
          <w:p>
            <w:pPr>
              <w:pStyle w:val="TableContents"/>
              <w:bidi w:val="0"/>
              <w:spacing w:before="0" w:after="283"/>
              <w:jc w:val="left"/>
              <w:rPr>
                <w:b/>
              </w:rPr>
            </w:pPr>
            <w:r>
              <w:rPr>
                <w:b/>
              </w:rPr>
              <w:t>(including registered holder)</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pPr>
            <w:r>
              <w:rPr/>
              <w:t>Note: Provide details of the circumstances giving rise to the relevant interest.</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sz w:val="4"/>
                <w:szCs w:val="4"/>
              </w:rPr>
            </w:pPr>
            <w:r>
              <w:rPr>
                <w:sz w:val="4"/>
                <w:szCs w:val="4"/>
              </w:rPr>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Date of change</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No. of securities held prior to change</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Class</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Number acquired</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Number disposed</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rHeight w:val="120" w:hRule="atLeast"/>
        </w:trPr>
        <w:tc>
          <w:tcPr>
            <w:tcW w:w="5306" w:type="dxa"/>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5306" w:type="dxa"/>
            <w:tcBorders/>
          </w:tcPr>
          <w:p>
            <w:pPr>
              <w:pStyle w:val="TableContents"/>
              <w:bidi w:val="0"/>
              <w:spacing w:before="0" w:after="283"/>
              <w:jc w:val="left"/>
              <w:rPr>
                <w:b/>
              </w:rPr>
            </w:pPr>
            <w:r>
              <w:rPr>
                <w:b/>
              </w:rPr>
              <w:t>Value/Consideration</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t>N/A</w:t>
            </w:r>
          </w:p>
        </w:tc>
      </w:tr>
      <w:tr>
        <w:trPr/>
        <w:tc>
          <w:tcPr>
            <w:tcW w:w="5306" w:type="dxa"/>
            <w:tcBorders/>
          </w:tcPr>
          <w:p>
            <w:pPr>
              <w:pStyle w:val="TableContents"/>
              <w:bidi w:val="0"/>
              <w:spacing w:before="0" w:after="283"/>
              <w:jc w:val="left"/>
              <w:rPr/>
            </w:pPr>
            <w:r>
              <w:rPr/>
              <w:t>Note: If consideration is non-cash, provide details and estimated valuation</w:t>
            </w:r>
          </w:p>
        </w:tc>
        <w:tc>
          <w:tcPr>
            <w:tcW w:w="121"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200" w:after="0"/>
        <w:jc w:val="left"/>
        <w:rPr>
          <w:rFonts w:ascii="Times New Roman" w:hAnsi="Times New Roman"/>
          <w:sz w:val="20"/>
        </w:rPr>
      </w:pPr>
      <w:r>
        <w:rPr>
          <w:rFonts w:ascii="Times New Roman" w:hAnsi="Times New Roman"/>
          <w:sz w:val="20"/>
        </w:rPr>
        <w:t xml:space="preserve">01/01/2011 Appendix 3Y 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3Y </w:t>
      </w:r>
    </w:p>
    <w:p>
      <w:pPr>
        <w:pStyle w:val="TextBody"/>
        <w:bidi w:val="0"/>
        <w:spacing w:before="0" w:after="0"/>
        <w:jc w:val="lef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2"/>
        <w:gridCol w:w="122"/>
        <w:gridCol w:w="4801"/>
      </w:tblGrid>
      <w:tr>
        <w:trPr/>
        <w:tc>
          <w:tcPr>
            <w:tcW w:w="528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No. of securities held after change</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Nature of change</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c>
          <w:tcPr>
            <w:tcW w:w="5282" w:type="dxa"/>
            <w:tcBorders/>
          </w:tcPr>
          <w:p>
            <w:pPr>
              <w:pStyle w:val="TableContents"/>
              <w:bidi w:val="0"/>
              <w:spacing w:before="0" w:after="283"/>
              <w:jc w:val="left"/>
              <w:rPr/>
            </w:pPr>
            <w:r>
              <w:rPr/>
              <w:t>Example: on-market trade, off-market trade, exercise of options, issue of securities under dividend reinvestment plan, participation in buy-back</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2  Change of directors interests in contracts </w:t>
      </w:r>
    </w:p>
    <w:p>
      <w:pPr>
        <w:pStyle w:val="TextBody"/>
        <w:bidi w:val="0"/>
        <w:spacing w:before="120" w:after="0"/>
        <w:jc w:val="left"/>
        <w:rPr>
          <w:rFonts w:ascii="Times New Roman" w:hAnsi="Times New Roman"/>
          <w:sz w:val="20"/>
        </w:rPr>
      </w:pPr>
      <w:r>
        <w:rPr>
          <w:rFonts w:ascii="Times New Roman" w:hAnsi="Times New Roman"/>
          <w:sz w:val="20"/>
        </w:rPr>
        <w:t xml:space="preserve">Note: In the case of a company, interests which come within paragraph (ii)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2"/>
        <w:gridCol w:w="120"/>
        <w:gridCol w:w="6213"/>
      </w:tblGrid>
      <w:tr>
        <w:trPr/>
        <w:tc>
          <w:tcPr>
            <w:tcW w:w="38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13" w:type="dxa"/>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Detail of contract</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Repayment of A$5.5 million personal loan facility (</w:t>
            </w:r>
            <w:r>
              <w:rPr>
                <w:b/>
              </w:rPr>
              <w:t>Existing Loan</w:t>
            </w:r>
            <w:r>
              <w:rPr/>
              <w:t>), by utilising proceeds from a new US$12 million limited recourse loan facility (</w:t>
            </w:r>
            <w:r>
              <w:rPr>
                <w:b/>
              </w:rPr>
              <w:t>New</w:t>
            </w:r>
            <w:r>
              <w:rPr/>
              <w:t xml:space="preserve"> </w:t>
            </w:r>
            <w:r>
              <w:rPr>
                <w:b/>
              </w:rPr>
              <w:t>Loan</w:t>
            </w:r>
            <w:r>
              <w:rPr/>
              <w:t>).</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Nature of interest</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2,126,236 Shares (</w:t>
            </w:r>
            <w:r>
              <w:rPr>
                <w:b/>
              </w:rPr>
              <w:t>Pledged Shares</w:t>
            </w:r>
            <w:r>
              <w:rPr/>
              <w:t>) (equivalent to 6,378,708 CDIs) pledged as security for the New Loan.</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Alex Haro will retain legal title to the Pledged Shares.</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Unless earlier repaid, on the New Loan maturity date Alex Haro is required to repay the New Loan in cash.</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Name of registered holder (if issued securities)</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N/A</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Date of change</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29 June 2023</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No. and class of securities to which interest related prior to change</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N/A</w:t>
            </w:r>
          </w:p>
        </w:tc>
      </w:tr>
      <w:tr>
        <w:trPr/>
        <w:tc>
          <w:tcPr>
            <w:tcW w:w="3872" w:type="dxa"/>
            <w:tcBorders/>
          </w:tcPr>
          <w:p>
            <w:pPr>
              <w:pStyle w:val="TableContents"/>
              <w:bidi w:val="0"/>
              <w:spacing w:before="0" w:after="283"/>
              <w:jc w:val="left"/>
              <w:rPr/>
            </w:pPr>
            <w:r>
              <w:rPr/>
              <w:t>Note: Details are only required for a contract in relation to which the interest has changed</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sz w:val="4"/>
                <w:szCs w:val="4"/>
              </w:rPr>
            </w:pPr>
            <w:r>
              <w:rPr>
                <w:sz w:val="4"/>
                <w:szCs w:val="4"/>
              </w:rPr>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Interest acquired</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N/A</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Interest disposed</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Up to 2,126,236 Shares (equivalent to 6,378,708 CDIs).</w:t>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Value/Consideration</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N/A</w:t>
            </w:r>
          </w:p>
        </w:tc>
      </w:tr>
      <w:tr>
        <w:trPr/>
        <w:tc>
          <w:tcPr>
            <w:tcW w:w="3872" w:type="dxa"/>
            <w:tcBorders/>
          </w:tcPr>
          <w:p>
            <w:pPr>
              <w:pStyle w:val="TableContents"/>
              <w:bidi w:val="0"/>
              <w:spacing w:before="0" w:after="283"/>
              <w:jc w:val="left"/>
              <w:rPr/>
            </w:pPr>
            <w:r>
              <w:rPr/>
              <w:t>Note: If consideration is non-cash, provide details and an estimated valuation</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sz w:val="4"/>
                <w:szCs w:val="4"/>
              </w:rPr>
            </w:pPr>
            <w:r>
              <w:rPr>
                <w:sz w:val="4"/>
                <w:szCs w:val="4"/>
              </w:rPr>
            </w:r>
          </w:p>
        </w:tc>
      </w:tr>
      <w:tr>
        <w:trPr>
          <w:trHeight w:val="120" w:hRule="atLeast"/>
        </w:trPr>
        <w:tc>
          <w:tcPr>
            <w:tcW w:w="3872" w:type="dxa"/>
            <w:tcBorders/>
            <w:vAlign w:val="center"/>
          </w:tcPr>
          <w:p>
            <w:pPr>
              <w:pStyle w:val="TableContents"/>
              <w:bidi w:val="0"/>
              <w:spacing w:before="0" w:after="283"/>
              <w:jc w:val="left"/>
              <w:rPr>
                <w:sz w:val="4"/>
                <w:szCs w:val="4"/>
              </w:rPr>
            </w:pPr>
            <w:r>
              <w:rPr>
                <w:sz w:val="4"/>
                <w:szCs w:val="4"/>
              </w:rPr>
            </w:r>
          </w:p>
        </w:tc>
        <w:tc>
          <w:tcPr>
            <w:tcW w:w="6333" w:type="dxa"/>
            <w:gridSpan w:val="2"/>
            <w:tcBorders/>
            <w:vAlign w:val="center"/>
          </w:tcPr>
          <w:p>
            <w:pPr>
              <w:pStyle w:val="TableContents"/>
              <w:bidi w:val="0"/>
              <w:spacing w:before="0" w:after="283"/>
              <w:jc w:val="left"/>
              <w:rPr>
                <w:sz w:val="4"/>
                <w:szCs w:val="4"/>
              </w:rPr>
            </w:pPr>
            <w:r>
              <w:rPr>
                <w:sz w:val="4"/>
                <w:szCs w:val="4"/>
              </w:rPr>
            </w:r>
          </w:p>
        </w:tc>
      </w:tr>
      <w:tr>
        <w:trPr/>
        <w:tc>
          <w:tcPr>
            <w:tcW w:w="3872" w:type="dxa"/>
            <w:tcBorders/>
          </w:tcPr>
          <w:p>
            <w:pPr>
              <w:pStyle w:val="TableContents"/>
              <w:bidi w:val="0"/>
              <w:spacing w:before="0" w:after="283"/>
              <w:jc w:val="left"/>
              <w:rPr>
                <w:b/>
              </w:rPr>
            </w:pPr>
            <w:r>
              <w:rPr>
                <w:b/>
              </w:rPr>
              <w:t>Interest after change</w:t>
            </w:r>
          </w:p>
        </w:tc>
        <w:tc>
          <w:tcPr>
            <w:tcW w:w="120" w:type="dxa"/>
            <w:tcBorders/>
            <w:vAlign w:val="bottom"/>
          </w:tcPr>
          <w:p>
            <w:pPr>
              <w:pStyle w:val="TableContents"/>
              <w:bidi w:val="0"/>
              <w:spacing w:before="0" w:after="283"/>
              <w:jc w:val="left"/>
              <w:rPr/>
            </w:pPr>
            <w:r>
              <w:rPr/>
              <w:t>  </w:t>
            </w:r>
          </w:p>
        </w:tc>
        <w:tc>
          <w:tcPr>
            <w:tcW w:w="6213"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left"/>
              <w:rPr/>
            </w:pPr>
            <w:r>
              <w:rPr/>
              <w:t>Appendix 3Y Page 2</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right"/>
              <w:rPr/>
            </w:pPr>
            <w:r>
              <w:rPr/>
              <w:t>01/01/2011</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Part 3  </w:t>
      </w:r>
      <w:r>
        <w:rPr>
          <w:rFonts w:ascii="Times New Roman" w:hAnsi="Times New Roman"/>
          <w:sz w:val="20"/>
        </w:rPr>
        <w:t>+</w:t>
      </w:r>
      <w:r>
        <w:rPr>
          <w:rFonts w:ascii="Times New Roman" w:hAnsi="Times New Roman"/>
          <w:b/>
          <w:sz w:val="20"/>
        </w:rPr>
        <w:t xml:space="preserve">Closed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6"/>
        <w:gridCol w:w="127"/>
        <w:gridCol w:w="3332"/>
      </w:tblGrid>
      <w:tr>
        <w:trPr/>
        <w:tc>
          <w:tcPr>
            <w:tcW w:w="674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283"/>
              <w:jc w:val="left"/>
              <w:rPr>
                <w:b/>
              </w:rPr>
            </w:pPr>
            <w:r>
              <w:rPr>
                <w:b/>
              </w:rPr>
              <w:t>Were the interests in the securities or contracts detailed above traded during a + closed period where prior written clearance was required?</w:t>
            </w:r>
          </w:p>
        </w:tc>
        <w:tc>
          <w:tcPr>
            <w:tcW w:w="127"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No</w:t>
            </w:r>
          </w:p>
        </w:tc>
      </w:tr>
      <w:tr>
        <w:trPr>
          <w:trHeight w:val="120" w:hRule="atLeast"/>
        </w:trPr>
        <w:tc>
          <w:tcPr>
            <w:tcW w:w="6746" w:type="dxa"/>
            <w:tcBorders/>
            <w:vAlign w:val="center"/>
          </w:tcPr>
          <w:p>
            <w:pPr>
              <w:pStyle w:val="TableContents"/>
              <w:bidi w:val="0"/>
              <w:spacing w:before="0" w:after="283"/>
              <w:jc w:val="left"/>
              <w:rPr>
                <w:sz w:val="4"/>
                <w:szCs w:val="4"/>
              </w:rPr>
            </w:pPr>
            <w:r>
              <w:rPr>
                <w:sz w:val="4"/>
                <w:szCs w:val="4"/>
              </w:rPr>
            </w:r>
          </w:p>
        </w:tc>
        <w:tc>
          <w:tcPr>
            <w:tcW w:w="3459" w:type="dxa"/>
            <w:gridSpan w:val="2"/>
            <w:tcBorders/>
            <w:vAlign w:val="center"/>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283"/>
              <w:jc w:val="left"/>
              <w:rPr>
                <w:b/>
              </w:rPr>
            </w:pPr>
            <w:r>
              <w:rPr>
                <w:b/>
              </w:rPr>
              <w:t>If so, was prior written clearance provided to allow the trade to proceed during this period?</w:t>
            </w:r>
          </w:p>
        </w:tc>
        <w:tc>
          <w:tcPr>
            <w:tcW w:w="127"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N/A</w:t>
            </w:r>
          </w:p>
        </w:tc>
      </w:tr>
      <w:tr>
        <w:trPr>
          <w:trHeight w:val="120" w:hRule="atLeast"/>
        </w:trPr>
        <w:tc>
          <w:tcPr>
            <w:tcW w:w="6746" w:type="dxa"/>
            <w:tcBorders/>
            <w:vAlign w:val="center"/>
          </w:tcPr>
          <w:p>
            <w:pPr>
              <w:pStyle w:val="TableContents"/>
              <w:bidi w:val="0"/>
              <w:spacing w:before="0" w:after="283"/>
              <w:jc w:val="left"/>
              <w:rPr>
                <w:sz w:val="4"/>
                <w:szCs w:val="4"/>
              </w:rPr>
            </w:pPr>
            <w:r>
              <w:rPr>
                <w:sz w:val="4"/>
                <w:szCs w:val="4"/>
              </w:rPr>
            </w:r>
          </w:p>
        </w:tc>
        <w:tc>
          <w:tcPr>
            <w:tcW w:w="3459" w:type="dxa"/>
            <w:gridSpan w:val="2"/>
            <w:tcBorders/>
            <w:vAlign w:val="center"/>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283"/>
              <w:jc w:val="left"/>
              <w:rPr>
                <w:b/>
              </w:rPr>
            </w:pPr>
            <w:r>
              <w:rPr>
                <w:b/>
              </w:rPr>
              <w:t>If prior written clearance was provided, on what date was this provided?</w:t>
            </w:r>
          </w:p>
        </w:tc>
        <w:tc>
          <w:tcPr>
            <w:tcW w:w="127"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200" w:after="0"/>
        <w:jc w:val="left"/>
        <w:rPr>
          <w:rFonts w:ascii="Times New Roman" w:hAnsi="Times New Roman"/>
          <w:sz w:val="20"/>
        </w:rPr>
      </w:pPr>
      <w:r>
        <w:rPr>
          <w:rFonts w:ascii="Times New Roman" w:hAnsi="Times New Roman"/>
          <w:sz w:val="20"/>
        </w:rPr>
        <w:t xml:space="preserve">01/01/2011 Appendix 3Y Page 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3511</Words>
  <Characters>17938</Characters>
  <CharactersWithSpaces>21439</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