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7"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0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0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7043420" cy="68586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3420" cy="6858635"/>
                    </a:xfrm>
                    <a:prstGeom prst="rect">
                      <a:avLst/>
                    </a:prstGeom>
                    <a:noFill/>
                  </pic:spPr>
                </pic:pic>
              </a:graphicData>
            </a:graphic>
          </wp:anchor>
        </w:drawing>
      </w:r>
    </w:p>
    <w:p>
      <w:pPr>
        <w:spacing w:after="0" w:line="90" w:lineRule="exact"/>
        <w:rPr>
          <w:sz w:val="24"/>
          <w:szCs w:val="24"/>
          <w:color w:val="auto"/>
        </w:rPr>
      </w:pPr>
    </w:p>
    <w:p>
      <w:pPr>
        <w:sectPr>
          <w:pgSz w:w="11900" w:h="16859" w:orient="portrait"/>
          <w:cols w:equalWidth="0" w:num="2">
            <w:col w:w="2240" w:space="440"/>
            <w:col w:w="8320"/>
          </w:cols>
          <w:pgMar w:left="460" w:top="226" w:right="43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Synge James</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LIFE360,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1900 SOUTH NORFOLK STREET, SUITE 310</w:t>
      </w:r>
    </w:p>
    <w:p>
      <w:pPr>
        <w:spacing w:after="0" w:line="31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SAN MATEO</w:t>
            </w:r>
          </w:p>
        </w:tc>
        <w:tc>
          <w:tcPr>
            <w:tcW w:w="920" w:type="dxa"/>
            <w:vAlign w:val="bottom"/>
          </w:tcPr>
          <w:p>
            <w:pPr>
              <w:ind w:left="120"/>
              <w:spacing w:after="0"/>
              <w:rPr>
                <w:sz w:val="20"/>
                <w:szCs w:val="20"/>
                <w:color w:val="auto"/>
              </w:rPr>
            </w:pPr>
            <w:r>
              <w:rPr>
                <w:rFonts w:ascii="Arial" w:cs="Arial" w:eastAsia="Arial" w:hAnsi="Arial"/>
                <w:sz w:val="18"/>
                <w:szCs w:val="18"/>
                <w:color w:val="0000FF"/>
              </w:rPr>
              <w:t>CA</w:t>
            </w:r>
          </w:p>
        </w:tc>
        <w:tc>
          <w:tcPr>
            <w:tcW w:w="1600" w:type="dxa"/>
            <w:vAlign w:val="bottom"/>
          </w:tcPr>
          <w:p>
            <w:pPr>
              <w:ind w:left="420"/>
              <w:spacing w:after="0"/>
              <w:rPr>
                <w:sz w:val="20"/>
                <w:szCs w:val="20"/>
                <w:color w:val="auto"/>
              </w:rPr>
            </w:pPr>
            <w:r>
              <w:rPr>
                <w:rFonts w:ascii="Arial" w:cs="Arial" w:eastAsia="Arial" w:hAnsi="Arial"/>
                <w:sz w:val="18"/>
                <w:szCs w:val="18"/>
                <w:color w:val="0000FF"/>
              </w:rPr>
              <w:t>94403</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12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Life360,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LIFX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6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00" w:type="dxa"/>
            <w:vAlign w:val="bottom"/>
            <w:tcBorders>
              <w:bottom w:val="single" w:sz="8" w:color="0000EE"/>
            </w:tcBorders>
          </w:tcPr>
          <w:p>
            <w:pPr>
              <w:spacing w:after="0"/>
              <w:rPr>
                <w:sz w:val="3"/>
                <w:szCs w:val="3"/>
                <w:color w:val="auto"/>
              </w:rPr>
            </w:pPr>
          </w:p>
        </w:tc>
        <w:tc>
          <w:tcPr>
            <w:tcW w:w="2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26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1200" w:type="dxa"/>
            <w:vAlign w:val="bottom"/>
            <w:gridSpan w:val="3"/>
          </w:tcPr>
          <w:p>
            <w:pPr>
              <w:ind w:left="80"/>
              <w:spacing w:after="0"/>
              <w:rPr>
                <w:sz w:val="20"/>
                <w:szCs w:val="20"/>
                <w:color w:val="auto"/>
              </w:rPr>
            </w:pPr>
            <w:r>
              <w:rPr>
                <w:rFonts w:ascii="Arial" w:cs="Arial" w:eastAsia="Arial" w:hAnsi="Arial"/>
                <w:sz w:val="18"/>
                <w:szCs w:val="18"/>
                <w:color w:val="0000FF"/>
              </w:rPr>
              <w:t>05/30/2023</w:t>
            </w:r>
          </w:p>
        </w:tc>
        <w:tc>
          <w:tcPr>
            <w:tcW w:w="2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26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26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59" w:orient="portrait"/>
          <w:cols w:equalWidth="0" w:num="2">
            <w:col w:w="3760" w:space="80"/>
            <w:col w:w="7160"/>
          </w:cols>
          <w:pgMar w:left="460" w:top="226" w:right="439" w:bottom="0"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48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tcPr>
          <w:p>
            <w:pPr>
              <w:ind w:left="7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tcPr>
          <w:p>
            <w:pPr>
              <w:ind w:left="1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176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1760" w:type="dxa"/>
            <w:vAlign w:val="bottom"/>
          </w:tcPr>
          <w:p>
            <w:pPr>
              <w:ind w:left="70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and 5)</w:t>
            </w: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1000" w:type="dxa"/>
            <w:vAlign w:val="bottom"/>
          </w:tcPr>
          <w:p>
            <w:pPr>
              <w:ind w:left="160"/>
              <w:spacing w:after="0" w:line="136" w:lineRule="exact"/>
              <w:rPr>
                <w:sz w:val="20"/>
                <w:szCs w:val="20"/>
                <w:color w:val="auto"/>
              </w:rPr>
            </w:pPr>
            <w:r>
              <w:rPr>
                <w:rFonts w:ascii="Arial" w:cs="Arial" w:eastAsia="Arial" w:hAnsi="Arial"/>
                <w:sz w:val="12"/>
                <w:szCs w:val="12"/>
                <w:b w:val="1"/>
                <w:bCs w:val="1"/>
                <w:color w:val="auto"/>
              </w:rPr>
              <w:t>(D) or</w:t>
            </w:r>
          </w:p>
        </w:tc>
        <w:tc>
          <w:tcPr>
            <w:tcW w:w="78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1000" w:type="dxa"/>
            <w:vAlign w:val="bottom"/>
          </w:tcPr>
          <w:p>
            <w:pPr>
              <w:ind w:left="160"/>
              <w:spacing w:after="0" w:line="136" w:lineRule="exact"/>
              <w:rPr>
                <w:sz w:val="20"/>
                <w:szCs w:val="20"/>
                <w:color w:val="auto"/>
              </w:rPr>
            </w:pPr>
            <w:r>
              <w:rPr>
                <w:rFonts w:ascii="Arial" w:cs="Arial" w:eastAsia="Arial" w:hAnsi="Arial"/>
                <w:sz w:val="12"/>
                <w:szCs w:val="12"/>
                <w:b w:val="1"/>
                <w:bCs w:val="1"/>
                <w:color w:val="auto"/>
              </w:rPr>
              <w:t>Indirect (I)</w:t>
            </w:r>
          </w:p>
        </w:tc>
        <w:tc>
          <w:tcPr>
            <w:tcW w:w="78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4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10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1000" w:type="dxa"/>
            <w:vAlign w:val="bottom"/>
          </w:tcPr>
          <w:p>
            <w:pPr>
              <w:ind w:left="160"/>
              <w:spacing w:after="0" w:line="136" w:lineRule="exact"/>
              <w:rPr>
                <w:sz w:val="20"/>
                <w:szCs w:val="20"/>
                <w:color w:val="auto"/>
              </w:rPr>
            </w:pPr>
            <w:r>
              <w:rPr>
                <w:rFonts w:ascii="Arial" w:cs="Arial" w:eastAsia="Arial" w:hAnsi="Arial"/>
                <w:sz w:val="12"/>
                <w:szCs w:val="12"/>
                <w:b w:val="1"/>
                <w:bCs w:val="1"/>
                <w:color w:val="auto"/>
              </w:rPr>
              <w:t>(Instr. 4)</w:t>
            </w:r>
          </w:p>
        </w:tc>
        <w:tc>
          <w:tcPr>
            <w:tcW w:w="78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48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vMerge w:val="restart"/>
          </w:tcPr>
          <w:p>
            <w:pPr>
              <w:ind w:left="120"/>
              <w:spacing w:after="0"/>
              <w:rPr>
                <w:sz w:val="20"/>
                <w:szCs w:val="20"/>
                <w:color w:val="auto"/>
              </w:rPr>
            </w:pPr>
            <w:r>
              <w:rPr>
                <w:rFonts w:ascii="Arial" w:cs="Arial" w:eastAsia="Arial" w:hAnsi="Arial"/>
                <w:sz w:val="12"/>
                <w:szCs w:val="12"/>
                <w:b w:val="1"/>
                <w:bCs w:val="1"/>
                <w:color w:val="auto"/>
              </w:rPr>
              <w:t>(A) or</w:t>
            </w:r>
          </w:p>
        </w:tc>
        <w:tc>
          <w:tcPr>
            <w:tcW w:w="62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100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4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4"/>
                <w:szCs w:val="14"/>
                <w:color w:val="auto"/>
              </w:rPr>
            </w:pPr>
          </w:p>
        </w:tc>
        <w:tc>
          <w:tcPr>
            <w:tcW w:w="620" w:type="dxa"/>
            <w:vAlign w:val="bottom"/>
          </w:tcPr>
          <w:p>
            <w:pPr>
              <w:jc w:val="right"/>
              <w:ind w:right="166"/>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480" w:type="dxa"/>
            <w:vAlign w:val="bottom"/>
            <w:tcBorders>
              <w:bottom w:val="single" w:sz="8" w:color="2C2C2C"/>
            </w:tcBorders>
          </w:tcPr>
          <w:p>
            <w:pPr>
              <w:spacing w:after="0"/>
              <w:rPr>
                <w:sz w:val="15"/>
                <w:szCs w:val="15"/>
                <w:color w:val="auto"/>
              </w:rPr>
            </w:pPr>
          </w:p>
        </w:tc>
        <w:tc>
          <w:tcPr>
            <w:tcW w:w="176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10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24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760" w:type="dxa"/>
            <w:vAlign w:val="bottom"/>
            <w:tcBorders>
              <w:bottom w:val="single" w:sz="8" w:color="2C2C2C"/>
            </w:tcBorders>
          </w:tcPr>
          <w:p>
            <w:pPr>
              <w:jc w:val="right"/>
              <w:ind w:right="112"/>
              <w:spacing w:after="0"/>
              <w:rPr>
                <w:sz w:val="20"/>
                <w:szCs w:val="20"/>
                <w:color w:val="auto"/>
              </w:rPr>
            </w:pPr>
            <w:r>
              <w:rPr>
                <w:rFonts w:ascii="Arial" w:cs="Arial" w:eastAsia="Arial" w:hAnsi="Arial"/>
                <w:sz w:val="18"/>
                <w:szCs w:val="18"/>
                <w:color w:val="0000FF"/>
              </w:rPr>
              <w:t>05/30/2023</w:t>
            </w:r>
          </w:p>
        </w:tc>
        <w:tc>
          <w:tcPr>
            <w:tcW w:w="1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A</w:t>
            </w: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95"/>
              </w:rPr>
              <w:t>9,508</w:t>
            </w:r>
            <w:r>
              <w:rPr>
                <w:rFonts w:ascii="Arial" w:cs="Arial" w:eastAsia="Arial" w:hAnsi="Arial"/>
                <w:sz w:val="22"/>
                <w:szCs w:val="22"/>
                <w:color w:val="008000"/>
                <w:w w:val="95"/>
                <w:vertAlign w:val="superscript"/>
              </w:rPr>
              <w:t>(1)</w:t>
            </w:r>
          </w:p>
        </w:tc>
        <w:tc>
          <w:tcPr>
            <w:tcW w:w="5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tcPr>
          <w:p>
            <w:pPr>
              <w:jc w:val="right"/>
              <w:ind w:right="1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511,323</w:t>
            </w:r>
            <w:r>
              <w:rPr>
                <w:rFonts w:ascii="Arial" w:cs="Arial" w:eastAsia="Arial" w:hAnsi="Arial"/>
                <w:sz w:val="22"/>
                <w:szCs w:val="22"/>
                <w:color w:val="008000"/>
                <w:w w:val="84"/>
                <w:vertAlign w:val="superscript"/>
              </w:rPr>
              <w:t>(2)</w:t>
            </w:r>
          </w:p>
        </w:tc>
        <w:tc>
          <w:tcPr>
            <w:tcW w:w="100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4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80" w:type="dxa"/>
            <w:vAlign w:val="bottom"/>
          </w:tcPr>
          <w:p>
            <w:pPr>
              <w:ind w:left="80"/>
              <w:spacing w:after="0"/>
              <w:rPr>
                <w:sz w:val="20"/>
                <w:szCs w:val="20"/>
                <w:color w:val="auto"/>
              </w:rPr>
            </w:pPr>
            <w:r>
              <w:rPr>
                <w:rFonts w:ascii="Arial" w:cs="Arial" w:eastAsia="Arial" w:hAnsi="Arial"/>
                <w:sz w:val="18"/>
                <w:szCs w:val="18"/>
                <w:color w:val="0000FF"/>
              </w:rPr>
              <w:t>Held by</w:t>
            </w:r>
          </w:p>
        </w:tc>
        <w:tc>
          <w:tcPr>
            <w:tcW w:w="0" w:type="dxa"/>
            <w:vAlign w:val="bottom"/>
          </w:tcPr>
          <w:p>
            <w:pPr>
              <w:spacing w:after="0"/>
              <w:rPr>
                <w:sz w:val="1"/>
                <w:szCs w:val="1"/>
                <w:color w:val="auto"/>
              </w:rPr>
            </w:pPr>
          </w:p>
        </w:tc>
      </w:tr>
      <w:tr>
        <w:trPr>
          <w:trHeight w:val="216"/>
        </w:trPr>
        <w:tc>
          <w:tcPr>
            <w:tcW w:w="248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vMerge w:val="restart"/>
          </w:tcPr>
          <w:p>
            <w:pPr>
              <w:jc w:val="center"/>
              <w:spacing w:after="0"/>
              <w:rPr>
                <w:sz w:val="20"/>
                <w:szCs w:val="20"/>
                <w:color w:val="auto"/>
              </w:rPr>
            </w:pPr>
            <w:r>
              <w:rPr>
                <w:rFonts w:ascii="Arial" w:cs="Arial" w:eastAsia="Arial" w:hAnsi="Arial"/>
                <w:sz w:val="18"/>
                <w:szCs w:val="18"/>
                <w:color w:val="0000FF"/>
                <w:w w:val="84"/>
              </w:rPr>
              <w:t>64,379</w:t>
            </w:r>
            <w:r>
              <w:rPr>
                <w:rFonts w:ascii="Arial" w:cs="Arial" w:eastAsia="Arial" w:hAnsi="Arial"/>
                <w:sz w:val="22"/>
                <w:szCs w:val="22"/>
                <w:color w:val="008000"/>
                <w:w w:val="84"/>
                <w:vertAlign w:val="superscript"/>
              </w:rPr>
              <w:t>(3)</w:t>
            </w:r>
          </w:p>
        </w:tc>
        <w:tc>
          <w:tcPr>
            <w:tcW w:w="1000" w:type="dxa"/>
            <w:vAlign w:val="bottom"/>
            <w:vMerge w:val="restart"/>
          </w:tcPr>
          <w:p>
            <w:pPr>
              <w:ind w:left="520"/>
              <w:spacing w:after="0"/>
              <w:rPr>
                <w:sz w:val="20"/>
                <w:szCs w:val="20"/>
                <w:color w:val="auto"/>
              </w:rPr>
            </w:pPr>
            <w:r>
              <w:rPr>
                <w:rFonts w:ascii="Arial" w:cs="Arial" w:eastAsia="Arial" w:hAnsi="Arial"/>
                <w:sz w:val="18"/>
                <w:szCs w:val="18"/>
                <w:color w:val="0000FF"/>
              </w:rPr>
              <w:t>I</w:t>
            </w:r>
          </w:p>
        </w:tc>
        <w:tc>
          <w:tcPr>
            <w:tcW w:w="780" w:type="dxa"/>
            <w:vAlign w:val="bottom"/>
          </w:tcPr>
          <w:p>
            <w:pPr>
              <w:ind w:left="80"/>
              <w:spacing w:after="0"/>
              <w:rPr>
                <w:sz w:val="20"/>
                <w:szCs w:val="20"/>
                <w:color w:val="auto"/>
              </w:rPr>
            </w:pPr>
            <w:r>
              <w:rPr>
                <w:rFonts w:ascii="Arial" w:cs="Arial" w:eastAsia="Arial" w:hAnsi="Arial"/>
                <w:sz w:val="18"/>
                <w:szCs w:val="18"/>
                <w:color w:val="0000FF"/>
              </w:rPr>
              <w:t>ICCA</w:t>
            </w:r>
          </w:p>
        </w:tc>
        <w:tc>
          <w:tcPr>
            <w:tcW w:w="0" w:type="dxa"/>
            <w:vAlign w:val="bottom"/>
          </w:tcPr>
          <w:p>
            <w:pPr>
              <w:spacing w:after="0"/>
              <w:rPr>
                <w:sz w:val="1"/>
                <w:szCs w:val="1"/>
                <w:color w:val="auto"/>
              </w:rPr>
            </w:pPr>
          </w:p>
        </w:tc>
      </w:tr>
      <w:tr>
        <w:trPr>
          <w:trHeight w:val="171"/>
        </w:trPr>
        <w:tc>
          <w:tcPr>
            <w:tcW w:w="2480" w:type="dxa"/>
            <w:vAlign w:val="bottom"/>
            <w:vMerge w:val="continue"/>
          </w:tcPr>
          <w:p>
            <w:pPr>
              <w:spacing w:after="0"/>
              <w:rPr>
                <w:sz w:val="14"/>
                <w:szCs w:val="14"/>
                <w:color w:val="auto"/>
              </w:rPr>
            </w:pPr>
          </w:p>
        </w:tc>
        <w:tc>
          <w:tcPr>
            <w:tcW w:w="1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780" w:type="dxa"/>
            <w:vAlign w:val="bottom"/>
            <w:vMerge w:val="restart"/>
          </w:tcPr>
          <w:p>
            <w:pPr>
              <w:ind w:left="80"/>
              <w:spacing w:after="0"/>
              <w:rPr>
                <w:sz w:val="20"/>
                <w:szCs w:val="20"/>
                <w:color w:val="auto"/>
              </w:rPr>
            </w:pPr>
            <w:r>
              <w:rPr>
                <w:rFonts w:ascii="Arial" w:cs="Arial" w:eastAsia="Arial" w:hAnsi="Arial"/>
                <w:sz w:val="18"/>
                <w:szCs w:val="18"/>
                <w:color w:val="0000FF"/>
              </w:rPr>
              <w:t>Labs,</w:t>
            </w:r>
          </w:p>
        </w:tc>
        <w:tc>
          <w:tcPr>
            <w:tcW w:w="0" w:type="dxa"/>
            <w:vAlign w:val="bottom"/>
          </w:tcPr>
          <w:p>
            <w:pPr>
              <w:spacing w:after="0"/>
              <w:rPr>
                <w:sz w:val="1"/>
                <w:szCs w:val="1"/>
                <w:color w:val="auto"/>
              </w:rPr>
            </w:pPr>
          </w:p>
        </w:tc>
      </w:tr>
      <w:tr>
        <w:trPr>
          <w:trHeight w:val="46"/>
        </w:trPr>
        <w:tc>
          <w:tcPr>
            <w:tcW w:w="24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6"/>
        </w:trPr>
        <w:tc>
          <w:tcPr>
            <w:tcW w:w="24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LLC</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262"/>
        </w:trPr>
        <w:tc>
          <w:tcPr>
            <w:tcW w:w="24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80" w:type="dxa"/>
            <w:vAlign w:val="bottom"/>
          </w:tcPr>
          <w:p>
            <w:pPr>
              <w:ind w:left="80"/>
              <w:spacing w:after="0"/>
              <w:rPr>
                <w:sz w:val="20"/>
                <w:szCs w:val="20"/>
                <w:color w:val="auto"/>
              </w:rPr>
            </w:pPr>
            <w:r>
              <w:rPr>
                <w:rFonts w:ascii="Arial" w:cs="Arial" w:eastAsia="Arial" w:hAnsi="Arial"/>
                <w:sz w:val="18"/>
                <w:szCs w:val="18"/>
                <w:color w:val="0000FF"/>
              </w:rPr>
              <w:t>Held by</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ind w:left="80"/>
              <w:spacing w:after="0"/>
              <w:rPr>
                <w:sz w:val="20"/>
                <w:szCs w:val="20"/>
                <w:color w:val="auto"/>
              </w:rPr>
            </w:pPr>
            <w:r>
              <w:rPr>
                <w:rFonts w:ascii="Arial" w:cs="Arial" w:eastAsia="Arial" w:hAnsi="Arial"/>
                <w:sz w:val="18"/>
                <w:szCs w:val="18"/>
                <w:color w:val="0000FF"/>
              </w:rPr>
              <w:t>Stynge</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ind w:left="80"/>
              <w:spacing w:after="0"/>
              <w:rPr>
                <w:sz w:val="20"/>
                <w:szCs w:val="20"/>
                <w:color w:val="auto"/>
              </w:rPr>
            </w:pPr>
            <w:r>
              <w:rPr>
                <w:rFonts w:ascii="Arial" w:cs="Arial" w:eastAsia="Arial" w:hAnsi="Arial"/>
                <w:sz w:val="18"/>
                <w:szCs w:val="18"/>
                <w:color w:val="0000FF"/>
              </w:rPr>
              <w:t>Pty Ltd</w:t>
            </w:r>
          </w:p>
        </w:tc>
        <w:tc>
          <w:tcPr>
            <w:tcW w:w="0" w:type="dxa"/>
            <w:vAlign w:val="bottom"/>
          </w:tcPr>
          <w:p>
            <w:pPr>
              <w:spacing w:after="0"/>
              <w:rPr>
                <w:sz w:val="1"/>
                <w:szCs w:val="1"/>
                <w:color w:val="auto"/>
              </w:rPr>
            </w:pPr>
          </w:p>
        </w:tc>
      </w:tr>
      <w:tr>
        <w:trPr>
          <w:trHeight w:val="216"/>
        </w:trPr>
        <w:tc>
          <w:tcPr>
            <w:tcW w:w="24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jc w:val="center"/>
              <w:spacing w:after="0" w:line="217" w:lineRule="exact"/>
              <w:rPr>
                <w:sz w:val="20"/>
                <w:szCs w:val="20"/>
                <w:color w:val="auto"/>
              </w:rPr>
            </w:pPr>
            <w:r>
              <w:rPr>
                <w:rFonts w:ascii="Arial" w:cs="Arial" w:eastAsia="Arial" w:hAnsi="Arial"/>
                <w:sz w:val="18"/>
                <w:szCs w:val="18"/>
                <w:color w:val="0000FF"/>
                <w:w w:val="84"/>
              </w:rPr>
              <w:t>70,573</w:t>
            </w:r>
            <w:r>
              <w:rPr>
                <w:rFonts w:ascii="Arial" w:cs="Arial" w:eastAsia="Arial" w:hAnsi="Arial"/>
                <w:sz w:val="22"/>
                <w:szCs w:val="22"/>
                <w:color w:val="008000"/>
                <w:w w:val="84"/>
                <w:vertAlign w:val="superscript"/>
              </w:rPr>
              <w:t>(5)</w:t>
            </w:r>
          </w:p>
        </w:tc>
        <w:tc>
          <w:tcPr>
            <w:tcW w:w="1000" w:type="dxa"/>
            <w:vAlign w:val="bottom"/>
          </w:tcPr>
          <w:p>
            <w:pPr>
              <w:ind w:left="520"/>
              <w:spacing w:after="0"/>
              <w:rPr>
                <w:sz w:val="20"/>
                <w:szCs w:val="20"/>
                <w:color w:val="auto"/>
              </w:rPr>
            </w:pPr>
            <w:r>
              <w:rPr>
                <w:rFonts w:ascii="Arial" w:cs="Arial" w:eastAsia="Arial" w:hAnsi="Arial"/>
                <w:sz w:val="18"/>
                <w:szCs w:val="18"/>
                <w:color w:val="0000FF"/>
              </w:rPr>
              <w:t>I</w:t>
            </w:r>
          </w:p>
        </w:tc>
        <w:tc>
          <w:tcPr>
            <w:tcW w:w="780" w:type="dxa"/>
            <w:vAlign w:val="bottom"/>
          </w:tcPr>
          <w:p>
            <w:pPr>
              <w:ind w:left="80"/>
              <w:spacing w:after="0"/>
              <w:rPr>
                <w:sz w:val="20"/>
                <w:szCs w:val="20"/>
                <w:color w:val="auto"/>
              </w:rPr>
            </w:pPr>
            <w:r>
              <w:rPr>
                <w:rFonts w:ascii="Arial" w:cs="Arial" w:eastAsia="Arial" w:hAnsi="Arial"/>
                <w:sz w:val="18"/>
                <w:szCs w:val="18"/>
                <w:color w:val="0000FF"/>
              </w:rPr>
              <w:t>ATF</w:t>
            </w:r>
          </w:p>
        </w:tc>
        <w:tc>
          <w:tcPr>
            <w:tcW w:w="0" w:type="dxa"/>
            <w:vAlign w:val="bottom"/>
          </w:tcPr>
          <w:p>
            <w:pPr>
              <w:spacing w:after="0"/>
              <w:rPr>
                <w:sz w:val="1"/>
                <w:szCs w:val="1"/>
                <w:color w:val="auto"/>
              </w:rPr>
            </w:pPr>
          </w:p>
        </w:tc>
      </w:tr>
      <w:tr>
        <w:trPr>
          <w:trHeight w:val="223"/>
        </w:trPr>
        <w:tc>
          <w:tcPr>
            <w:tcW w:w="24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tcPr>
          <w:p>
            <w:pPr>
              <w:ind w:left="80"/>
              <w:spacing w:after="0"/>
              <w:rPr>
                <w:sz w:val="20"/>
                <w:szCs w:val="20"/>
                <w:color w:val="auto"/>
              </w:rPr>
            </w:pPr>
            <w:r>
              <w:rPr>
                <w:rFonts w:ascii="Arial" w:cs="Arial" w:eastAsia="Arial" w:hAnsi="Arial"/>
                <w:sz w:val="18"/>
                <w:szCs w:val="18"/>
                <w:color w:val="0000FF"/>
              </w:rPr>
              <w:t>Sandy</w:t>
            </w:r>
          </w:p>
        </w:tc>
        <w:tc>
          <w:tcPr>
            <w:tcW w:w="0" w:type="dxa"/>
            <w:vAlign w:val="bottom"/>
          </w:tcPr>
          <w:p>
            <w:pPr>
              <w:spacing w:after="0"/>
              <w:rPr>
                <w:sz w:val="1"/>
                <w:szCs w:val="1"/>
                <w:color w:val="auto"/>
              </w:rPr>
            </w:pPr>
          </w:p>
        </w:tc>
      </w:tr>
    </w:tbl>
    <w:p>
      <w:pPr>
        <w:ind w:left="10260"/>
        <w:spacing w:after="0"/>
        <w:rPr>
          <w:sz w:val="20"/>
          <w:szCs w:val="20"/>
          <w:color w:val="auto"/>
        </w:rPr>
      </w:pPr>
      <w:r>
        <w:rPr>
          <w:rFonts w:ascii="Arial" w:cs="Arial" w:eastAsia="Arial" w:hAnsi="Arial"/>
          <w:sz w:val="18"/>
          <w:szCs w:val="18"/>
          <w:color w:val="0000FF"/>
        </w:rPr>
        <w:t>Bay</w:t>
      </w:r>
    </w:p>
    <w:p>
      <w:pPr>
        <w:spacing w:after="0" w:line="9" w:lineRule="exact"/>
        <w:rPr>
          <w:sz w:val="24"/>
          <w:szCs w:val="24"/>
          <w:color w:val="auto"/>
        </w:rPr>
      </w:pPr>
    </w:p>
    <w:p>
      <w:pPr>
        <w:ind w:left="102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(6)</w:t>
      </w:r>
    </w:p>
    <w:p>
      <w:pPr>
        <w:spacing w:after="0" w:line="10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6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(Instr. 4)</w:t>
            </w:r>
          </w:p>
        </w:tc>
      </w:tr>
      <w:tr>
        <w:trPr>
          <w:trHeight w:val="135"/>
        </w:trPr>
        <w:tc>
          <w:tcPr>
            <w:tcW w:w="66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8"/>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4"/>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8"/>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4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grant of Restricted Stock Units ("RSUs"). Each RSU represents a contingent right to receive one share of the Issuer's common stock upon settlement. 1/4th of the RSUs will vest quarterly from May 15, 2023, subject to the Reporting Person's continuous service through each such date.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10,654 restricted stock units, each of which represents a contingent right to receive one share of the Issuer's common stock upon vesting.</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of the Issuer's common stock underlying 193,137 CDIs.</w:t>
      </w:r>
    </w:p>
    <w:p>
      <w:pPr>
        <w:spacing w:after="0" w:line="41" w:lineRule="exact"/>
        <w:rPr>
          <w:rFonts w:ascii="Arial" w:cs="Arial" w:eastAsia="Arial" w:hAnsi="Arial"/>
          <w:sz w:val="14"/>
          <w:szCs w:val="14"/>
          <w:color w:val="008000"/>
        </w:rPr>
      </w:pPr>
    </w:p>
    <w:p>
      <w:pPr>
        <w:ind w:left="40" w:right="180" w:firstLine="9"/>
        <w:spacing w:after="0" w:line="288"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has shared investment control over Carthona Capital FS Pty Ltd. ("Carthona Capital"). Carthona Capital is a member of ICCA Labs, LLC, an entity that holds an aggregate of 133,408 shares of the Issuer's common stock underlying 400,224 CDIs. The number of shares reported herein represents Carthona Capital's proportionate ownership interest in ICCA Labs, LLC. The Reporting Person disclaims beneficial ownership of these securities except to the extent of his pecuniary interest therein.</w:t>
      </w:r>
    </w:p>
    <w:p>
      <w:pPr>
        <w:spacing w:after="0" w:line="3"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of the Issuer's common stock underlying 211,720 CDIs.</w:t>
      </w:r>
    </w:p>
    <w:p>
      <w:pPr>
        <w:spacing w:after="0" w:line="41" w:lineRule="exact"/>
        <w:rPr>
          <w:rFonts w:ascii="Arial" w:cs="Arial" w:eastAsia="Arial" w:hAnsi="Arial"/>
          <w:sz w:val="14"/>
          <w:szCs w:val="14"/>
          <w:color w:val="008000"/>
        </w:rPr>
      </w:pPr>
    </w:p>
    <w:p>
      <w:pPr>
        <w:ind w:left="40" w:right="400" w:firstLine="9"/>
        <w:spacing w:after="0" w:line="239"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has shared investment control of Stynge Pty Ltd ATF Sandy Bay Trust. The Reporting Person disclaims beneficial ownership of these securities except to the extent of his pecuniary interest therein.</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6540" w:type="dxa"/>
            <w:vAlign w:val="bottom"/>
          </w:tcPr>
          <w:p>
            <w:pPr>
              <w:spacing w:after="0"/>
              <w:rPr>
                <w:sz w:val="18"/>
                <w:szCs w:val="18"/>
                <w:color w:val="auto"/>
              </w:rPr>
            </w:pPr>
          </w:p>
        </w:tc>
        <w:tc>
          <w:tcPr>
            <w:tcW w:w="208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9"/>
              </w:rPr>
              <w:t>/s/ Jay Sood, Attorney-in-fact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6"/>
              </w:rPr>
              <w:t>06/01/2023</w:t>
            </w:r>
          </w:p>
        </w:tc>
      </w:tr>
      <w:tr>
        <w:trPr>
          <w:trHeight w:val="236"/>
        </w:trPr>
        <w:tc>
          <w:tcPr>
            <w:tcW w:w="6540" w:type="dxa"/>
            <w:vAlign w:val="bottom"/>
          </w:tcPr>
          <w:p>
            <w:pPr>
              <w:spacing w:after="0"/>
              <w:rPr>
                <w:sz w:val="20"/>
                <w:szCs w:val="20"/>
                <w:color w:val="auto"/>
              </w:rPr>
            </w:pPr>
          </w:p>
        </w:tc>
        <w:tc>
          <w:tcPr>
            <w:tcW w:w="214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4"/>
                <w:szCs w:val="14"/>
                <w:color w:val="auto"/>
              </w:rPr>
              <w:t>Date</w:t>
            </w:r>
          </w:p>
        </w:tc>
      </w:tr>
      <w:tr>
        <w:trPr>
          <w:trHeight w:val="203"/>
        </w:trPr>
        <w:tc>
          <w:tcPr>
            <w:tcW w:w="8680" w:type="dxa"/>
            <w:vAlign w:val="bottom"/>
            <w:gridSpan w:val="3"/>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8680" w:type="dxa"/>
            <w:vAlign w:val="bottom"/>
            <w:gridSpan w:val="3"/>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8680" w:type="dxa"/>
            <w:vAlign w:val="bottom"/>
            <w:gridSpan w:val="3"/>
          </w:tcPr>
          <w:p>
            <w:pPr>
              <w:spacing w:after="0"/>
              <w:rPr>
                <w:sz w:val="20"/>
                <w:szCs w:val="20"/>
                <w:color w:val="auto"/>
              </w:rPr>
            </w:pPr>
            <w:r>
              <w:rPr>
                <w:rFonts w:ascii="Arial" w:cs="Arial" w:eastAsia="Arial" w:hAnsi="Arial"/>
                <w:sz w:val="14"/>
                <w:szCs w:val="14"/>
                <w:color w:val="auto"/>
              </w:rPr>
              <w:t xml:space="preserve">** 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w:t>
            </w: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8680" w:type="dxa"/>
            <w:vAlign w:val="bottom"/>
            <w:gridSpan w:val="3"/>
          </w:tcPr>
          <w:p>
            <w:pPr>
              <w:spacing w:after="0"/>
              <w:rPr>
                <w:sz w:val="20"/>
                <w:szCs w:val="20"/>
                <w:color w:val="auto"/>
              </w:rPr>
            </w:pPr>
            <w:r>
              <w:rPr>
                <w:rFonts w:ascii="Arial" w:cs="Arial" w:eastAsia="Arial" w:hAnsi="Arial"/>
                <w:sz w:val="14"/>
                <w:szCs w:val="14"/>
                <w:color w:val="auto"/>
              </w:rPr>
              <w:t xml:space="preserve">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ectPr>
          <w:pgSz w:w="11900" w:h="16859" w:orient="portrait"/>
          <w:cols w:equalWidth="0" w:num="1">
            <w:col w:w="11000"/>
          </w:cols>
          <w:pgMar w:left="460" w:top="226" w:right="43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500" w:top="136" w:right="10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932661" TargetMode="External"/><Relationship Id="rId13"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2023-06-01T17:02:46Z</dcterms:created>
  <dcterms:modified xsi:type="dcterms:W3CDTF">2023-06-01T17:02:46Z</dcterms:modified>
</cp:coreProperties>
</file>