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946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jc w:val="center"/>
              <w:ind w:right="2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04/01/2026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4,000</w:t>
            </w:r>
          </w:p>
        </w:tc>
        <w:tc>
          <w:tcPr>
            <w:tcW w:w="1320" w:type="dxa"/>
            <w:vAlign w:val="bottom"/>
            <w:gridSpan w:val="2"/>
          </w:tcPr>
          <w:p>
            <w:pPr>
              <w:jc w:val="center"/>
              <w:ind w:left="111"/>
              <w:spacing w:after="0" w:line="213" w:lineRule="exact"/>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41.32</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36,431</w:t>
            </w:r>
            <w:r>
              <w:rPr>
                <w:rFonts w:ascii="Times New Roman" w:cs="Times New Roman" w:eastAsia="Times New Roman" w:hAnsi="Times New Roman"/>
                <w:sz w:val="22"/>
                <w:szCs w:val="22"/>
                <w:color w:val="008000"/>
                <w:w w:val="97"/>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7"/>
                <w:vertAlign w:val="subscript"/>
              </w:rPr>
              <w:t>836</w:t>
            </w:r>
            <w:r>
              <w:rPr>
                <w:rFonts w:ascii="Times New Roman" w:cs="Times New Roman" w:eastAsia="Times New Roman" w:hAnsi="Times New Roman"/>
                <w:sz w:val="11"/>
                <w:szCs w:val="11"/>
                <w:color w:val="008000"/>
                <w:w w:val="87"/>
              </w:rPr>
              <w:t>(3)(4)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55,494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$41.13 to $41.53,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35,366 directly held shares to the John Coghlan Living Trust, which transfer was exempt from Section 16 pursuant to Rule 16a-13 under the Securities Exchange Act of 1934, as amended (the "Exchange Act").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836 restricted stock units,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2026-04-03T15:46:47Z</dcterms:created>
  <dcterms:modified xsi:type="dcterms:W3CDTF">2026-04-03T15:46:47Z</dcterms:modified>
</cp:coreProperties>
</file>