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Antonoff Lauren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03/28/2025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5,500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38.38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312,302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previously reported restricted stock units ("RSUs"). The sale was to satisfy tax withholding obligations to be funded by a "sell-to-cover" transaction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210,875 RSUs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03/31/2025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202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2025-03-31T18:06:35Z</dcterms:created>
  <dcterms:modified xsi:type="dcterms:W3CDTF">2025-03-31T18:06:35Z</dcterms:modified>
</cp:coreProperties>
</file>