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5524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552440"/>
                    </a:xfrm>
                    <a:prstGeom prst="rect">
                      <a:avLst/>
                    </a:prstGeom>
                    <a:noFill/>
                  </pic:spPr>
                </pic:pic>
              </a:graphicData>
            </a:graphic>
          </wp:anchor>
        </w:drawing>
      </w:r>
    </w:p>
    <w:p>
      <w:pPr>
        <w:sectPr>
          <w:pgSz w:w="11900" w:h="16838" w:orient="portrait"/>
          <w:cols w:equalWidth="0" w:num="1">
            <w:col w:w="10940"/>
          </w:cols>
          <w:pgMar w:left="480" w:top="230" w:right="479" w:bottom="71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Goines Mark</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06/27/2022</w:t>
            </w:r>
          </w:p>
        </w:tc>
        <w:tc>
          <w:tcPr>
            <w:tcW w:w="0" w:type="dxa"/>
            <w:vAlign w:val="bottom"/>
          </w:tcPr>
          <w:p>
            <w:pPr>
              <w:spacing w:after="0"/>
              <w:rPr>
                <w:sz w:val="1"/>
                <w:szCs w:val="1"/>
                <w:color w:val="auto"/>
              </w:rPr>
            </w:pPr>
          </w:p>
        </w:tc>
      </w:tr>
    </w:tbl>
    <w:p>
      <w:pPr>
        <w:spacing w:after="0" w:line="150"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60" w:type="dxa"/>
            <w:vAlign w:val="bottom"/>
          </w:tcPr>
          <w:p>
            <w:pPr>
              <w:ind w:left="280"/>
              <w:spacing w:after="0"/>
              <w:rPr>
                <w:sz w:val="20"/>
                <w:szCs w:val="20"/>
                <w:color w:val="auto"/>
              </w:rPr>
            </w:pPr>
            <w:r>
              <w:rPr>
                <w:rFonts w:ascii="Arial" w:cs="Arial" w:eastAsia="Arial" w:hAnsi="Arial"/>
                <w:sz w:val="15"/>
                <w:szCs w:val="15"/>
                <w:color w:val="auto"/>
              </w:rPr>
              <w:t>(First)</w:t>
            </w:r>
          </w:p>
        </w:tc>
        <w:tc>
          <w:tcPr>
            <w:tcW w:w="1260" w:type="dxa"/>
            <w:vAlign w:val="bottom"/>
          </w:tcPr>
          <w:p>
            <w:pPr>
              <w:jc w:val="center"/>
              <w:ind w:right="114"/>
              <w:spacing w:after="0"/>
              <w:rPr>
                <w:sz w:val="20"/>
                <w:szCs w:val="20"/>
                <w:color w:val="auto"/>
              </w:rPr>
            </w:pPr>
            <w:r>
              <w:rPr>
                <w:rFonts w:ascii="Arial" w:cs="Arial" w:eastAsia="Arial" w:hAnsi="Arial"/>
                <w:sz w:val="15"/>
                <w:szCs w:val="15"/>
                <w:color w:val="auto"/>
                <w:w w:val="99"/>
              </w:rPr>
              <w:t>(Middle)</w:t>
            </w:r>
          </w:p>
        </w:tc>
      </w:tr>
      <w:tr>
        <w:trPr>
          <w:trHeight w:val="310"/>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LIFE360, INC.</w:t>
            </w:r>
          </w:p>
        </w:tc>
        <w:tc>
          <w:tcPr>
            <w:tcW w:w="126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539 BRYANT STREET, SUITE 402</w:t>
            </w:r>
          </w:p>
        </w:tc>
      </w:tr>
      <w:tr>
        <w:trPr>
          <w:trHeight w:val="177"/>
        </w:trPr>
        <w:tc>
          <w:tcPr>
            <w:tcW w:w="7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7"/>
        </w:trPr>
        <w:tc>
          <w:tcPr>
            <w:tcW w:w="78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0000FF"/>
              </w:rPr>
              <w:t>SAN</w:t>
            </w: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515"/>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 xml:space="preserve">FRANCISCO </w:t>
            </w:r>
            <w:r>
              <w:rPr>
                <w:rFonts w:ascii="Times New Roman" w:cs="Times New Roman" w:eastAsia="Times New Roman" w:hAnsi="Times New Roman"/>
                <w:sz w:val="39"/>
                <w:szCs w:val="39"/>
                <w:color w:val="0000FF"/>
                <w:vertAlign w:val="superscript"/>
              </w:rPr>
              <w:t>CA</w:t>
            </w:r>
          </w:p>
        </w:tc>
        <w:tc>
          <w:tcPr>
            <w:tcW w:w="1260" w:type="dxa"/>
            <w:vAlign w:val="bottom"/>
          </w:tcPr>
          <w:p>
            <w:pPr>
              <w:jc w:val="right"/>
              <w:ind w:right="394"/>
              <w:spacing w:after="0"/>
              <w:rPr>
                <w:sz w:val="20"/>
                <w:szCs w:val="20"/>
                <w:color w:val="auto"/>
              </w:rPr>
            </w:pPr>
            <w:r>
              <w:rPr>
                <w:rFonts w:ascii="Times New Roman" w:cs="Times New Roman" w:eastAsia="Times New Roman" w:hAnsi="Times New Roman"/>
                <w:sz w:val="20"/>
                <w:szCs w:val="20"/>
                <w:color w:val="0000FF"/>
              </w:rPr>
              <w:t>94107</w:t>
            </w: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Life360,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360.AX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398" w:lineRule="exact"/>
        <w:rPr>
          <w:sz w:val="24"/>
          <w:szCs w:val="24"/>
          <w:color w:val="auto"/>
        </w:rPr>
      </w:pPr>
    </w:p>
    <w:p>
      <w:pPr>
        <w:sectPr>
          <w:pgSz w:w="11900" w:h="16838" w:orient="portrait"/>
          <w:cols w:equalWidth="0" w:num="2">
            <w:col w:w="4720" w:space="280"/>
            <w:col w:w="5940"/>
          </w:cols>
          <w:pgMar w:left="480" w:top="230" w:right="479" w:bottom="715"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920" w:type="dxa"/>
            <w:vAlign w:val="bottom"/>
          </w:tcPr>
          <w:p>
            <w:pPr>
              <w:ind w:left="20"/>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4)</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(I) (Instr. 5)</w:t>
            </w: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tcPr>
          <w:p>
            <w:pPr>
              <w:jc w:val="center"/>
              <w:ind w:right="497"/>
              <w:spacing w:after="0"/>
              <w:rPr>
                <w:sz w:val="20"/>
                <w:szCs w:val="20"/>
                <w:color w:val="auto"/>
              </w:rPr>
            </w:pPr>
            <w:r>
              <w:rPr>
                <w:rFonts w:ascii="Times New Roman" w:cs="Times New Roman" w:eastAsia="Times New Roman" w:hAnsi="Times New Roman"/>
                <w:sz w:val="20"/>
                <w:szCs w:val="20"/>
                <w:color w:val="0000FF"/>
              </w:rPr>
              <w:t>52,900</w:t>
            </w:r>
            <w:r>
              <w:rPr>
                <w:rFonts w:ascii="Times New Roman" w:cs="Times New Roman" w:eastAsia="Times New Roman" w:hAnsi="Times New Roman"/>
                <w:sz w:val="25"/>
                <w:szCs w:val="25"/>
                <w:color w:val="008000"/>
                <w:vertAlign w:val="superscript"/>
              </w:rPr>
              <w:t>(1)</w:t>
            </w:r>
          </w:p>
        </w:tc>
        <w:tc>
          <w:tcPr>
            <w:tcW w:w="78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20"/>
                <w:szCs w:val="20"/>
                <w:color w:val="0000FF"/>
                <w:w w:val="96"/>
              </w:rPr>
              <w:t>D</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20" w:type="dxa"/>
            <w:vAlign w:val="bottom"/>
            <w:vMerge w:val="restart"/>
          </w:tcPr>
          <w:p>
            <w:pPr>
              <w:jc w:val="center"/>
              <w:ind w:right="437"/>
              <w:spacing w:after="0"/>
              <w:rPr>
                <w:sz w:val="20"/>
                <w:szCs w:val="20"/>
                <w:color w:val="auto"/>
              </w:rPr>
            </w:pPr>
            <w:r>
              <w:rPr>
                <w:rFonts w:ascii="Times New Roman" w:cs="Times New Roman" w:eastAsia="Times New Roman" w:hAnsi="Times New Roman"/>
                <w:sz w:val="20"/>
                <w:szCs w:val="20"/>
                <w:color w:val="0000FF"/>
              </w:rPr>
              <w:t>187,589</w:t>
            </w:r>
            <w:r>
              <w:rPr>
                <w:rFonts w:ascii="Times New Roman" w:cs="Times New Roman" w:eastAsia="Times New Roman" w:hAnsi="Times New Roman"/>
                <w:sz w:val="25"/>
                <w:szCs w:val="25"/>
                <w:color w:val="008000"/>
                <w:vertAlign w:val="superscript"/>
              </w:rPr>
              <w:t>(2)</w:t>
            </w:r>
          </w:p>
        </w:tc>
        <w:tc>
          <w:tcPr>
            <w:tcW w:w="780" w:type="dxa"/>
            <w:vAlign w:val="bottom"/>
            <w:gridSpan w:val="2"/>
            <w:vMerge w:val="restart"/>
          </w:tcPr>
          <w:p>
            <w:pPr>
              <w:ind w:left="660"/>
              <w:spacing w:after="0"/>
              <w:rPr>
                <w:sz w:val="20"/>
                <w:szCs w:val="20"/>
                <w:color w:val="auto"/>
              </w:rPr>
            </w:pPr>
            <w:r>
              <w:rPr>
                <w:rFonts w:ascii="Times New Roman" w:cs="Times New Roman" w:eastAsia="Times New Roman" w:hAnsi="Times New Roman"/>
                <w:sz w:val="20"/>
                <w:szCs w:val="20"/>
                <w:color w:val="0000FF"/>
              </w:rPr>
              <w:t>I</w:t>
            </w:r>
          </w:p>
        </w:tc>
        <w:tc>
          <w:tcPr>
            <w:tcW w:w="58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Held by the Goines Wong Living</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2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Trust</w:t>
            </w:r>
          </w:p>
        </w:tc>
        <w:tc>
          <w:tcPr>
            <w:tcW w:w="8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620" w:type="dxa"/>
            <w:vAlign w:val="bottom"/>
            <w:tcBorders>
              <w:bottom w:val="single" w:sz="8" w:color="2C2C2C"/>
            </w:tcBorders>
            <w:gridSpan w:val="2"/>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08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4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26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14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420" w:type="dxa"/>
            <w:vAlign w:val="bottom"/>
          </w:tcPr>
          <w:p>
            <w:pPr>
              <w:spacing w:after="0"/>
              <w:rPr>
                <w:sz w:val="18"/>
                <w:szCs w:val="18"/>
                <w:color w:val="auto"/>
              </w:rPr>
            </w:pPr>
          </w:p>
        </w:tc>
        <w:tc>
          <w:tcPr>
            <w:tcW w:w="880" w:type="dxa"/>
            <w:vAlign w:val="bottom"/>
          </w:tcPr>
          <w:p>
            <w:pPr>
              <w:ind w:left="2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14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88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9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(Instr. 4)</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88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w w:val="98"/>
              </w:rPr>
              <w:t>Price of</w:t>
            </w:r>
          </w:p>
        </w:tc>
        <w:tc>
          <w:tcPr>
            <w:tcW w:w="420" w:type="dxa"/>
            <w:vAlign w:val="bottom"/>
          </w:tcPr>
          <w:p>
            <w:pPr>
              <w:spacing w:after="0"/>
              <w:rPr>
                <w:sz w:val="7"/>
                <w:szCs w:val="7"/>
                <w:color w:val="auto"/>
              </w:rPr>
            </w:pPr>
          </w:p>
        </w:tc>
        <w:tc>
          <w:tcPr>
            <w:tcW w:w="88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5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0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88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88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Number</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20" w:type="dxa"/>
            <w:vAlign w:val="bottom"/>
          </w:tcPr>
          <w:p>
            <w:pPr>
              <w:jc w:val="center"/>
              <w:ind w:left="5"/>
              <w:spacing w:after="0" w:line="165" w:lineRule="exact"/>
              <w:rPr>
                <w:sz w:val="20"/>
                <w:szCs w:val="20"/>
                <w:color w:val="auto"/>
              </w:rPr>
            </w:pPr>
            <w:r>
              <w:rPr>
                <w:rFonts w:ascii="Arial" w:cs="Arial" w:eastAsia="Arial" w:hAnsi="Arial"/>
                <w:sz w:val="15"/>
                <w:szCs w:val="15"/>
                <w:b w:val="1"/>
                <w:bCs w:val="1"/>
                <w:color w:val="auto"/>
              </w:rPr>
              <w:t>Expiration</w:t>
            </w:r>
          </w:p>
        </w:tc>
        <w:tc>
          <w:tcPr>
            <w:tcW w:w="192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2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920" w:type="dxa"/>
            <w:vAlign w:val="bottom"/>
          </w:tcPr>
          <w:p>
            <w:pPr>
              <w:ind w:left="140"/>
              <w:spacing w:after="0"/>
              <w:rPr>
                <w:sz w:val="20"/>
                <w:szCs w:val="20"/>
                <w:color w:val="auto"/>
              </w:rPr>
            </w:pPr>
            <w:r>
              <w:rPr>
                <w:rFonts w:ascii="Arial" w:cs="Arial" w:eastAsia="Arial" w:hAnsi="Arial"/>
                <w:sz w:val="15"/>
                <w:szCs w:val="15"/>
                <w:b w:val="1"/>
                <w:bCs w:val="1"/>
                <w:color w:val="auto"/>
              </w:rPr>
              <w:t>Title</w:t>
            </w:r>
          </w:p>
        </w:tc>
        <w:tc>
          <w:tcPr>
            <w:tcW w:w="780" w:type="dxa"/>
            <w:vAlign w:val="bottom"/>
            <w:gridSpan w:val="2"/>
          </w:tcPr>
          <w:p>
            <w:pPr>
              <w:ind w:left="80"/>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20" w:type="dxa"/>
            <w:vAlign w:val="bottom"/>
          </w:tcPr>
          <w:p>
            <w:pPr>
              <w:jc w:val="center"/>
              <w:ind w:left="5"/>
              <w:spacing w:after="0"/>
              <w:rPr>
                <w:sz w:val="20"/>
                <w:szCs w:val="20"/>
                <w:color w:val="auto"/>
              </w:rPr>
            </w:pPr>
            <w:r>
              <w:rPr>
                <w:rFonts w:ascii="Times New Roman" w:cs="Times New Roman" w:eastAsia="Times New Roman" w:hAnsi="Times New Roman"/>
                <w:sz w:val="15"/>
                <w:szCs w:val="15"/>
                <w:color w:val="0000FF"/>
              </w:rPr>
              <w:t>04/29/2031</w:t>
            </w:r>
          </w:p>
        </w:tc>
        <w:tc>
          <w:tcPr>
            <w:tcW w:w="1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Common Stock</w:t>
            </w:r>
          </w:p>
        </w:tc>
        <w:tc>
          <w:tcPr>
            <w:tcW w:w="74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12,101</w:t>
            </w:r>
          </w:p>
        </w:tc>
        <w:tc>
          <w:tcPr>
            <w:tcW w:w="40" w:type="dxa"/>
            <w:vAlign w:val="bottom"/>
          </w:tcPr>
          <w:p>
            <w:pPr>
              <w:spacing w:after="0"/>
              <w:rPr>
                <w:sz w:val="24"/>
                <w:szCs w:val="24"/>
                <w:color w:val="auto"/>
              </w:rPr>
            </w:pPr>
          </w:p>
        </w:tc>
        <w:tc>
          <w:tcPr>
            <w:tcW w:w="1000" w:type="dxa"/>
            <w:vAlign w:val="bottom"/>
            <w:gridSpan w:val="2"/>
          </w:tcPr>
          <w:p>
            <w:pPr>
              <w:jc w:val="right"/>
              <w:ind w:right="254"/>
              <w:spacing w:after="0"/>
              <w:rPr>
                <w:sz w:val="20"/>
                <w:szCs w:val="20"/>
                <w:color w:val="auto"/>
              </w:rPr>
            </w:pPr>
            <w:r>
              <w:rPr>
                <w:rFonts w:ascii="Times New Roman" w:cs="Times New Roman" w:eastAsia="Times New Roman" w:hAnsi="Times New Roman"/>
                <w:sz w:val="20"/>
                <w:szCs w:val="20"/>
                <w:color w:val="0000FF"/>
              </w:rPr>
              <w:t>13.35</w:t>
            </w:r>
          </w:p>
        </w:tc>
        <w:tc>
          <w:tcPr>
            <w:tcW w:w="88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20" w:type="dxa"/>
            <w:vAlign w:val="bottom"/>
          </w:tcPr>
          <w:p>
            <w:pPr>
              <w:jc w:val="center"/>
              <w:ind w:left="5"/>
              <w:spacing w:after="0"/>
              <w:rPr>
                <w:sz w:val="20"/>
                <w:szCs w:val="20"/>
                <w:color w:val="auto"/>
              </w:rPr>
            </w:pPr>
            <w:r>
              <w:rPr>
                <w:rFonts w:ascii="Times New Roman" w:cs="Times New Roman" w:eastAsia="Times New Roman" w:hAnsi="Times New Roman"/>
                <w:sz w:val="15"/>
                <w:szCs w:val="15"/>
                <w:color w:val="0000FF"/>
              </w:rPr>
              <w:t>05/20/2032</w:t>
            </w:r>
          </w:p>
        </w:tc>
        <w:tc>
          <w:tcPr>
            <w:tcW w:w="1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Common Stock</w:t>
            </w:r>
          </w:p>
        </w:tc>
        <w:tc>
          <w:tcPr>
            <w:tcW w:w="74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15,921</w:t>
            </w:r>
          </w:p>
        </w:tc>
        <w:tc>
          <w:tcPr>
            <w:tcW w:w="40" w:type="dxa"/>
            <w:vAlign w:val="bottom"/>
          </w:tcPr>
          <w:p>
            <w:pPr>
              <w:spacing w:after="0"/>
              <w:rPr>
                <w:sz w:val="24"/>
                <w:szCs w:val="24"/>
                <w:color w:val="auto"/>
              </w:rPr>
            </w:pPr>
          </w:p>
        </w:tc>
        <w:tc>
          <w:tcPr>
            <w:tcW w:w="1000" w:type="dxa"/>
            <w:vAlign w:val="bottom"/>
            <w:gridSpan w:val="2"/>
          </w:tcPr>
          <w:p>
            <w:pPr>
              <w:jc w:val="right"/>
              <w:ind w:right="294"/>
              <w:spacing w:after="0"/>
              <w:rPr>
                <w:sz w:val="20"/>
                <w:szCs w:val="20"/>
                <w:color w:val="auto"/>
              </w:rPr>
            </w:pPr>
            <w:r>
              <w:rPr>
                <w:rFonts w:ascii="Times New Roman" w:cs="Times New Roman" w:eastAsia="Times New Roman" w:hAnsi="Times New Roman"/>
                <w:sz w:val="20"/>
                <w:szCs w:val="20"/>
                <w:color w:val="0000FF"/>
              </w:rPr>
              <w:t>8.19</w:t>
            </w:r>
          </w:p>
        </w:tc>
        <w:tc>
          <w:tcPr>
            <w:tcW w:w="88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4,617 restricted stock units, each of which represents a contingent right to receive one share of the Issuer's common stock upon vesting.</w:t>
      </w:r>
    </w:p>
    <w:p>
      <w:pPr>
        <w:spacing w:after="0" w:line="52" w:lineRule="exact"/>
        <w:rPr>
          <w:rFonts w:ascii="Times New Roman" w:cs="Times New Roman" w:eastAsia="Times New Roman" w:hAnsi="Times New Roman"/>
          <w:sz w:val="15"/>
          <w:szCs w:val="15"/>
          <w:color w:val="008000"/>
        </w:rPr>
      </w:pPr>
    </w:p>
    <w:p>
      <w:pPr>
        <w:ind w:left="40" w:right="60" w:firstLine="5"/>
        <w:spacing w:after="0" w:line="259"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shares of the Issuer's common stock underlying 562,767 Chess Depositary Interests ("CDIs"). The CDIs are traded on the Australian Securities Exchange (the "ASX") and are held by CHESS Depositary Nominees Pty, Limited, a subsidiary of ASX Limited, the company that operates the ASX.</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is fully vested and exercisable.</w:t>
      </w:r>
    </w:p>
    <w:p>
      <w:pPr>
        <w:spacing w:after="0" w:line="52" w:lineRule="exact"/>
        <w:rPr>
          <w:rFonts w:ascii="Times New Roman" w:cs="Times New Roman" w:eastAsia="Times New Roman" w:hAnsi="Times New Roman"/>
          <w:sz w:val="15"/>
          <w:szCs w:val="15"/>
          <w:color w:val="008000"/>
        </w:rPr>
      </w:pPr>
    </w:p>
    <w:p>
      <w:pPr>
        <w:ind w:left="40" w:right="380" w:firstLine="5"/>
        <w:spacing w:after="0" w:line="259"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vests and becomes exercisable as to 1/4th of the total number of shares in equal quarterly installments beginning on August 15, 2022, until such time as the option is 100% vested, subject to the continuing service of the Reporting Person on each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Daniel Menudier,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06/27/2022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8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3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715"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right="839" w:firstLine="819"/>
        <w:spacing w:after="0" w:line="238" w:lineRule="auto"/>
        <w:rPr>
          <w:sz w:val="20"/>
          <w:szCs w:val="20"/>
          <w:color w:val="auto"/>
        </w:rPr>
      </w:pPr>
      <w:r>
        <w:rPr>
          <w:rFonts w:ascii="Courier New" w:cs="Courier New" w:eastAsia="Courier New" w:hAnsi="Courier New"/>
          <w:sz w:val="20"/>
          <w:szCs w:val="20"/>
          <w:color w:val="auto"/>
        </w:rPr>
        <w:t>The undersigned as a Section 16 reporting person of Life360, Inc. (the "Company"), hereby constitutes and appoints Russell J. Burke, Kirsten Daru and Daniel Menudier, and each of them, the undersigned's true and lawful attorney-in-fact to:</w:t>
      </w:r>
    </w:p>
    <w:p>
      <w:pPr>
        <w:ind w:left="460" w:hanging="460"/>
        <w:spacing w:after="0"/>
        <w:tabs>
          <w:tab w:leader="none" w:pos="460"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deliver and file for and on behalf of the undersigned, in the</w:t>
      </w:r>
    </w:p>
    <w:p>
      <w:pPr>
        <w:ind w:right="83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undersigned's capacity as an officer and/or director of the Company, Forms 3, 4, and 5 in accordance with Section 16(a) of the Exchange Act;</w:t>
      </w:r>
    </w:p>
    <w:p>
      <w:pPr>
        <w:ind w:right="739"/>
        <w:spacing w:after="0" w:line="264" w:lineRule="auto"/>
        <w:tabs>
          <w:tab w:leader="none" w:pos="46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w:t>
      </w:r>
    </w:p>
    <w:p>
      <w:pPr>
        <w:spacing w:after="0" w:line="3" w:lineRule="exact"/>
        <w:rPr>
          <w:rFonts w:ascii="Courier New" w:cs="Courier New" w:eastAsia="Courier New" w:hAnsi="Courier New"/>
          <w:sz w:val="18"/>
          <w:szCs w:val="18"/>
          <w:color w:val="auto"/>
        </w:rPr>
      </w:pPr>
    </w:p>
    <w:p>
      <w:pPr>
        <w:ind w:right="619"/>
        <w:spacing w:after="0" w:line="238" w:lineRule="auto"/>
        <w:tabs>
          <w:tab w:leader="none" w:pos="468"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2" w:lineRule="exact"/>
        <w:rPr>
          <w:rFonts w:ascii="Courier New" w:cs="Courier New" w:eastAsia="Courier New" w:hAnsi="Courier New"/>
          <w:sz w:val="20"/>
          <w:szCs w:val="20"/>
          <w:color w:val="auto"/>
        </w:rPr>
      </w:pPr>
    </w:p>
    <w:p>
      <w:pPr>
        <w:ind w:right="619"/>
        <w:spacing w:after="0" w:line="238" w:lineRule="auto"/>
        <w:tabs>
          <w:tab w:leader="none" w:pos="468"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 w:lineRule="exact"/>
        <w:rPr>
          <w:rFonts w:ascii="Courier New" w:cs="Courier New" w:eastAsia="Courier New" w:hAnsi="Courier New"/>
          <w:sz w:val="20"/>
          <w:szCs w:val="20"/>
          <w:color w:val="auto"/>
        </w:rPr>
      </w:pPr>
    </w:p>
    <w:p>
      <w:pPr>
        <w:ind w:right="619" w:firstLine="8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The undersigned further acknowledges and agrees that the attorney-in-fact and the Company are relying on written and oral information provided by the undersigned to complete such forms and the undersigned is responsible for reviewing the completed forms prior to their filing. The attorney-in-fact and the Company are not responsible for any errors or omissions in such filings. The attorney-in-fact and the Company are not responsible for determining whether or not the transactions reported could be matched with any other transactions for the purpose of determining liability for short-swing profits under Section 16(b).</w:t>
      </w:r>
    </w:p>
    <w:p>
      <w:pPr>
        <w:spacing w:after="0" w:line="9" w:lineRule="exact"/>
        <w:rPr>
          <w:rFonts w:ascii="Courier New" w:cs="Courier New" w:eastAsia="Courier New" w:hAnsi="Courier New"/>
          <w:sz w:val="20"/>
          <w:szCs w:val="20"/>
          <w:color w:val="auto"/>
        </w:rPr>
      </w:pPr>
    </w:p>
    <w:p>
      <w:pPr>
        <w:ind w:right="739" w:firstLine="8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 w:lineRule="exact"/>
        <w:rPr>
          <w:rFonts w:ascii="Courier New" w:cs="Courier New" w:eastAsia="Courier New" w:hAnsi="Courier New"/>
          <w:sz w:val="20"/>
          <w:szCs w:val="20"/>
          <w:color w:val="auto"/>
        </w:rPr>
      </w:pPr>
    </w:p>
    <w:p>
      <w:pPr>
        <w:ind w:right="739" w:firstLine="8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5/24/2022.</w:t>
      </w:r>
    </w:p>
    <w:p>
      <w:pPr>
        <w:ind w:right="7879"/>
        <w:spacing w:after="0" w:line="310"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/s/ Mark Goines Name: Mark Goines</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32585" TargetMode="External"/><Relationship Id="rId11"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2022-06-27T18:10:31Z</dcterms:created>
  <dcterms:modified xsi:type="dcterms:W3CDTF">2022-06-27T18:10:31Z</dcterms:modified>
</cp:coreProperties>
</file>