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Life360,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LIF</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LIFE360, INC.</w:t>
            </w:r>
          </w:p>
        </w:tc>
        <w:tc>
          <w:tcPr>
            <w:tcW w:w="1200" w:type="dxa"/>
            <w:vAlign w:val="bottom"/>
          </w:tcPr>
          <w:p>
            <w:pPr>
              <w:spacing w:after="0"/>
              <w:rPr>
                <w:sz w:val="18"/>
                <w:szCs w:val="18"/>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03/10/2025</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94403</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03/10/2025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3.58</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188,065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03/10/2025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3,104</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42.51</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184,961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3.58</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03/10/2025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05/19/2030</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460,514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106,756 restricted stock units previously granted, each of which represents a contingent right to receive one share of the Issuer's common stock upon vesting.</w:t>
      </w:r>
    </w:p>
    <w:p>
      <w:pPr>
        <w:spacing w:after="0" w:line="43" w:lineRule="exact"/>
        <w:rPr>
          <w:rFonts w:ascii="Times New Roman" w:cs="Times New Roman" w:eastAsia="Times New Roman" w:hAnsi="Times New Roman"/>
          <w:sz w:val="13"/>
          <w:szCs w:val="13"/>
          <w:color w:val="008000"/>
        </w:rPr>
      </w:pPr>
    </w:p>
    <w:p>
      <w:pPr>
        <w:ind w:left="40" w:right="28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sale was effected pursuant to a Rule 10b5-1 trading plan adopted by the Reporting Person on September 6, 2024.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$42.25 to $43.00,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as to 1/48th of the total number of shares in equal monthly installments beginning on June 19, 2020, until such time as the option is 100% vested, subject to the continuing employment of the Reporting Person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Allison Chang, Attorney-in-  </w:t>
      </w:r>
      <w:r>
        <w:rPr>
          <w:rFonts w:ascii="Times New Roman" w:cs="Times New Roman" w:eastAsia="Times New Roman" w:hAnsi="Times New Roman"/>
          <w:sz w:val="33"/>
          <w:szCs w:val="33"/>
          <w:color w:val="0000FF"/>
          <w:vertAlign w:val="subscript"/>
        </w:rPr>
        <w:t>03/12/2025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2025-03-12T18:31:06Z</dcterms:created>
  <dcterms:modified xsi:type="dcterms:W3CDTF">2025-03-12T18:31:06Z</dcterms:modified>
</cp:coreProperties>
</file>