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03/06/2026</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03/06/2026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17,153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44.86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288,232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previously reported restricted stock units ("RSUs"). The sale was to satisfy tax withholding obligations to be funded by a "sell-to-cover"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143,367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03/10/2026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2026-03-10T16:51:35Z</dcterms:created>
  <dcterms:modified xsi:type="dcterms:W3CDTF">2026-03-10T16:51:35Z</dcterms:modified>
</cp:coreProperties>
</file>