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93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1222" w:lineRule="exact"/>
        <w:rPr>
          <w:sz w:val="24"/>
          <w:szCs w:val="24"/>
          <w:color w:val="auto"/>
        </w:rPr>
      </w:pPr>
    </w:p>
    <w:p>
      <w:pPr>
        <w:sectPr>
          <w:pgSz w:w="11900" w:h="16840"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Synge James</w:t>
              </w:r>
            </w:hyperlink>
          </w:p>
        </w:tc>
        <w:tc>
          <w:tcPr>
            <w:tcW w:w="8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Life360,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LIF</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4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11/26/2024</w:t>
            </w:r>
          </w:p>
        </w:tc>
        <w:tc>
          <w:tcPr>
            <w:tcW w:w="26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64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1900 SOUTH NORFOLK STREET, SUITE 310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6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40"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40"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11/26/2024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80" w:type="dxa"/>
            <w:vAlign w:val="bottom"/>
            <w:tcBorders>
              <w:bottom w:val="single" w:sz="8" w:color="2C2C2C"/>
            </w:tcBorders>
          </w:tcPr>
          <w:p>
            <w:pPr>
              <w:jc w:val="right"/>
              <w:ind w:right="91"/>
              <w:spacing w:after="0"/>
              <w:rPr>
                <w:sz w:val="20"/>
                <w:szCs w:val="20"/>
                <w:color w:val="auto"/>
              </w:rPr>
            </w:pPr>
            <w:r>
              <w:rPr>
                <w:rFonts w:ascii="Times New Roman" w:cs="Times New Roman" w:eastAsia="Times New Roman" w:hAnsi="Times New Roman"/>
                <w:sz w:val="17"/>
                <w:szCs w:val="17"/>
                <w:color w:val="0000FF"/>
              </w:rPr>
              <w:t>10,723</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3"/>
          </w:tcPr>
          <w:p>
            <w:pPr>
              <w:ind w:left="80"/>
              <w:spacing w:after="0" w:line="319" w:lineRule="exact"/>
              <w:rPr>
                <w:sz w:val="20"/>
                <w:szCs w:val="20"/>
                <w:color w:val="auto"/>
              </w:rPr>
            </w:pPr>
            <w:r>
              <w:rPr>
                <w:rFonts w:ascii="Arial" w:cs="Arial" w:eastAsia="Arial" w:hAnsi="Arial"/>
                <w:sz w:val="34"/>
                <w:szCs w:val="34"/>
                <w:color w:val="000000"/>
                <w:w w:val="89"/>
                <w:vertAlign w:val="subscript"/>
              </w:rPr>
              <w:t>$</w:t>
            </w:r>
            <w:r>
              <w:rPr>
                <w:rFonts w:ascii="Times New Roman" w:cs="Times New Roman" w:eastAsia="Times New Roman" w:hAnsi="Times New Roman"/>
                <w:sz w:val="34"/>
                <w:szCs w:val="34"/>
                <w:color w:val="0000FF"/>
                <w:w w:val="89"/>
                <w:vertAlign w:val="subscript"/>
              </w:rPr>
              <w:t>43.81</w:t>
            </w:r>
            <w:r>
              <w:rPr>
                <w:rFonts w:ascii="Times New Roman" w:cs="Times New Roman" w:eastAsia="Times New Roman" w:hAnsi="Times New Roman"/>
                <w:sz w:val="11"/>
                <w:szCs w:val="11"/>
                <w:color w:val="008000"/>
                <w:w w:val="89"/>
              </w:rPr>
              <w:t>(3)(4)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1"/>
              </w:rPr>
              <w:t>281,221</w:t>
            </w:r>
            <w:r>
              <w:rPr>
                <w:rFonts w:ascii="Times New Roman" w:cs="Times New Roman" w:eastAsia="Times New Roman" w:hAnsi="Times New Roman"/>
                <w:sz w:val="22"/>
                <w:szCs w:val="22"/>
                <w:color w:val="008000"/>
                <w:w w:val="91"/>
                <w:vertAlign w:val="superscript"/>
              </w:rPr>
              <w:t>(5)(6)</w:t>
            </w:r>
          </w:p>
        </w:tc>
        <w:tc>
          <w:tcPr>
            <w:tcW w:w="920" w:type="dxa"/>
            <w:vAlign w:val="bottom"/>
            <w:tcBorders>
              <w:bottom w:val="single" w:sz="8" w:color="2C2C2C"/>
            </w:tcBorders>
          </w:tcPr>
          <w:p>
            <w:pPr>
              <w:jc w:val="center"/>
              <w:ind w:right="3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11/26/2024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80" w:type="dxa"/>
            <w:vAlign w:val="bottom"/>
            <w:tcBorders>
              <w:bottom w:val="single" w:sz="8" w:color="2C2C2C"/>
            </w:tcBorders>
          </w:tcPr>
          <w:p>
            <w:pPr>
              <w:jc w:val="right"/>
              <w:ind w:right="91"/>
              <w:spacing w:after="0"/>
              <w:rPr>
                <w:sz w:val="20"/>
                <w:szCs w:val="20"/>
                <w:color w:val="auto"/>
              </w:rPr>
            </w:pPr>
            <w:r>
              <w:rPr>
                <w:rFonts w:ascii="Times New Roman" w:cs="Times New Roman" w:eastAsia="Times New Roman" w:hAnsi="Times New Roman"/>
                <w:sz w:val="17"/>
                <w:szCs w:val="17"/>
                <w:color w:val="0000FF"/>
              </w:rPr>
              <w:t>14,277</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3"/>
          </w:tcPr>
          <w:p>
            <w:pPr>
              <w:ind w:left="80"/>
              <w:spacing w:after="0" w:line="319" w:lineRule="exact"/>
              <w:rPr>
                <w:sz w:val="20"/>
                <w:szCs w:val="20"/>
                <w:color w:val="auto"/>
              </w:rPr>
            </w:pPr>
            <w:r>
              <w:rPr>
                <w:rFonts w:ascii="Arial" w:cs="Arial" w:eastAsia="Arial" w:hAnsi="Arial"/>
                <w:sz w:val="34"/>
                <w:szCs w:val="34"/>
                <w:color w:val="000000"/>
                <w:w w:val="89"/>
                <w:vertAlign w:val="subscript"/>
              </w:rPr>
              <w:t>$</w:t>
            </w:r>
            <w:r>
              <w:rPr>
                <w:rFonts w:ascii="Times New Roman" w:cs="Times New Roman" w:eastAsia="Times New Roman" w:hAnsi="Times New Roman"/>
                <w:sz w:val="34"/>
                <w:szCs w:val="34"/>
                <w:color w:val="0000FF"/>
                <w:w w:val="89"/>
                <w:vertAlign w:val="subscript"/>
              </w:rPr>
              <w:t>44.63</w:t>
            </w:r>
            <w:r>
              <w:rPr>
                <w:rFonts w:ascii="Times New Roman" w:cs="Times New Roman" w:eastAsia="Times New Roman" w:hAnsi="Times New Roman"/>
                <w:sz w:val="11"/>
                <w:szCs w:val="11"/>
                <w:color w:val="008000"/>
                <w:w w:val="89"/>
              </w:rPr>
              <w:t>(4)(7)</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1"/>
              </w:rPr>
              <w:t>266,944</w:t>
            </w:r>
            <w:r>
              <w:rPr>
                <w:rFonts w:ascii="Times New Roman" w:cs="Times New Roman" w:eastAsia="Times New Roman" w:hAnsi="Times New Roman"/>
                <w:sz w:val="22"/>
                <w:szCs w:val="22"/>
                <w:color w:val="008000"/>
                <w:w w:val="91"/>
                <w:vertAlign w:val="superscript"/>
              </w:rPr>
              <w:t>(5)(6)</w:t>
            </w:r>
          </w:p>
        </w:tc>
        <w:tc>
          <w:tcPr>
            <w:tcW w:w="920" w:type="dxa"/>
            <w:vAlign w:val="bottom"/>
            <w:tcBorders>
              <w:bottom w:val="single" w:sz="8" w:color="2C2C2C"/>
            </w:tcBorders>
          </w:tcPr>
          <w:p>
            <w:pPr>
              <w:jc w:val="center"/>
              <w:ind w:right="3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3,966</w:t>
            </w:r>
            <w:r>
              <w:rPr>
                <w:rFonts w:ascii="Times New Roman" w:cs="Times New Roman" w:eastAsia="Times New Roman" w:hAnsi="Times New Roman"/>
                <w:sz w:val="22"/>
                <w:szCs w:val="22"/>
                <w:color w:val="008000"/>
                <w:w w:val="93"/>
                <w:vertAlign w:val="superscript"/>
              </w:rPr>
              <w:t>(8)</w:t>
            </w:r>
          </w:p>
        </w:tc>
        <w:tc>
          <w:tcPr>
            <w:tcW w:w="92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ICCA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Labs,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being reported on this Form 4 is the sale of Chess Depositary Interests ("CDIs") as converted on a 1:3 common stock to CDI ratio. The CDIs were traded on the Australian Securities Exchange (the "ASX") and were held by CHESS Depositary Nominees Pty, Limited, a subsidiary of ASX Limited, the company that operates the ASX.</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number of common stock equivalent shares underlying the CDIs sold on the ASX.</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$43.34 to $44.33,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3.</w:t>
      </w:r>
    </w:p>
    <w:p>
      <w:pPr>
        <w:spacing w:after="0" w:line="20"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weighted average sale price of the CDIs sold, as converted to USD, by multiplying the amount by 3 based on the 3:1 conversion ratio for CDIs to common stock and multiplying by the exchange rate of 0.6493 in effect at the time of the sale as published by the Reserve Bank of Australia.</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the number of common stock underlying CDIs as converted on a 1:3 common stock to CDI ratio. The CDIs are traded on the ASX and are held by CHESS Depositary Nominees Pty, Limited, a subsidiary of ASX Limited, the company that operates the ASX.</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4,497 restricted stock units, each of which represents a contingent right to receive one share of the Issuer's common stock upon vesting.</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$44.37 to $44.90,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7.</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9, 2024, the Reporting Person filed a Form 4 which inadvertently omitted these indirectly held shares.</w:t>
      </w:r>
    </w:p>
    <w:p>
      <w:pPr>
        <w:spacing w:after="0" w:line="50" w:lineRule="exact"/>
        <w:rPr>
          <w:rFonts w:ascii="Times New Roman" w:cs="Times New Roman" w:eastAsia="Times New Roman" w:hAnsi="Times New Roman"/>
          <w:sz w:val="13"/>
          <w:szCs w:val="13"/>
          <w:color w:val="008000"/>
        </w:rPr>
      </w:pPr>
    </w:p>
    <w:p>
      <w:pPr>
        <w:ind w:left="40" w:right="4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has shared investment control over Carthona Capital FS Pty Ltd. ("Carthona Capital"). Carthona Capital is a member of ICCA Labs, LLC, an entity that holds an aggregate of 8,219 shares of the Issuer's common stock. The number of shares held as reported herein represents Carthona Capital's proportionate ownership interest in ICCA Labs, LLC. The Reporting Person disclaims beneficial ownership of these securities except to the extent of his pecuniary interest therein.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Russell J. Burke, Attorney- </w:t>
      </w:r>
      <w:r>
        <w:rPr>
          <w:rFonts w:ascii="Times New Roman" w:cs="Times New Roman" w:eastAsia="Times New Roman" w:hAnsi="Times New Roman"/>
          <w:sz w:val="34"/>
          <w:szCs w:val="34"/>
          <w:color w:val="0000FF"/>
          <w:vertAlign w:val="subscript"/>
        </w:rPr>
        <w:t>11/27/2024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40" w:orient="portrait"/>
          <w:cols w:equalWidth="0" w:num="1">
            <w:col w:w="11080"/>
          </w:cols>
          <w:pgMar w:left="460" w:top="219" w:right="359" w:bottom="0" w:gutter="0" w:footer="0" w:header="0"/>
          <w:type w:val="continuous"/>
        </w:sectPr>
      </w:pPr>
    </w:p>
    <w:bookmarkStart w:id="1" w:name="page2"/>
    <w:bookmarkEnd w:id="1"/>
    <w:p>
      <w:pPr>
        <w:jc w:val="both"/>
        <w:ind w:right="2480" w:firstLine="7"/>
        <w:spacing w:after="0" w:line="321"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32661"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2024-11-27T17:49:48Z</dcterms:created>
  <dcterms:modified xsi:type="dcterms:W3CDTF">2024-11-27T17:49:48Z</dcterms:modified>
</cp:coreProperties>
</file>