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Prober Charles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05/29/2024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5,792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488,095</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1/4th of the RSUs will vest quarterly from May 15, 2024, subject to the Reporting Person's continuous service through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5,792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the Issuer's common stock underlying 1,445,976 Chess Depositary Interests ("CDIs"). The CDIs are traded on the Australian Securities Exchange (the "ASX") and are held by CHESS Depositary Nominees Pty, Limited, a subsidiary of ASX Limited, the company that operates the ASX</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05/31/2024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6247"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2024-05-31T13:04:39Z</dcterms:created>
  <dcterms:modified xsi:type="dcterms:W3CDTF">2024-05-31T13:04:39Z</dcterms:modified>
</cp:coreProperties>
</file>