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960"/>
        <w:spacing w:after="0"/>
        <w:rPr>
          <w:sz w:val="20"/>
          <w:szCs w:val="20"/>
          <w:color w:val="auto"/>
        </w:rPr>
      </w:pPr>
      <w:r>
        <w:rPr>
          <w:rFonts w:ascii="Arial" w:cs="Arial" w:eastAsia="Arial" w:hAnsi="Arial"/>
          <w:sz w:val="19"/>
          <w:szCs w:val="19"/>
          <w:color w:val="auto"/>
        </w:rPr>
        <w:t>______________</w:t>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0" w:lineRule="exact"/>
        <w:rPr>
          <w:sz w:val="24"/>
          <w:szCs w:val="24"/>
          <w:color w:val="auto"/>
        </w:rPr>
      </w:pPr>
    </w:p>
    <w:p>
      <w:pPr>
        <w:ind w:left="3880" w:right="1540" w:hanging="3854"/>
        <w:spacing w:after="0" w:line="344" w:lineRule="auto"/>
        <w:tabs>
          <w:tab w:leader="none" w:pos="54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48" w:lineRule="exact"/>
        <w:rPr>
          <w:sz w:val="24"/>
          <w:szCs w:val="24"/>
          <w:color w:val="auto"/>
        </w:rPr>
      </w:pPr>
    </w:p>
    <w:p>
      <w:pPr>
        <w:ind w:left="3640" w:right="1600" w:hanging="3614"/>
        <w:spacing w:after="0" w:line="548" w:lineRule="auto"/>
        <w:tabs>
          <w:tab w:leader="none" w:pos="47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000-56424</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Life360,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1380" w:type="dxa"/>
        <w:tblCellMar>
          <w:top w:w="0" w:type="dxa"/>
          <w:left w:w="0" w:type="dxa"/>
          <w:bottom w:w="0" w:type="dxa"/>
          <w:right w:w="0" w:type="dxa"/>
        </w:tblCellMar>
      </w:tblPr>
      <w:tr>
        <w:trPr>
          <w:trHeight w:val="248"/>
        </w:trPr>
        <w:tc>
          <w:tcPr>
            <w:tcW w:w="46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50"/>
              <w:spacing w:after="0"/>
              <w:rPr>
                <w:sz w:val="20"/>
                <w:szCs w:val="20"/>
                <w:color w:val="auto"/>
              </w:rPr>
            </w:pPr>
            <w:r>
              <w:rPr>
                <w:rFonts w:ascii="Arial" w:cs="Arial" w:eastAsia="Arial" w:hAnsi="Arial"/>
                <w:sz w:val="18"/>
                <w:szCs w:val="18"/>
                <w:b w:val="1"/>
                <w:bCs w:val="1"/>
                <w:color w:val="auto"/>
              </w:rPr>
              <w:t>26-0197666</w:t>
            </w:r>
          </w:p>
        </w:tc>
      </w:tr>
      <w:tr>
        <w:trPr>
          <w:trHeight w:val="256"/>
        </w:trPr>
        <w:tc>
          <w:tcPr>
            <w:tcW w:w="4620" w:type="dxa"/>
            <w:vAlign w:val="bottom"/>
          </w:tcPr>
          <w:p>
            <w:pPr>
              <w:jc w:val="center"/>
              <w:ind w:right="1650"/>
              <w:spacing w:after="0"/>
              <w:rPr>
                <w:sz w:val="20"/>
                <w:szCs w:val="20"/>
                <w:color w:val="auto"/>
              </w:rPr>
            </w:pPr>
            <w:r>
              <w:rPr>
                <w:rFonts w:ascii="Arial" w:cs="Arial" w:eastAsia="Arial" w:hAnsi="Arial"/>
                <w:sz w:val="18"/>
                <w:szCs w:val="18"/>
                <w:color w:val="auto"/>
                <w:w w:val="92"/>
              </w:rPr>
              <w:t>(State or other jurisdiction of</w:t>
            </w:r>
          </w:p>
        </w:tc>
        <w:tc>
          <w:tcPr>
            <w:tcW w:w="3100" w:type="dxa"/>
            <w:vAlign w:val="bottom"/>
          </w:tcPr>
          <w:p>
            <w:pPr>
              <w:jc w:val="center"/>
              <w:ind w:left="1670"/>
              <w:spacing w:after="0"/>
              <w:rPr>
                <w:sz w:val="20"/>
                <w:szCs w:val="20"/>
                <w:color w:val="auto"/>
              </w:rPr>
            </w:pPr>
            <w:r>
              <w:rPr>
                <w:rFonts w:ascii="Arial" w:cs="Arial" w:eastAsia="Arial" w:hAnsi="Arial"/>
                <w:sz w:val="18"/>
                <w:szCs w:val="18"/>
                <w:color w:val="auto"/>
                <w:w w:val="92"/>
              </w:rPr>
              <w:t>(I.R.S. Employer</w:t>
            </w:r>
          </w:p>
        </w:tc>
      </w:tr>
      <w:tr>
        <w:trPr>
          <w:trHeight w:val="230"/>
        </w:trPr>
        <w:tc>
          <w:tcPr>
            <w:tcW w:w="4620" w:type="dxa"/>
            <w:vAlign w:val="bottom"/>
          </w:tcPr>
          <w:p>
            <w:pPr>
              <w:jc w:val="center"/>
              <w:ind w:right="1650"/>
              <w:spacing w:after="0"/>
              <w:rPr>
                <w:sz w:val="20"/>
                <w:szCs w:val="20"/>
                <w:color w:val="auto"/>
              </w:rPr>
            </w:pPr>
            <w:r>
              <w:rPr>
                <w:rFonts w:ascii="Arial" w:cs="Arial" w:eastAsia="Arial" w:hAnsi="Arial"/>
                <w:sz w:val="18"/>
                <w:szCs w:val="18"/>
                <w:color w:val="auto"/>
                <w:w w:val="92"/>
              </w:rPr>
              <w:t>incorporation or organization)</w:t>
            </w:r>
          </w:p>
        </w:tc>
        <w:tc>
          <w:tcPr>
            <w:tcW w:w="3100" w:type="dxa"/>
            <w:vAlign w:val="bottom"/>
          </w:tcPr>
          <w:p>
            <w:pPr>
              <w:jc w:val="center"/>
              <w:ind w:left="167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46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1900 South Norfolk Street, Suite 310</w:t>
            </w:r>
          </w:p>
        </w:tc>
        <w:tc>
          <w:tcPr>
            <w:tcW w:w="3100" w:type="dxa"/>
            <w:vAlign w:val="bottom"/>
          </w:tcPr>
          <w:p>
            <w:pPr>
              <w:spacing w:after="0"/>
              <w:rPr>
                <w:sz w:val="24"/>
                <w:szCs w:val="24"/>
                <w:color w:val="auto"/>
              </w:rPr>
            </w:pPr>
          </w:p>
        </w:tc>
      </w:tr>
      <w:tr>
        <w:trPr>
          <w:trHeight w:val="260"/>
        </w:trPr>
        <w:tc>
          <w:tcPr>
            <w:tcW w:w="46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3"/>
              </w:rPr>
              <w:t>San Mateo, CA</w:t>
            </w:r>
          </w:p>
        </w:tc>
        <w:tc>
          <w:tcPr>
            <w:tcW w:w="3100" w:type="dxa"/>
            <w:vAlign w:val="bottom"/>
          </w:tcPr>
          <w:p>
            <w:pPr>
              <w:jc w:val="right"/>
              <w:ind w:right="350"/>
              <w:spacing w:after="0"/>
              <w:rPr>
                <w:sz w:val="20"/>
                <w:szCs w:val="20"/>
                <w:color w:val="auto"/>
              </w:rPr>
            </w:pPr>
            <w:r>
              <w:rPr>
                <w:rFonts w:ascii="Arial" w:cs="Arial" w:eastAsia="Arial" w:hAnsi="Arial"/>
                <w:sz w:val="18"/>
                <w:szCs w:val="18"/>
                <w:b w:val="1"/>
                <w:bCs w:val="1"/>
                <w:color w:val="auto"/>
              </w:rPr>
              <w:t>94403</w:t>
            </w:r>
          </w:p>
        </w:tc>
      </w:tr>
      <w:tr>
        <w:trPr>
          <w:trHeight w:val="244"/>
        </w:trPr>
        <w:tc>
          <w:tcPr>
            <w:tcW w:w="4620" w:type="dxa"/>
            <w:vAlign w:val="bottom"/>
          </w:tcPr>
          <w:p>
            <w:pPr>
              <w:jc w:val="center"/>
              <w:ind w:right="1670"/>
              <w:spacing w:after="0"/>
              <w:rPr>
                <w:sz w:val="20"/>
                <w:szCs w:val="20"/>
                <w:color w:val="auto"/>
              </w:rPr>
            </w:pPr>
            <w:r>
              <w:rPr>
                <w:rFonts w:ascii="Arial" w:cs="Arial" w:eastAsia="Arial" w:hAnsi="Arial"/>
                <w:sz w:val="18"/>
                <w:szCs w:val="18"/>
                <w:color w:val="auto"/>
                <w:w w:val="92"/>
              </w:rPr>
              <w:t>(Address of principal executive offices)</w:t>
            </w:r>
          </w:p>
        </w:tc>
        <w:tc>
          <w:tcPr>
            <w:tcW w:w="3100" w:type="dxa"/>
            <w:vAlign w:val="bottom"/>
          </w:tcPr>
          <w:p>
            <w:pPr>
              <w:jc w:val="center"/>
              <w:ind w:left="1670"/>
              <w:spacing w:after="0"/>
              <w:rPr>
                <w:sz w:val="20"/>
                <w:szCs w:val="20"/>
                <w:color w:val="auto"/>
              </w:rPr>
            </w:pPr>
            <w:r>
              <w:rPr>
                <w:rFonts w:ascii="Arial" w:cs="Arial" w:eastAsia="Arial" w:hAnsi="Arial"/>
                <w:sz w:val="18"/>
                <w:szCs w:val="18"/>
                <w:color w:val="auto"/>
                <w:w w:val="91"/>
              </w:rPr>
              <w:t>(Zip Code)</w:t>
            </w:r>
          </w:p>
        </w:tc>
      </w:tr>
    </w:tbl>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w:t>
      </w:r>
      <w:r>
        <w:rPr>
          <w:rFonts w:ascii="Arial" w:cs="Arial" w:eastAsia="Arial" w:hAnsi="Arial"/>
          <w:sz w:val="18"/>
          <w:szCs w:val="18"/>
          <w:color w:val="auto"/>
        </w:rPr>
        <w:t>415</w:t>
      </w:r>
      <w:r>
        <w:rPr>
          <w:rFonts w:ascii="Arial" w:cs="Arial" w:eastAsia="Arial" w:hAnsi="Arial"/>
          <w:sz w:val="18"/>
          <w:szCs w:val="18"/>
          <w:b w:val="1"/>
          <w:bCs w:val="1"/>
          <w:color w:val="auto"/>
        </w:rPr>
        <w:t xml:space="preserve">) </w:t>
      </w:r>
      <w:r>
        <w:rPr>
          <w:rFonts w:ascii="Arial" w:cs="Arial" w:eastAsia="Arial" w:hAnsi="Arial"/>
          <w:sz w:val="18"/>
          <w:szCs w:val="18"/>
          <w:color w:val="auto"/>
        </w:rPr>
        <w:t>484-5244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Securities Exchange Act of 1934, as amended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None.</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None.</w:t>
            </w:r>
          </w:p>
        </w:tc>
      </w:tr>
    </w:tbl>
    <w:p>
      <w:pPr>
        <w:spacing w:after="0" w:line="25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o</w:t>
      </w:r>
    </w:p>
    <w:p>
      <w:pPr>
        <w:spacing w:after="0" w:line="14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4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97" w:lineRule="exact"/>
        <w:rPr>
          <w:sz w:val="24"/>
          <w:szCs w:val="24"/>
          <w:color w:val="auto"/>
        </w:rPr>
      </w:pPr>
    </w:p>
    <w:tbl>
      <w:tblPr>
        <w:tblLayout w:type="fixed"/>
        <w:tblInd w:w="1400" w:type="dxa"/>
        <w:tblCellMar>
          <w:top w:w="0" w:type="dxa"/>
          <w:left w:w="0" w:type="dxa"/>
          <w:bottom w:w="0" w:type="dxa"/>
          <w:right w:w="0" w:type="dxa"/>
        </w:tblCellMar>
      </w:tblP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80" w:type="dxa"/>
            <w:vAlign w:val="bottom"/>
          </w:tcPr>
          <w:p>
            <w:pPr>
              <w:ind w:left="500"/>
              <w:spacing w:after="0"/>
              <w:rPr>
                <w:sz w:val="20"/>
                <w:szCs w:val="20"/>
                <w:color w:val="auto"/>
              </w:rPr>
            </w:pPr>
            <w:r>
              <w:rPr>
                <w:rFonts w:ascii="Arial" w:cs="Arial" w:eastAsia="Arial" w:hAnsi="Arial"/>
                <w:sz w:val="18"/>
                <w:szCs w:val="18"/>
                <w:color w:val="auto"/>
              </w:rPr>
              <w:t>o</w:t>
            </w:r>
          </w:p>
        </w:tc>
        <w:tc>
          <w:tcPr>
            <w:tcW w:w="3560" w:type="dxa"/>
            <w:vAlign w:val="bottom"/>
          </w:tcPr>
          <w:p>
            <w:pPr>
              <w:ind w:left="10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o</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1680" w:type="dxa"/>
            <w:vAlign w:val="bottom"/>
          </w:tcPr>
          <w:p>
            <w:pPr>
              <w:ind w:left="500"/>
              <w:spacing w:after="0"/>
              <w:rPr>
                <w:sz w:val="20"/>
                <w:szCs w:val="20"/>
                <w:color w:val="auto"/>
              </w:rPr>
            </w:pPr>
            <w:r>
              <w:rPr>
                <w:rFonts w:ascii="Arial" w:cs="Arial" w:eastAsia="Arial" w:hAnsi="Arial"/>
                <w:sz w:val="18"/>
                <w:szCs w:val="18"/>
                <w:color w:val="auto"/>
              </w:rPr>
              <w:t>x</w:t>
            </w:r>
          </w:p>
        </w:tc>
        <w:tc>
          <w:tcPr>
            <w:tcW w:w="3560" w:type="dxa"/>
            <w:vAlign w:val="bottom"/>
          </w:tcPr>
          <w:p>
            <w:pPr>
              <w:ind w:left="10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o</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680" w:type="dxa"/>
            <w:vAlign w:val="bottom"/>
          </w:tcPr>
          <w:p>
            <w:pPr>
              <w:ind w:left="500"/>
              <w:spacing w:after="0"/>
              <w:rPr>
                <w:sz w:val="20"/>
                <w:szCs w:val="20"/>
                <w:color w:val="auto"/>
              </w:rPr>
            </w:pPr>
            <w:r>
              <w:rPr>
                <w:rFonts w:ascii="Arial" w:cs="Arial" w:eastAsia="Arial" w:hAnsi="Arial"/>
                <w:sz w:val="18"/>
                <w:szCs w:val="18"/>
                <w:color w:val="auto"/>
              </w:rPr>
              <w:t>x</w:t>
            </w:r>
          </w:p>
        </w:tc>
        <w:tc>
          <w:tcPr>
            <w:tcW w:w="356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tabs>
          <w:tab w:leader="none" w:pos="8380" w:val="left"/>
          <w:tab w:leader="none" w:pos="91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tab/>
        <w:t>No x</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November 8, 2023, the registrant had 67,711,063 shares of common stock, par value $0.001 per share, including shares underlying all issued and outstanding Chess Depositary Interests (“CDIs”), outstanding.</w:t>
      </w:r>
    </w:p>
    <w:p>
      <w:pPr>
        <w:sectPr>
          <w:pgSz w:w="11900" w:h="16838" w:orient="portrait"/>
          <w:cols w:equalWidth="0" w:num="1">
            <w:col w:w="11240"/>
          </w:cols>
          <w:pgMar w:left="320" w:top="1340" w:right="339" w:bottom="0" w:gutter="0" w:footer="0" w:header="0"/>
        </w:sectPr>
      </w:pPr>
    </w:p>
    <w:bookmarkStart w:id="1" w:name="page2"/>
    <w:bookmarkEnd w:id="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Life360, Inc.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10-Q for the Quarter Ended September 30, 2023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439"/>
        </w:trPr>
        <w:tc>
          <w:tcPr>
            <w:tcW w:w="23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4"/>
              </w:rPr>
              <w:t>Part I - Financial Information</w:t>
            </w:r>
          </w:p>
        </w:tc>
        <w:tc>
          <w:tcPr>
            <w:tcW w:w="8300" w:type="dxa"/>
            <w:vAlign w:val="bottom"/>
            <w:gridSpan w:val="13"/>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1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9100" w:type="dxa"/>
            <w:vAlign w:val="bottom"/>
            <w:gridSpan w:val="15"/>
          </w:tcPr>
          <w:p>
            <w:pPr>
              <w:spacing w:after="0"/>
              <w:rPr>
                <w:sz w:val="20"/>
                <w:szCs w:val="20"/>
                <w:color w:val="auto"/>
              </w:rPr>
            </w:pPr>
            <w:r>
              <w:rPr>
                <w:rFonts w:ascii="Arial" w:cs="Arial" w:eastAsia="Arial" w:hAnsi="Arial"/>
                <w:sz w:val="18"/>
                <w:szCs w:val="18"/>
                <w:color w:val="0000FF"/>
              </w:rPr>
              <w:t>Financial Statements (unaudited)</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7"/>
              </w:rPr>
              <w:t>Condensed Consolidated Balance Sheets</w:t>
            </w:r>
          </w:p>
        </w:tc>
        <w:tc>
          <w:tcPr>
            <w:tcW w:w="6160" w:type="dxa"/>
            <w:vAlign w:val="bottom"/>
            <w:gridSpan w:val="8"/>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Condensed Consolidated Statements of Operations and Comprehensive Loss</w:t>
            </w:r>
          </w:p>
        </w:tc>
        <w:tc>
          <w:tcPr>
            <w:tcW w:w="358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Condensed Consolidated Statements of Stockholders’ Equity</w:t>
            </w:r>
          </w:p>
        </w:tc>
        <w:tc>
          <w:tcPr>
            <w:tcW w:w="4700" w:type="dxa"/>
            <w:vAlign w:val="bottom"/>
            <w:gridSpan w:val="3"/>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5380" w:type="dxa"/>
            <w:vAlign w:val="bottom"/>
            <w:gridSpan w:val="7"/>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100" w:type="dxa"/>
            <w:vAlign w:val="bottom"/>
            <w:gridSpan w:val="6"/>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79"/>
        </w:trPr>
        <w:tc>
          <w:tcPr>
            <w:tcW w:w="1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910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760" w:type="dxa"/>
            <w:vAlign w:val="bottom"/>
          </w:tcPr>
          <w:p>
            <w:pPr>
              <w:spacing w:after="0"/>
              <w:rPr>
                <w:sz w:val="22"/>
                <w:szCs w:val="22"/>
                <w:color w:val="auto"/>
              </w:rPr>
            </w:pPr>
          </w:p>
        </w:tc>
        <w:tc>
          <w:tcPr>
            <w:tcW w:w="43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740" w:type="dxa"/>
            <w:vAlign w:val="bottom"/>
            <w:gridSpan w:val="4"/>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910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6"/>
        </w:trPr>
        <w:tc>
          <w:tcPr>
            <w:tcW w:w="10620" w:type="dxa"/>
            <w:vAlign w:val="bottom"/>
            <w:gridSpan w:val="19"/>
          </w:tcPr>
          <w:p>
            <w:pPr>
              <w:spacing w:after="0"/>
              <w:rPr>
                <w:sz w:val="20"/>
                <w:szCs w:val="20"/>
                <w:color w:val="auto"/>
              </w:rPr>
            </w:pPr>
            <w:r>
              <w:rPr>
                <w:rFonts w:ascii="Arial" w:cs="Arial" w:eastAsia="Arial" w:hAnsi="Arial"/>
                <w:sz w:val="18"/>
                <w:szCs w:val="18"/>
                <w:b w:val="1"/>
                <w:bCs w:val="1"/>
                <w:color w:val="0000FF"/>
              </w:rPr>
              <w:t>Part II - Other Information</w:t>
            </w:r>
          </w:p>
        </w:tc>
        <w:tc>
          <w:tcPr>
            <w:tcW w:w="60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9100" w:type="dxa"/>
            <w:vAlign w:val="bottom"/>
            <w:gridSpan w:val="15"/>
          </w:tcPr>
          <w:p>
            <w:pPr>
              <w:spacing w:after="0"/>
              <w:rPr>
                <w:sz w:val="20"/>
                <w:szCs w:val="20"/>
                <w:color w:val="auto"/>
              </w:rPr>
            </w:pPr>
            <w:r>
              <w:rPr>
                <w:rFonts w:ascii="Arial" w:cs="Arial" w:eastAsia="Arial" w:hAnsi="Arial"/>
                <w:sz w:val="18"/>
                <w:szCs w:val="18"/>
                <w:color w:val="0000FF"/>
              </w:rPr>
              <w:t>Legal Proceedings</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760" w:type="dxa"/>
            <w:vAlign w:val="bottom"/>
          </w:tcPr>
          <w:p>
            <w:pPr>
              <w:spacing w:after="0"/>
              <w:rPr>
                <w:sz w:val="22"/>
                <w:szCs w:val="22"/>
                <w:color w:val="auto"/>
              </w:rPr>
            </w:pPr>
          </w:p>
        </w:tc>
        <w:tc>
          <w:tcPr>
            <w:tcW w:w="9100" w:type="dxa"/>
            <w:vAlign w:val="bottom"/>
            <w:gridSpan w:val="15"/>
          </w:tcPr>
          <w:p>
            <w:pPr>
              <w:spacing w:after="0"/>
              <w:rPr>
                <w:sz w:val="20"/>
                <w:szCs w:val="20"/>
                <w:color w:val="auto"/>
              </w:rPr>
            </w:pPr>
            <w:r>
              <w:rPr>
                <w:rFonts w:ascii="Arial" w:cs="Arial" w:eastAsia="Arial" w:hAnsi="Arial"/>
                <w:sz w:val="18"/>
                <w:szCs w:val="18"/>
                <w:color w:val="0000FF"/>
              </w:rPr>
              <w:t>Risk Factors</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760" w:type="dxa"/>
            <w:vAlign w:val="bottom"/>
          </w:tcPr>
          <w:p>
            <w:pPr>
              <w:spacing w:after="0"/>
              <w:rPr>
                <w:sz w:val="22"/>
                <w:szCs w:val="22"/>
                <w:color w:val="auto"/>
              </w:rPr>
            </w:pPr>
          </w:p>
        </w:tc>
        <w:tc>
          <w:tcPr>
            <w:tcW w:w="910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120" w:type="dxa"/>
            <w:vAlign w:val="bottom"/>
          </w:tcPr>
          <w:p>
            <w:pPr>
              <w:spacing w:after="0"/>
              <w:rPr>
                <w:sz w:val="22"/>
                <w:szCs w:val="22"/>
                <w:color w:val="auto"/>
              </w:rPr>
            </w:pPr>
          </w:p>
        </w:tc>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760" w:type="dxa"/>
            <w:vAlign w:val="bottom"/>
          </w:tcPr>
          <w:p>
            <w:pPr>
              <w:spacing w:after="0"/>
              <w:rPr>
                <w:sz w:val="22"/>
                <w:szCs w:val="22"/>
                <w:color w:val="auto"/>
              </w:rPr>
            </w:pPr>
          </w:p>
        </w:tc>
        <w:tc>
          <w:tcPr>
            <w:tcW w:w="43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Defaults Upon Senior Securities</w:t>
            </w:r>
          </w:p>
        </w:tc>
        <w:tc>
          <w:tcPr>
            <w:tcW w:w="4760" w:type="dxa"/>
            <w:vAlign w:val="bottom"/>
            <w:gridSpan w:val="5"/>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9100" w:type="dxa"/>
            <w:vAlign w:val="bottom"/>
            <w:gridSpan w:val="15"/>
          </w:tcPr>
          <w:p>
            <w:pPr>
              <w:spacing w:after="0"/>
              <w:rPr>
                <w:sz w:val="20"/>
                <w:szCs w:val="20"/>
                <w:color w:val="auto"/>
              </w:rPr>
            </w:pPr>
            <w:r>
              <w:rPr>
                <w:rFonts w:ascii="Arial" w:cs="Arial" w:eastAsia="Arial" w:hAnsi="Arial"/>
                <w:sz w:val="18"/>
                <w:szCs w:val="18"/>
                <w:color w:val="0000FF"/>
              </w:rPr>
              <w:t>Mine Safety Disclosures</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Item 5.</w:t>
            </w:r>
          </w:p>
        </w:tc>
        <w:tc>
          <w:tcPr>
            <w:tcW w:w="91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0000FF"/>
              </w:rPr>
              <w:t>Item 6.</w:t>
            </w:r>
          </w:p>
        </w:tc>
        <w:tc>
          <w:tcPr>
            <w:tcW w:w="9100" w:type="dxa"/>
            <w:vAlign w:val="bottom"/>
            <w:gridSpan w:val="15"/>
          </w:tcPr>
          <w:p>
            <w:pPr>
              <w:spacing w:after="0"/>
              <w:rPr>
                <w:sz w:val="20"/>
                <w:szCs w:val="20"/>
                <w:color w:val="auto"/>
              </w:rPr>
            </w:pPr>
            <w:r>
              <w:rPr>
                <w:rFonts w:ascii="Arial" w:cs="Arial" w:eastAsia="Arial" w:hAnsi="Arial"/>
                <w:sz w:val="18"/>
                <w:szCs w:val="18"/>
                <w:color w:val="0000FF"/>
              </w:rPr>
              <w:t>Exhibits</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6"/>
        </w:trPr>
        <w:tc>
          <w:tcPr>
            <w:tcW w:w="152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Exchange Act. These forward-looking statements involve risks and uncertainties regarding, among other things, (a) our projected sales, profitability, and cash flows, (b) our growth strategy, (c) our future financing plans, and (d) our anticipated needs for, and use of, working capital.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the foregoing list may not contain all of the forward-looking statements made in this Quarterly Report on Form 10-Q. In light of these risks and uncertainties, there can be no assurance that the forward-looking statements contained in this filing will in fact occur. You should not place undue reliance on these forward-looking statements.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U.S. $,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75,444</w:t>
            </w:r>
          </w:p>
        </w:tc>
        <w:tc>
          <w:tcPr>
            <w:tcW w:w="0" w:type="dxa"/>
            <w:vAlign w:val="bottom"/>
          </w:tcPr>
          <w:p>
            <w:pPr>
              <w:spacing w:after="0"/>
              <w:rPr>
                <w:sz w:val="1"/>
                <w:szCs w:val="1"/>
                <w:color w:val="auto"/>
              </w:rPr>
            </w:pPr>
          </w:p>
        </w:tc>
      </w:tr>
      <w:tr>
        <w:trPr>
          <w:trHeight w:val="229"/>
        </w:trPr>
        <w:tc>
          <w:tcPr>
            <w:tcW w:w="85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33,125</w:t>
            </w: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capitalized to obtain contracts,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8,548</w:t>
            </w:r>
          </w:p>
        </w:tc>
        <w:tc>
          <w:tcPr>
            <w:tcW w:w="0" w:type="dxa"/>
            <w:vAlign w:val="bottom"/>
          </w:tcPr>
          <w:p>
            <w:pPr>
              <w:spacing w:after="0"/>
              <w:rPr>
                <w:sz w:val="1"/>
                <w:szCs w:val="1"/>
                <w:color w:val="auto"/>
              </w:rPr>
            </w:pP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142,655</w:t>
            </w:r>
          </w:p>
        </w:tc>
        <w:tc>
          <w:tcPr>
            <w:tcW w:w="0" w:type="dxa"/>
            <w:vAlign w:val="bottom"/>
          </w:tcPr>
          <w:p>
            <w:pPr>
              <w:spacing w:after="0"/>
              <w:rPr>
                <w:sz w:val="1"/>
                <w:szCs w:val="1"/>
                <w:color w:val="auto"/>
              </w:rPr>
            </w:pPr>
          </w:p>
        </w:tc>
      </w:tr>
      <w:tr>
        <w:trPr>
          <w:trHeight w:val="229"/>
        </w:trPr>
        <w:tc>
          <w:tcPr>
            <w:tcW w:w="8580" w:type="dxa"/>
            <w:vAlign w:val="bottom"/>
          </w:tcPr>
          <w:p>
            <w:pPr>
              <w:ind w:left="360"/>
              <w:spacing w:after="0"/>
              <w:rPr>
                <w:sz w:val="20"/>
                <w:szCs w:val="20"/>
                <w:color w:val="auto"/>
              </w:rPr>
            </w:pPr>
            <w:r>
              <w:rPr>
                <w:rFonts w:ascii="Arial" w:cs="Arial" w:eastAsia="Arial" w:hAnsi="Arial"/>
                <w:sz w:val="18"/>
                <w:szCs w:val="18"/>
                <w:color w:val="auto"/>
              </w:rPr>
              <w:t>Restricted cash, noncurrent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8580" w:type="dxa"/>
            <w:vAlign w:val="bottom"/>
          </w:tcPr>
          <w:p>
            <w:pPr>
              <w:ind w:left="360"/>
              <w:spacing w:after="0"/>
              <w:rPr>
                <w:sz w:val="20"/>
                <w:szCs w:val="20"/>
                <w:color w:val="auto"/>
              </w:rPr>
            </w:pPr>
            <w:r>
              <w:rPr>
                <w:rFonts w:ascii="Arial" w:cs="Arial" w:eastAsia="Arial" w:hAnsi="Arial"/>
                <w:sz w:val="18"/>
                <w:szCs w:val="18"/>
                <w:color w:val="auto"/>
              </w:rPr>
              <w:t>Costs capitalized to obtain contracts, noncurrent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 noncurrent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29"/>
        </w:trPr>
        <w:tc>
          <w:tcPr>
            <w:tcW w:w="8580" w:type="dxa"/>
            <w:vAlign w:val="bottom"/>
          </w:tcPr>
          <w:p>
            <w:pPr>
              <w:ind w:left="360"/>
              <w:spacing w:after="0"/>
              <w:rPr>
                <w:sz w:val="20"/>
                <w:szCs w:val="20"/>
                <w:color w:val="auto"/>
              </w:rPr>
            </w:pPr>
            <w:r>
              <w:rPr>
                <w:rFonts w:ascii="Arial" w:cs="Arial" w:eastAsia="Arial" w:hAnsi="Arial"/>
                <w:sz w:val="18"/>
                <w:szCs w:val="18"/>
                <w:color w:val="auto"/>
              </w:rPr>
              <w:t>Operating lease right-of-use asset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52,699</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133,674</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339,630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13,791</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w:t>
            </w: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Escrow liability</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 current ($3,563 and $3,513 measured at fair value, respectively)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revenue, current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30,056</w:t>
            </w:r>
          </w:p>
        </w:tc>
        <w:tc>
          <w:tcPr>
            <w:tcW w:w="0" w:type="dxa"/>
            <w:vAlign w:val="bottom"/>
          </w:tcPr>
          <w:p>
            <w:pPr>
              <w:spacing w:after="0"/>
              <w:rPr>
                <w:sz w:val="1"/>
                <w:szCs w:val="1"/>
                <w:color w:val="auto"/>
              </w:rPr>
            </w:pP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87,649</w:t>
            </w:r>
          </w:p>
        </w:tc>
        <w:tc>
          <w:tcPr>
            <w:tcW w:w="0" w:type="dxa"/>
            <w:vAlign w:val="bottom"/>
          </w:tcPr>
          <w:p>
            <w:pPr>
              <w:spacing w:after="0"/>
              <w:rPr>
                <w:sz w:val="1"/>
                <w:szCs w:val="1"/>
                <w:color w:val="auto"/>
              </w:rPr>
            </w:pPr>
          </w:p>
        </w:tc>
      </w:tr>
      <w:tr>
        <w:trPr>
          <w:trHeight w:val="229"/>
        </w:trPr>
        <w:tc>
          <w:tcPr>
            <w:tcW w:w="8580" w:type="dxa"/>
            <w:vAlign w:val="bottom"/>
          </w:tcPr>
          <w:p>
            <w:pPr>
              <w:ind w:left="360"/>
              <w:spacing w:after="0"/>
              <w:rPr>
                <w:sz w:val="20"/>
                <w:szCs w:val="20"/>
                <w:color w:val="auto"/>
              </w:rPr>
            </w:pPr>
            <w:r>
              <w:rPr>
                <w:rFonts w:ascii="Arial" w:cs="Arial" w:eastAsia="Arial" w:hAnsi="Arial"/>
                <w:sz w:val="18"/>
                <w:szCs w:val="18"/>
                <w:color w:val="auto"/>
              </w:rPr>
              <w:t>Convertible notes, noncurrent ($0 and $3,425 measured at fair value, respectively)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liability, noncurrent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noncurrent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95,092</w:t>
            </w:r>
          </w:p>
        </w:tc>
        <w:tc>
          <w:tcPr>
            <w:tcW w:w="0" w:type="dxa"/>
            <w:vAlign w:val="bottom"/>
          </w:tcPr>
          <w:p>
            <w:pPr>
              <w:spacing w:after="0"/>
              <w:rPr>
                <w:sz w:val="1"/>
                <w:szCs w:val="1"/>
                <w:color w:val="auto"/>
              </w:rPr>
            </w:pP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Commitments and Contingencies (Note 11)</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Common Stock, $0.001 par value; 100,000,000 shares authorized as of September 30, 2023 and December 31,</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89"/>
              </w:rPr>
              <w:t>2022; 67,556,092 and 65,239,843 issued and outstanding as of September 30, 2023 and December 31, 2022,</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85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501,763</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due from affiliates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(256,972)</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240,308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244,538</w:t>
            </w:r>
          </w:p>
        </w:tc>
        <w:tc>
          <w:tcPr>
            <w:tcW w:w="0" w:type="dxa"/>
            <w:vAlign w:val="bottom"/>
          </w:tcPr>
          <w:p>
            <w:pPr>
              <w:spacing w:after="0"/>
              <w:rPr>
                <w:sz w:val="1"/>
                <w:szCs w:val="1"/>
                <w:color w:val="auto"/>
              </w:rPr>
            </w:pP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339,630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 (unaudited).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Condensed Consolidated Statements of Operations and Comprehensive Loss (Dollars in U.S. $, in thousands, except share and per share data)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40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Hardware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28,314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20,769</w:t>
            </w: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156,967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Cost of hardware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27,906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other revenue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53,321</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103,646</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77,337</w:t>
            </w:r>
          </w:p>
        </w:tc>
        <w:tc>
          <w:tcPr>
            <w:tcW w:w="0" w:type="dxa"/>
            <w:vAlign w:val="bottom"/>
          </w:tcPr>
          <w:p>
            <w:pPr>
              <w:spacing w:after="0"/>
              <w:rPr>
                <w:sz w:val="1"/>
                <w:szCs w:val="1"/>
                <w:color w:val="auto"/>
              </w:rPr>
            </w:pP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70,365</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37,643</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185,345</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(81,699)</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 fair value adjustment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Derivative liability fair value adjustment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(79,242)</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(25,025)</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vMerge w:val="continue"/>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(0.10)</w:t>
            </w:r>
          </w:p>
        </w:tc>
        <w:tc>
          <w:tcPr>
            <w:tcW w:w="8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(0.34)</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Weighted-average shares used in computing net loss per share, basic and diluted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67,091,993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62,173,588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66,389,483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61,753,532</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(79,326)</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foreign currency translation adjustment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(Dollars in U.S. $, in thousands, except share and per share data)</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40"/>
          </w:cols>
          <w:pgMar w:left="320" w:top="22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0" w:right="1340"/>
        <w:spacing w:after="0" w:line="323" w:lineRule="auto"/>
        <w:rPr>
          <w:sz w:val="20"/>
          <w:szCs w:val="20"/>
          <w:color w:val="auto"/>
        </w:rPr>
      </w:pPr>
      <w:r>
        <w:rPr>
          <w:rFonts w:ascii="Arial" w:cs="Arial" w:eastAsia="Arial" w:hAnsi="Arial"/>
          <w:sz w:val="14"/>
          <w:szCs w:val="14"/>
          <w:b w:val="1"/>
          <w:bCs w:val="1"/>
          <w:color w:val="auto"/>
        </w:rPr>
        <w:t xml:space="preserve">Balance at December 31, 2022 </w:t>
      </w:r>
      <w:r>
        <w:rPr>
          <w:rFonts w:ascii="Arial" w:cs="Arial" w:eastAsia="Arial" w:hAnsi="Arial"/>
          <w:sz w:val="14"/>
          <w:szCs w:val="14"/>
          <w:color w:val="auto"/>
        </w:rPr>
        <w:t>Exercise of stock options Vesting of restricted stock units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Taxes paid related to net settlement of equity awards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Repayment of notes due from affiliate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Stock-based compensation expense</w:t>
      </w:r>
    </w:p>
    <w:p>
      <w:pPr>
        <w:spacing w:after="0" w:line="32" w:lineRule="exact"/>
        <w:rPr>
          <w:sz w:val="20"/>
          <w:szCs w:val="20"/>
          <w:color w:val="auto"/>
        </w:rPr>
      </w:pPr>
    </w:p>
    <w:p>
      <w:pPr>
        <w:ind w:left="140" w:right="160"/>
        <w:spacing w:after="0" w:line="287" w:lineRule="auto"/>
        <w:rPr>
          <w:sz w:val="20"/>
          <w:szCs w:val="20"/>
          <w:color w:val="auto"/>
        </w:rPr>
      </w:pPr>
      <w:r>
        <w:rPr>
          <w:rFonts w:ascii="Arial" w:cs="Arial" w:eastAsia="Arial" w:hAnsi="Arial"/>
          <w:sz w:val="16"/>
          <w:szCs w:val="16"/>
          <w:color w:val="auto"/>
        </w:rPr>
        <w:t>Change in foreign currency translation adjustment Net loss</w:t>
      </w:r>
    </w:p>
    <w:p>
      <w:pPr>
        <w:spacing w:after="0" w:line="1" w:lineRule="exact"/>
        <w:rPr>
          <w:sz w:val="20"/>
          <w:szCs w:val="20"/>
          <w:color w:val="auto"/>
        </w:rPr>
      </w:pPr>
    </w:p>
    <w:p>
      <w:pPr>
        <w:ind w:left="140" w:right="1360"/>
        <w:spacing w:after="0" w:line="323" w:lineRule="auto"/>
        <w:rPr>
          <w:sz w:val="20"/>
          <w:szCs w:val="20"/>
          <w:color w:val="auto"/>
        </w:rPr>
      </w:pPr>
      <w:r>
        <w:rPr>
          <w:rFonts w:ascii="Arial" w:cs="Arial" w:eastAsia="Arial" w:hAnsi="Arial"/>
          <w:sz w:val="14"/>
          <w:szCs w:val="14"/>
          <w:b w:val="1"/>
          <w:bCs w:val="1"/>
          <w:color w:val="auto"/>
        </w:rPr>
        <w:t xml:space="preserve">Balance at March 31, 2023 </w:t>
      </w:r>
      <w:r>
        <w:rPr>
          <w:rFonts w:ascii="Arial" w:cs="Arial" w:eastAsia="Arial" w:hAnsi="Arial"/>
          <w:sz w:val="14"/>
          <w:szCs w:val="14"/>
          <w:color w:val="auto"/>
        </w:rPr>
        <w:t>Exercise of stock options Vesting of restricted stock units</w:t>
      </w:r>
    </w:p>
    <w:p>
      <w:pPr>
        <w:spacing w:after="0" w:line="2" w:lineRule="exact"/>
        <w:rPr>
          <w:sz w:val="20"/>
          <w:szCs w:val="20"/>
          <w:color w:val="auto"/>
        </w:rPr>
      </w:pPr>
    </w:p>
    <w:p>
      <w:pPr>
        <w:ind w:left="140"/>
        <w:spacing w:after="0" w:line="281" w:lineRule="auto"/>
        <w:rPr>
          <w:sz w:val="20"/>
          <w:szCs w:val="20"/>
          <w:color w:val="auto"/>
        </w:rPr>
      </w:pPr>
      <w:r>
        <w:rPr>
          <w:rFonts w:ascii="Arial" w:cs="Arial" w:eastAsia="Arial" w:hAnsi="Arial"/>
          <w:sz w:val="16"/>
          <w:szCs w:val="16"/>
          <w:color w:val="auto"/>
        </w:rPr>
        <w:t>Taxes paid related to net settlement of equity awards Stock-based compensation expense</w:t>
      </w:r>
    </w:p>
    <w:p>
      <w:pPr>
        <w:spacing w:after="0" w:line="1" w:lineRule="exact"/>
        <w:rPr>
          <w:sz w:val="20"/>
          <w:szCs w:val="20"/>
          <w:color w:val="auto"/>
        </w:rPr>
      </w:pPr>
    </w:p>
    <w:p>
      <w:pPr>
        <w:ind w:left="140" w:right="160"/>
        <w:spacing w:after="0" w:line="287" w:lineRule="auto"/>
        <w:rPr>
          <w:sz w:val="20"/>
          <w:szCs w:val="20"/>
          <w:color w:val="auto"/>
        </w:rPr>
      </w:pPr>
      <w:r>
        <w:rPr>
          <w:rFonts w:ascii="Arial" w:cs="Arial" w:eastAsia="Arial" w:hAnsi="Arial"/>
          <w:sz w:val="16"/>
          <w:szCs w:val="16"/>
          <w:color w:val="auto"/>
        </w:rPr>
        <w:t>Change in foreign currency translation adjustment Net loss</w:t>
      </w:r>
    </w:p>
    <w:p>
      <w:pPr>
        <w:spacing w:after="0" w:line="1" w:lineRule="exact"/>
        <w:rPr>
          <w:sz w:val="20"/>
          <w:szCs w:val="20"/>
          <w:color w:val="auto"/>
        </w:rPr>
      </w:pPr>
    </w:p>
    <w:p>
      <w:pPr>
        <w:ind w:left="140" w:right="1360"/>
        <w:spacing w:after="0" w:line="323" w:lineRule="auto"/>
        <w:rPr>
          <w:sz w:val="20"/>
          <w:szCs w:val="20"/>
          <w:color w:val="auto"/>
        </w:rPr>
      </w:pPr>
      <w:r>
        <w:rPr>
          <w:rFonts w:ascii="Arial" w:cs="Arial" w:eastAsia="Arial" w:hAnsi="Arial"/>
          <w:sz w:val="14"/>
          <w:szCs w:val="14"/>
          <w:b w:val="1"/>
          <w:bCs w:val="1"/>
          <w:color w:val="auto"/>
        </w:rPr>
        <w:t xml:space="preserve">Balance at June 30, 2023 </w:t>
      </w:r>
      <w:r>
        <w:rPr>
          <w:rFonts w:ascii="Arial" w:cs="Arial" w:eastAsia="Arial" w:hAnsi="Arial"/>
          <w:sz w:val="14"/>
          <w:szCs w:val="14"/>
          <w:color w:val="auto"/>
        </w:rPr>
        <w:t>Exercise of stock options Vesting of restricted stock units</w:t>
      </w:r>
    </w:p>
    <w:p>
      <w:pPr>
        <w:spacing w:after="0" w:line="2" w:lineRule="exact"/>
        <w:rPr>
          <w:sz w:val="20"/>
          <w:szCs w:val="20"/>
          <w:color w:val="auto"/>
        </w:rPr>
      </w:pPr>
    </w:p>
    <w:p>
      <w:pPr>
        <w:ind w:left="140"/>
        <w:spacing w:after="0" w:line="281" w:lineRule="auto"/>
        <w:rPr>
          <w:sz w:val="20"/>
          <w:szCs w:val="20"/>
          <w:color w:val="auto"/>
        </w:rPr>
      </w:pPr>
      <w:r>
        <w:rPr>
          <w:rFonts w:ascii="Arial" w:cs="Arial" w:eastAsia="Arial" w:hAnsi="Arial"/>
          <w:sz w:val="16"/>
          <w:szCs w:val="16"/>
          <w:color w:val="auto"/>
        </w:rPr>
        <w:t>Taxes paid related to net settlement of equity awards Stock-based compensation expense</w:t>
      </w:r>
    </w:p>
    <w:p>
      <w:pPr>
        <w:spacing w:after="0" w:line="1" w:lineRule="exact"/>
        <w:rPr>
          <w:sz w:val="20"/>
          <w:szCs w:val="20"/>
          <w:color w:val="auto"/>
        </w:rPr>
      </w:pPr>
    </w:p>
    <w:p>
      <w:pPr>
        <w:ind w:left="140" w:right="160"/>
        <w:spacing w:after="0" w:line="305" w:lineRule="auto"/>
        <w:rPr>
          <w:sz w:val="20"/>
          <w:szCs w:val="20"/>
          <w:color w:val="auto"/>
        </w:rPr>
      </w:pPr>
      <w:r>
        <w:rPr>
          <w:rFonts w:ascii="Arial" w:cs="Arial" w:eastAsia="Arial" w:hAnsi="Arial"/>
          <w:sz w:val="16"/>
          <w:szCs w:val="16"/>
          <w:color w:val="auto"/>
        </w:rPr>
        <w:t>Change in foreign currency translation adjustment Net loss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Balance at September 30, 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Notes Due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2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184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8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Paid-</w:t>
            </w:r>
          </w:p>
        </w:tc>
        <w:tc>
          <w:tcPr>
            <w:tcW w:w="140" w:type="dxa"/>
            <w:vAlign w:val="bottom"/>
          </w:tcPr>
          <w:p>
            <w:pPr>
              <w:spacing w:after="0"/>
              <w:rPr>
                <w:sz w:val="9"/>
                <w:szCs w:val="9"/>
                <w:color w:val="auto"/>
              </w:rPr>
            </w:pPr>
          </w:p>
        </w:tc>
        <w:tc>
          <w:tcPr>
            <w:tcW w:w="92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w w:val="96"/>
              </w:rPr>
              <w:t>from</w:t>
            </w:r>
          </w:p>
        </w:tc>
        <w:tc>
          <w:tcPr>
            <w:tcW w:w="1080" w:type="dxa"/>
            <w:vAlign w:val="bottom"/>
            <w:gridSpan w:val="3"/>
            <w:vMerge w:val="restart"/>
          </w:tcPr>
          <w:p>
            <w:pPr>
              <w:ind w:left="100"/>
              <w:spacing w:after="0" w:line="12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ind w:left="20"/>
              <w:spacing w:after="0" w:line="129"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2"/>
            <w:vMerge w:val="restart"/>
          </w:tcPr>
          <w:p>
            <w:pPr>
              <w:jc w:val="center"/>
              <w:spacing w:after="0" w:line="12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Affiliates</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820" w:type="dxa"/>
            <w:vAlign w:val="bottom"/>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65,239,843</w:t>
            </w:r>
          </w:p>
        </w:tc>
        <w:tc>
          <w:tcPr>
            <w:tcW w:w="80" w:type="dxa"/>
            <w:vAlign w:val="bottom"/>
          </w:tcPr>
          <w:p>
            <w:pPr>
              <w:spacing w:after="0"/>
              <w:rPr>
                <w:sz w:val="18"/>
                <w:szCs w:val="18"/>
                <w:color w:val="auto"/>
              </w:rPr>
            </w:pPr>
          </w:p>
        </w:tc>
        <w:tc>
          <w:tcPr>
            <w:tcW w:w="76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8"/>
              </w:rPr>
              <w:t>67</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501,763</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(256,972)</w:t>
            </w:r>
          </w:p>
        </w:tc>
        <w:tc>
          <w:tcPr>
            <w:tcW w:w="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244,538</w:t>
            </w:r>
          </w:p>
        </w:tc>
        <w:tc>
          <w:tcPr>
            <w:tcW w:w="0" w:type="dxa"/>
            <w:vAlign w:val="bottom"/>
          </w:tcPr>
          <w:p>
            <w:pPr>
              <w:spacing w:after="0"/>
              <w:rPr>
                <w:sz w:val="1"/>
                <w:szCs w:val="1"/>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6"/>
                <w:szCs w:val="16"/>
                <w:color w:val="auto"/>
              </w:rPr>
              <w:t>185,073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6"/>
                <w:szCs w:val="16"/>
                <w:color w:val="auto"/>
              </w:rPr>
              <w:t>870,915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(5,731)</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8,955</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(14,071)</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(14,071)</w:t>
            </w:r>
          </w:p>
        </w:tc>
        <w:tc>
          <w:tcPr>
            <w:tcW w:w="0" w:type="dxa"/>
            <w:vAlign w:val="bottom"/>
          </w:tcPr>
          <w:p>
            <w:pPr>
              <w:spacing w:after="0"/>
              <w:rPr>
                <w:sz w:val="1"/>
                <w:szCs w:val="1"/>
                <w:color w:val="auto"/>
              </w:rPr>
            </w:pPr>
          </w:p>
        </w:tc>
      </w:tr>
      <w:tr>
        <w:trPr>
          <w:trHeight w:val="206"/>
        </w:trPr>
        <w:tc>
          <w:tcPr>
            <w:tcW w:w="1000" w:type="dxa"/>
            <w:vAlign w:val="bottom"/>
          </w:tcPr>
          <w:p>
            <w:pPr>
              <w:jc w:val="right"/>
              <w:spacing w:after="0"/>
              <w:rPr>
                <w:sz w:val="20"/>
                <w:szCs w:val="20"/>
                <w:color w:val="auto"/>
              </w:rPr>
            </w:pPr>
            <w:r>
              <w:rPr>
                <w:rFonts w:ascii="Arial" w:cs="Arial" w:eastAsia="Arial" w:hAnsi="Arial"/>
                <w:sz w:val="16"/>
                <w:szCs w:val="16"/>
                <w:color w:val="auto"/>
              </w:rPr>
              <w:t>66,295,831</w:t>
            </w:r>
          </w:p>
        </w:tc>
        <w:tc>
          <w:tcPr>
            <w:tcW w:w="80" w:type="dxa"/>
            <w:vAlign w:val="bottom"/>
          </w:tcPr>
          <w:p>
            <w:pPr>
              <w:spacing w:after="0"/>
              <w:rPr>
                <w:sz w:val="17"/>
                <w:szCs w:val="17"/>
                <w:color w:val="auto"/>
              </w:rPr>
            </w:pPr>
          </w:p>
        </w:tc>
        <w:tc>
          <w:tcPr>
            <w:tcW w:w="760" w:type="dxa"/>
            <w:vAlign w:val="bottom"/>
          </w:tcPr>
          <w:p>
            <w:pPr>
              <w:jc w:val="right"/>
              <w:ind w:right="581"/>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w w:val="78"/>
              </w:rPr>
              <w:t>68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505,777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(271,043)</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234,820</w:t>
            </w:r>
          </w:p>
        </w:tc>
        <w:tc>
          <w:tcPr>
            <w:tcW w:w="0" w:type="dxa"/>
            <w:vAlign w:val="bottom"/>
          </w:tcPr>
          <w:p>
            <w:pPr>
              <w:spacing w:after="0"/>
              <w:rPr>
                <w:sz w:val="1"/>
                <w:szCs w:val="1"/>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6"/>
                <w:szCs w:val="16"/>
                <w:color w:val="auto"/>
              </w:rPr>
              <w:t>146,056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6"/>
                <w:szCs w:val="16"/>
                <w:color w:val="auto"/>
              </w:rPr>
              <w:t>389,550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9,269</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(4,413)</w:t>
            </w:r>
          </w:p>
        </w:tc>
        <w:tc>
          <w:tcPr>
            <w:tcW w:w="0" w:type="dxa"/>
            <w:vAlign w:val="bottom"/>
          </w:tcPr>
          <w:p>
            <w:pPr>
              <w:spacing w:after="0"/>
              <w:rPr>
                <w:sz w:val="1"/>
                <w:szCs w:val="1"/>
                <w:color w:val="auto"/>
              </w:rPr>
            </w:pPr>
          </w:p>
        </w:tc>
      </w:tr>
      <w:tr>
        <w:trPr>
          <w:trHeight w:val="207"/>
        </w:trPr>
        <w:tc>
          <w:tcPr>
            <w:tcW w:w="1000" w:type="dxa"/>
            <w:vAlign w:val="bottom"/>
          </w:tcPr>
          <w:p>
            <w:pPr>
              <w:jc w:val="right"/>
              <w:spacing w:after="0"/>
              <w:rPr>
                <w:sz w:val="20"/>
                <w:szCs w:val="20"/>
                <w:color w:val="auto"/>
              </w:rPr>
            </w:pPr>
            <w:r>
              <w:rPr>
                <w:rFonts w:ascii="Arial" w:cs="Arial" w:eastAsia="Arial" w:hAnsi="Arial"/>
                <w:sz w:val="16"/>
                <w:szCs w:val="16"/>
                <w:color w:val="auto"/>
              </w:rPr>
              <w:t>66,831,437</w:t>
            </w:r>
          </w:p>
        </w:tc>
        <w:tc>
          <w:tcPr>
            <w:tcW w:w="80" w:type="dxa"/>
            <w:vAlign w:val="bottom"/>
          </w:tcPr>
          <w:p>
            <w:pPr>
              <w:spacing w:after="0"/>
              <w:rPr>
                <w:sz w:val="17"/>
                <w:szCs w:val="17"/>
                <w:color w:val="auto"/>
              </w:rPr>
            </w:pPr>
          </w:p>
        </w:tc>
        <w:tc>
          <w:tcPr>
            <w:tcW w:w="760" w:type="dxa"/>
            <w:vAlign w:val="bottom"/>
          </w:tcPr>
          <w:p>
            <w:pPr>
              <w:jc w:val="right"/>
              <w:ind w:right="581"/>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w w:val="78"/>
              </w:rPr>
              <w:t>68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513,081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(275,456)</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237,713</w:t>
            </w:r>
          </w:p>
        </w:tc>
        <w:tc>
          <w:tcPr>
            <w:tcW w:w="0" w:type="dxa"/>
            <w:vAlign w:val="bottom"/>
          </w:tcPr>
          <w:p>
            <w:pPr>
              <w:spacing w:after="0"/>
              <w:rPr>
                <w:sz w:val="1"/>
                <w:szCs w:val="1"/>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6"/>
                <w:szCs w:val="16"/>
                <w:color w:val="auto"/>
              </w:rPr>
              <w:t>378,907</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6"/>
                <w:szCs w:val="16"/>
                <w:color w:val="auto"/>
              </w:rPr>
              <w:t>345,748</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9,454</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1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(6,541)</w:t>
            </w:r>
          </w:p>
        </w:tc>
        <w:tc>
          <w:tcPr>
            <w:tcW w:w="0" w:type="dxa"/>
            <w:vAlign w:val="bottom"/>
          </w:tcPr>
          <w:p>
            <w:pPr>
              <w:spacing w:after="0"/>
              <w:rPr>
                <w:sz w:val="1"/>
                <w:szCs w:val="1"/>
                <w:color w:val="auto"/>
              </w:rPr>
            </w:pPr>
          </w:p>
        </w:tc>
      </w:tr>
      <w:tr>
        <w:trPr>
          <w:trHeight w:val="210"/>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67,556,092</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8"/>
              </w:rPr>
              <w:t>68</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522,234</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(281,997)</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240,308</w:t>
            </w:r>
          </w:p>
        </w:tc>
        <w:tc>
          <w:tcPr>
            <w:tcW w:w="0" w:type="dxa"/>
            <w:vAlign w:val="bottom"/>
          </w:tcPr>
          <w:p>
            <w:pPr>
              <w:spacing w:after="0"/>
              <w:rPr>
                <w:sz w:val="1"/>
                <w:szCs w:val="1"/>
                <w:color w:val="auto"/>
              </w:rPr>
            </w:pPr>
          </w:p>
        </w:tc>
      </w:tr>
      <w:tr>
        <w:trPr>
          <w:trHeight w:val="24"/>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-3222625</wp:posOffset>
            </wp:positionV>
            <wp:extent cx="699516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-2939415</wp:posOffset>
            </wp:positionV>
            <wp:extent cx="69951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-2665095</wp:posOffset>
            </wp:positionV>
            <wp:extent cx="69951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-2390775</wp:posOffset>
            </wp:positionV>
            <wp:extent cx="69951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-2116455</wp:posOffset>
            </wp:positionV>
            <wp:extent cx="699516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-1833880</wp:posOffset>
            </wp:positionV>
            <wp:extent cx="69951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-1559560</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-1285240</wp:posOffset>
            </wp:positionV>
            <wp:extent cx="6995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-1002030</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-728345</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-453390</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-179070</wp:posOffset>
            </wp:positionV>
            <wp:extent cx="699516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140"/>
            <w:col w:w="7460"/>
          </w:cols>
          <w:pgMar w:left="320" w:top="229" w:right="4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U.S. $, in thousands, except share and per share data)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right="1420"/>
        <w:spacing w:after="0" w:line="283" w:lineRule="auto"/>
        <w:rPr>
          <w:sz w:val="20"/>
          <w:szCs w:val="20"/>
          <w:color w:val="auto"/>
        </w:rPr>
      </w:pPr>
      <w:r>
        <w:rPr>
          <w:rFonts w:ascii="Arial" w:cs="Arial" w:eastAsia="Arial" w:hAnsi="Arial"/>
          <w:sz w:val="16"/>
          <w:szCs w:val="16"/>
          <w:b w:val="1"/>
          <w:bCs w:val="1"/>
          <w:color w:val="auto"/>
        </w:rPr>
        <w:t xml:space="preserve">Balance at December 31, 2021 </w:t>
      </w:r>
      <w:r>
        <w:rPr>
          <w:rFonts w:ascii="Arial" w:cs="Arial" w:eastAsia="Arial" w:hAnsi="Arial"/>
          <w:sz w:val="16"/>
          <w:szCs w:val="16"/>
          <w:color w:val="auto"/>
        </w:rPr>
        <w:t>Exercise of stock options Exercise of warrants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Vesting of restricted stock units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Taxes paid related to net settlement of equity awards</w:t>
      </w:r>
    </w:p>
    <w:p>
      <w:pPr>
        <w:spacing w:after="0" w:line="55" w:lineRule="exact"/>
        <w:rPr>
          <w:sz w:val="20"/>
          <w:szCs w:val="20"/>
          <w:color w:val="auto"/>
        </w:rPr>
      </w:pPr>
    </w:p>
    <w:p>
      <w:pPr>
        <w:ind w:left="20" w:right="340"/>
        <w:spacing w:after="0"/>
        <w:rPr>
          <w:sz w:val="20"/>
          <w:szCs w:val="20"/>
          <w:color w:val="auto"/>
        </w:rPr>
      </w:pPr>
      <w:r>
        <w:rPr>
          <w:rFonts w:ascii="Arial" w:cs="Arial" w:eastAsia="Arial" w:hAnsi="Arial"/>
          <w:sz w:val="16"/>
          <w:szCs w:val="16"/>
          <w:color w:val="auto"/>
        </w:rPr>
        <w:t>Issuance of common stock in connection with an acquisition</w:t>
      </w:r>
    </w:p>
    <w:p>
      <w:pPr>
        <w:spacing w:after="0" w:line="10" w:lineRule="exact"/>
        <w:rPr>
          <w:sz w:val="20"/>
          <w:szCs w:val="20"/>
          <w:color w:val="auto"/>
        </w:rPr>
      </w:pPr>
    </w:p>
    <w:p>
      <w:pPr>
        <w:ind w:left="20" w:right="1200"/>
        <w:spacing w:after="0" w:line="300" w:lineRule="auto"/>
        <w:rPr>
          <w:sz w:val="20"/>
          <w:szCs w:val="20"/>
          <w:color w:val="auto"/>
        </w:rPr>
      </w:pPr>
      <w:r>
        <w:rPr>
          <w:rFonts w:ascii="Arial" w:cs="Arial" w:eastAsia="Arial" w:hAnsi="Arial"/>
          <w:sz w:val="15"/>
          <w:szCs w:val="15"/>
          <w:color w:val="auto"/>
        </w:rPr>
        <w:t>Issuance of common stock Stock-based compensation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accrued relating to notes due from affiliates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 in foreign currency translation adjustment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March 31, 2022</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Exercise of stock options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Exercise of warrants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Vesting of restricted stock units</w:t>
      </w:r>
    </w:p>
    <w:p>
      <w:pPr>
        <w:spacing w:after="0" w:line="32" w:lineRule="exact"/>
        <w:rPr>
          <w:sz w:val="20"/>
          <w:szCs w:val="20"/>
          <w:color w:val="auto"/>
        </w:rPr>
      </w:pPr>
    </w:p>
    <w:p>
      <w:pPr>
        <w:ind w:left="20" w:right="80"/>
        <w:spacing w:after="0" w:line="281" w:lineRule="auto"/>
        <w:rPr>
          <w:sz w:val="20"/>
          <w:szCs w:val="20"/>
          <w:color w:val="auto"/>
        </w:rPr>
      </w:pPr>
      <w:r>
        <w:rPr>
          <w:rFonts w:ascii="Arial" w:cs="Arial" w:eastAsia="Arial" w:hAnsi="Arial"/>
          <w:sz w:val="16"/>
          <w:szCs w:val="16"/>
          <w:color w:val="auto"/>
        </w:rPr>
        <w:t>Taxes paid related to net settlement of equity awards Stock-based compensation expense</w:t>
      </w:r>
    </w:p>
    <w:p>
      <w:pPr>
        <w:spacing w:after="0" w:line="1" w:lineRule="exact"/>
        <w:rPr>
          <w:sz w:val="20"/>
          <w:szCs w:val="20"/>
          <w:color w:val="auto"/>
        </w:rPr>
      </w:pPr>
    </w:p>
    <w:p>
      <w:pPr>
        <w:ind w:left="20" w:right="140"/>
        <w:spacing w:after="0" w:line="300" w:lineRule="auto"/>
        <w:rPr>
          <w:sz w:val="20"/>
          <w:szCs w:val="20"/>
          <w:color w:val="auto"/>
        </w:rPr>
      </w:pPr>
      <w:r>
        <w:rPr>
          <w:rFonts w:ascii="Arial" w:cs="Arial" w:eastAsia="Arial" w:hAnsi="Arial"/>
          <w:sz w:val="15"/>
          <w:szCs w:val="15"/>
          <w:color w:val="auto"/>
        </w:rPr>
        <w:t>Interest accrued relating to notes due from affiliates Repayment of notes due from affiliates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Issuance of common stock in settlement of contingent consideration</w:t>
      </w:r>
    </w:p>
    <w:p>
      <w:pPr>
        <w:spacing w:after="0" w:line="10" w:lineRule="exact"/>
        <w:rPr>
          <w:sz w:val="20"/>
          <w:szCs w:val="20"/>
          <w:color w:val="auto"/>
        </w:rPr>
      </w:pPr>
    </w:p>
    <w:p>
      <w:pPr>
        <w:ind w:left="20" w:right="240"/>
        <w:spacing w:after="0" w:line="287" w:lineRule="auto"/>
        <w:rPr>
          <w:sz w:val="20"/>
          <w:szCs w:val="20"/>
          <w:color w:val="auto"/>
        </w:rPr>
      </w:pPr>
      <w:r>
        <w:rPr>
          <w:rFonts w:ascii="Arial" w:cs="Arial" w:eastAsia="Arial" w:hAnsi="Arial"/>
          <w:sz w:val="16"/>
          <w:szCs w:val="16"/>
          <w:color w:val="auto"/>
        </w:rPr>
        <w:t>Change in foreign currency translation adjustment Net loss</w:t>
      </w:r>
    </w:p>
    <w:p>
      <w:pPr>
        <w:spacing w:after="0" w:line="1" w:lineRule="exact"/>
        <w:rPr>
          <w:sz w:val="20"/>
          <w:szCs w:val="20"/>
          <w:color w:val="auto"/>
        </w:rPr>
      </w:pPr>
    </w:p>
    <w:p>
      <w:pPr>
        <w:ind w:left="20" w:right="1460"/>
        <w:spacing w:after="0" w:line="323" w:lineRule="auto"/>
        <w:rPr>
          <w:sz w:val="20"/>
          <w:szCs w:val="20"/>
          <w:color w:val="auto"/>
        </w:rPr>
      </w:pPr>
      <w:r>
        <w:rPr>
          <w:rFonts w:ascii="Arial" w:cs="Arial" w:eastAsia="Arial" w:hAnsi="Arial"/>
          <w:sz w:val="14"/>
          <w:szCs w:val="14"/>
          <w:b w:val="1"/>
          <w:bCs w:val="1"/>
          <w:color w:val="auto"/>
        </w:rPr>
        <w:t xml:space="preserve">Balance at June 30, 2022 </w:t>
      </w:r>
      <w:r>
        <w:rPr>
          <w:rFonts w:ascii="Arial" w:cs="Arial" w:eastAsia="Arial" w:hAnsi="Arial"/>
          <w:sz w:val="14"/>
          <w:szCs w:val="14"/>
          <w:color w:val="auto"/>
        </w:rPr>
        <w:t>Exercise of stock options Vesting of restricted stock units</w:t>
      </w:r>
    </w:p>
    <w:p>
      <w:pPr>
        <w:spacing w:after="0" w:line="2" w:lineRule="exact"/>
        <w:rPr>
          <w:sz w:val="20"/>
          <w:szCs w:val="20"/>
          <w:color w:val="auto"/>
        </w:rPr>
      </w:pPr>
    </w:p>
    <w:p>
      <w:pPr>
        <w:ind w:left="20" w:right="80"/>
        <w:spacing w:after="0" w:line="281" w:lineRule="auto"/>
        <w:rPr>
          <w:sz w:val="20"/>
          <w:szCs w:val="20"/>
          <w:color w:val="auto"/>
        </w:rPr>
      </w:pPr>
      <w:r>
        <w:rPr>
          <w:rFonts w:ascii="Arial" w:cs="Arial" w:eastAsia="Arial" w:hAnsi="Arial"/>
          <w:sz w:val="16"/>
          <w:szCs w:val="16"/>
          <w:color w:val="auto"/>
        </w:rPr>
        <w:t>Taxes paid related to net settlement of equity awards Stock-based compensation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Interest accrued relating to notes due from affiliates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Cancellation of revesting stock</w:t>
      </w:r>
    </w:p>
    <w:p>
      <w:pPr>
        <w:spacing w:after="0" w:line="23" w:lineRule="exact"/>
        <w:rPr>
          <w:sz w:val="20"/>
          <w:szCs w:val="20"/>
          <w:color w:val="auto"/>
        </w:rPr>
      </w:pPr>
    </w:p>
    <w:p>
      <w:pPr>
        <w:ind w:left="20" w:right="720"/>
        <w:spacing w:after="0" w:line="234" w:lineRule="auto"/>
        <w:rPr>
          <w:sz w:val="20"/>
          <w:szCs w:val="20"/>
          <w:color w:val="auto"/>
        </w:rPr>
      </w:pPr>
      <w:r>
        <w:rPr>
          <w:rFonts w:ascii="Arial" w:cs="Arial" w:eastAsia="Arial" w:hAnsi="Arial"/>
          <w:sz w:val="18"/>
          <w:szCs w:val="18"/>
          <w:color w:val="auto"/>
        </w:rPr>
        <w:t>Change in foreign currency translation adjustment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September 30, 2022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Notes Due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82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18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8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9"/>
                <w:szCs w:val="9"/>
                <w:color w:val="auto"/>
              </w:rPr>
            </w:pPr>
          </w:p>
        </w:tc>
        <w:tc>
          <w:tcPr>
            <w:tcW w:w="940" w:type="dxa"/>
            <w:vAlign w:val="bottom"/>
            <w:gridSpan w:val="2"/>
            <w:vMerge w:val="restart"/>
          </w:tcPr>
          <w:p>
            <w:pPr>
              <w:jc w:val="center"/>
              <w:ind w:right="280"/>
              <w:spacing w:after="0" w:line="129" w:lineRule="exact"/>
              <w:rPr>
                <w:sz w:val="20"/>
                <w:szCs w:val="20"/>
                <w:color w:val="auto"/>
              </w:rPr>
            </w:pPr>
            <w:r>
              <w:rPr>
                <w:rFonts w:ascii="Arial" w:cs="Arial" w:eastAsia="Arial" w:hAnsi="Arial"/>
                <w:sz w:val="14"/>
                <w:szCs w:val="14"/>
                <w:b w:val="1"/>
                <w:bCs w:val="1"/>
                <w:color w:val="auto"/>
                <w:w w:val="96"/>
              </w:rPr>
              <w:t>from</w:t>
            </w:r>
          </w:p>
        </w:tc>
        <w:tc>
          <w:tcPr>
            <w:tcW w:w="1100" w:type="dxa"/>
            <w:vAlign w:val="bottom"/>
            <w:gridSpan w:val="3"/>
            <w:vMerge w:val="restart"/>
          </w:tcPr>
          <w:p>
            <w:pPr>
              <w:ind w:left="100"/>
              <w:spacing w:after="0" w:line="129"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vMerge w:val="restart"/>
          </w:tcPr>
          <w:p>
            <w:pPr>
              <w:jc w:val="center"/>
              <w:spacing w:after="0" w:line="12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6"/>
        </w:trPr>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Paid-In Capital</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Affiliates</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1040" w:type="dxa"/>
            <w:vAlign w:val="bottom"/>
          </w:tcPr>
          <w:p>
            <w:pPr>
              <w:jc w:val="right"/>
              <w:spacing w:after="0"/>
              <w:rPr>
                <w:sz w:val="20"/>
                <w:szCs w:val="20"/>
                <w:color w:val="auto"/>
              </w:rPr>
            </w:pPr>
            <w:r>
              <w:rPr>
                <w:rFonts w:ascii="Arial" w:cs="Arial" w:eastAsia="Arial" w:hAnsi="Arial"/>
                <w:sz w:val="16"/>
                <w:szCs w:val="16"/>
                <w:color w:val="auto"/>
              </w:rPr>
              <w:t>60,221,799</w:t>
            </w:r>
          </w:p>
        </w:tc>
        <w:tc>
          <w:tcPr>
            <w:tcW w:w="8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416,278</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(951)</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(165,343)</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250,045</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277,995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66,892</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124,059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779,032</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15,409</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6,095</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(25,222)</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(25,222)</w:t>
            </w:r>
          </w:p>
        </w:tc>
        <w:tc>
          <w:tcPr>
            <w:tcW w:w="0" w:type="dxa"/>
            <w:vAlign w:val="bottom"/>
          </w:tcPr>
          <w:p>
            <w:pPr>
              <w:spacing w:after="0"/>
              <w:rPr>
                <w:sz w:val="1"/>
                <w:szCs w:val="1"/>
                <w:color w:val="auto"/>
              </w:rPr>
            </w:pPr>
          </w:p>
        </w:tc>
      </w:tr>
      <w:tr>
        <w:trPr>
          <w:trHeight w:val="206"/>
        </w:trPr>
        <w:tc>
          <w:tcPr>
            <w:tcW w:w="1040" w:type="dxa"/>
            <w:vAlign w:val="bottom"/>
          </w:tcPr>
          <w:p>
            <w:pPr>
              <w:jc w:val="right"/>
              <w:spacing w:after="0"/>
              <w:rPr>
                <w:sz w:val="20"/>
                <w:szCs w:val="20"/>
                <w:color w:val="auto"/>
              </w:rPr>
            </w:pPr>
            <w:r>
              <w:rPr>
                <w:rFonts w:ascii="Arial" w:cs="Arial" w:eastAsia="Arial" w:hAnsi="Arial"/>
                <w:sz w:val="16"/>
                <w:szCs w:val="16"/>
                <w:color w:val="auto"/>
              </w:rPr>
              <w:t>61,469,777</w:t>
            </w:r>
          </w:p>
        </w:tc>
        <w:tc>
          <w:tcPr>
            <w:tcW w:w="8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438,658</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(956)</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(190,565)</w:t>
            </w:r>
          </w:p>
        </w:tc>
        <w:tc>
          <w:tcPr>
            <w:tcW w:w="8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247,228</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56,583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20,903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179,118</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10,429</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360,724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4,221</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(32,985)</w:t>
            </w:r>
          </w:p>
        </w:tc>
        <w:tc>
          <w:tcPr>
            <w:tcW w:w="0" w:type="dxa"/>
            <w:vAlign w:val="bottom"/>
          </w:tcPr>
          <w:p>
            <w:pPr>
              <w:spacing w:after="0"/>
              <w:rPr>
                <w:sz w:val="1"/>
                <w:szCs w:val="1"/>
                <w:color w:val="auto"/>
              </w:rPr>
            </w:pPr>
          </w:p>
        </w:tc>
      </w:tr>
      <w:tr>
        <w:trPr>
          <w:trHeight w:val="207"/>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62,087,105</w:t>
            </w:r>
          </w:p>
        </w:tc>
        <w:tc>
          <w:tcPr>
            <w:tcW w:w="80" w:type="dxa"/>
            <w:vAlign w:val="bottom"/>
          </w:tcPr>
          <w:p>
            <w:pPr>
              <w:spacing w:after="0"/>
              <w:rPr>
                <w:sz w:val="17"/>
                <w:szCs w:val="17"/>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453,437</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(223,550)</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229,653</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58,800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214,522</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7,963</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6"/>
        </w:trPr>
        <w:tc>
          <w:tcPr>
            <w:tcW w:w="1040" w:type="dxa"/>
            <w:vAlign w:val="bottom"/>
          </w:tcPr>
          <w:p>
            <w:pPr>
              <w:jc w:val="right"/>
              <w:spacing w:after="0"/>
              <w:rPr>
                <w:sz w:val="20"/>
                <w:szCs w:val="20"/>
                <w:color w:val="auto"/>
              </w:rPr>
            </w:pPr>
            <w:r>
              <w:rPr>
                <w:rFonts w:ascii="Arial" w:cs="Arial" w:eastAsia="Arial" w:hAnsi="Arial"/>
                <w:sz w:val="18"/>
                <w:szCs w:val="18"/>
                <w:color w:val="auto"/>
              </w:rPr>
              <w:t>(75,920)</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(21,119)</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(21,119)</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62,284,507</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w:t>
            </w:r>
          </w:p>
        </w:tc>
        <w:tc>
          <w:tcPr>
            <w:tcW w:w="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460,395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(244,669)</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215,462</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-4817110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-4533900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-4259580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-3882390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-3608070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-3334385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-3051175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-2776855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-2502535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-2228215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-1851025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-1576705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-1293495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-1019810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-745490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-334010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60"/>
            <w:col w:w="7660"/>
          </w:cols>
          <w:pgMar w:left="320" w:top="229" w:right="3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U.S. $,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(79,326)</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6,831</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costs capitalized to obtain contracts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24,487</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Compensation expense in connection with revesting notes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Convertible notes fair value adjustment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liability fair value adjustment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Gain on revaluation of contingent consideration</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(5,279)</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revenue from affiliate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Inventory write-off</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in connection with membership benefit (Note 8)</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16,412</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7,216</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Costs capitalized to obtain contracts, net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(2,777)</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(5,345)</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 noncurrent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r>
      <w:tr>
        <w:trPr>
          <w:trHeight w:val="22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(54,897)</w:t>
            </w:r>
          </w:p>
        </w:tc>
      </w:tr>
      <w:tr>
        <w:trPr>
          <w:trHeight w:val="21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acquisitions, net of cash acquired</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(113,401)</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Internal use software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(114,102)</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Indemnity escrow payment in connection with an acquisition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exercise of options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Taxes paid related to net settlement of equity awards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(2,727)</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repayment of notes due from affiliates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Issuance of common stock</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convertible notes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Life360, Inc.</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right="1660"/>
        <w:spacing w:after="0" w:line="417" w:lineRule="auto"/>
        <w:rPr>
          <w:sz w:val="20"/>
          <w:szCs w:val="20"/>
          <w:color w:val="auto"/>
        </w:rPr>
      </w:pPr>
      <w:r>
        <w:rPr>
          <w:rFonts w:ascii="Arial" w:cs="Arial" w:eastAsia="Arial" w:hAnsi="Arial"/>
          <w:sz w:val="16"/>
          <w:szCs w:val="16"/>
          <w:b w:val="1"/>
          <w:bCs w:val="1"/>
          <w:color w:val="auto"/>
        </w:rPr>
        <w:t>Cash, Cash Equivalents and Restricted Cash at the Beginning of the Period Cash, Cash Equivalents, and Restricted Cash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during the period for taxes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during the period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360" w:right="2840"/>
        <w:spacing w:after="0" w:line="299" w:lineRule="auto"/>
        <w:rPr>
          <w:sz w:val="20"/>
          <w:szCs w:val="20"/>
          <w:color w:val="auto"/>
        </w:rPr>
      </w:pPr>
      <w:r>
        <w:rPr>
          <w:rFonts w:ascii="Arial" w:cs="Arial" w:eastAsia="Arial" w:hAnsi="Arial"/>
          <w:sz w:val="16"/>
          <w:szCs w:val="16"/>
          <w:color w:val="auto"/>
        </w:rPr>
        <w:t>Fair value of stock issued in connection with an acquisition Fair value of warrants held as investment in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Fair value of stock issued in settlement of contingent consideration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Right of use asset recognized in connection with lease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lease liability recognized in connection with lease modification</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non-cash investing and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90,365</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231,345</w:t>
            </w:r>
          </w:p>
        </w:tc>
      </w:tr>
      <w:tr>
        <w:trPr>
          <w:trHeight w:val="223"/>
        </w:trPr>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63,657</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58,875</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81"/>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728"/>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15,409</w:t>
            </w:r>
          </w:p>
        </w:tc>
      </w:tr>
      <w:tr>
        <w:trPr>
          <w:trHeight w:val="229"/>
        </w:trPr>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5,474</w:t>
            </w:r>
          </w:p>
        </w:tc>
      </w:tr>
      <w:tr>
        <w:trPr>
          <w:trHeight w:val="230"/>
        </w:trPr>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4,221</w:t>
            </w:r>
          </w:p>
        </w:tc>
      </w:tr>
      <w:tr>
        <w:trPr>
          <w:trHeight w:val="229"/>
        </w:trPr>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25,104</w:t>
            </w:r>
          </w:p>
        </w:tc>
      </w:tr>
    </w:tbl>
    <w:p>
      <w:pPr>
        <w:spacing w:after="0" w:line="200" w:lineRule="exact"/>
        <w:rPr>
          <w:sz w:val="20"/>
          <w:szCs w:val="20"/>
          <w:color w:val="auto"/>
        </w:rPr>
      </w:pPr>
    </w:p>
    <w:p>
      <w:pPr>
        <w:sectPr>
          <w:pgSz w:w="11900" w:h="16838" w:orient="portrait"/>
          <w:cols w:equalWidth="0" w:num="2">
            <w:col w:w="7460" w:space="720"/>
            <w:col w:w="3060"/>
          </w:cols>
          <w:pgMar w:left="320" w:top="229"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cash, cash equivalents, and restricted cash reported within the balance sheets totaling the same such amounts shown above: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17"/>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43,964</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Life360, Inc. (the “Company”) is a leading technology platform used to locate the people, pets and things that matter most to families. The Company was incorporated in the State of Delaware in 2007. The Company’s core offering, the Life360 mobile application, includes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monetization arrangements with certain commercial third parties (“Data Revenue Partners”) through Lead Generation and license agreements (including aggregated insights into the data collected from the Company’s user base). On September 1, 2021, the Company acquired all ownership interests of Jio, Inc (“Jiobit”). Jiobit is a provider of wearable location devices for young children, pets, and seniors. On January 5, 2022, the Company acquired all ownership interests of Tile, Inc. (“Tile”). Tile is a smart location company whose products include a Bluetooth enabled device and related accessories that work in tandem with the Tile application to enable its customers to locate lost or misplaced objects.</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12, 2023, the Company announced a workforce restructure which resulted in a reduction of the Company’s workforce of approximately 14%. The Company incurred $0.2 million and $4.0 million in non-recurring personnel and severance related expenses in connection with the restructure during the three and nine months ended September 30, 2023, respectively. As of September 30, 2023, all expenses incurred had been paid.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restructuring costs are recognized in the condensed consolidated statements of operations for the three and nine months ended September 30, 2023 as follows (in thousands):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subscription revenue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of hardware revenue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Research and development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General and administrative</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Personnel and Severance Related Expenses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Nine Months Ended</w:t>
            </w:r>
          </w:p>
        </w:tc>
      </w:tr>
      <w:tr>
        <w:trPr>
          <w:trHeight w:val="192"/>
        </w:trPr>
        <w:tc>
          <w:tcPr>
            <w:tcW w:w="200" w:type="dxa"/>
            <w:vAlign w:val="bottom"/>
          </w:tcPr>
          <w:p>
            <w:pPr>
              <w:spacing w:after="0"/>
              <w:rPr>
                <w:sz w:val="16"/>
                <w:szCs w:val="16"/>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September 30, 2023</w:t>
            </w:r>
          </w:p>
        </w:tc>
        <w:tc>
          <w:tcPr>
            <w:tcW w:w="240" w:type="dxa"/>
            <w:vAlign w:val="bottom"/>
          </w:tcPr>
          <w:p>
            <w:pPr>
              <w:spacing w:after="0"/>
              <w:rPr>
                <w:sz w:val="16"/>
                <w:szCs w:val="16"/>
                <w:color w:val="auto"/>
              </w:rPr>
            </w:pPr>
          </w:p>
        </w:tc>
        <w:tc>
          <w:tcPr>
            <w:tcW w:w="1720" w:type="dxa"/>
            <w:vAlign w:val="bottom"/>
          </w:tcPr>
          <w:p>
            <w:pPr>
              <w:jc w:val="right"/>
              <w:ind w:right="295"/>
              <w:spacing w:after="0"/>
              <w:rPr>
                <w:sz w:val="20"/>
                <w:szCs w:val="20"/>
                <w:color w:val="auto"/>
              </w:rPr>
            </w:pPr>
            <w:r>
              <w:rPr>
                <w:rFonts w:ascii="Arial" w:cs="Arial" w:eastAsia="Arial" w:hAnsi="Arial"/>
                <w:sz w:val="14"/>
                <w:szCs w:val="14"/>
                <w:b w:val="1"/>
                <w:bCs w:val="1"/>
                <w:color w:val="auto"/>
              </w:rPr>
              <w:t>September 30, 2023</w:t>
            </w:r>
          </w:p>
        </w:tc>
      </w:tr>
      <w:tr>
        <w:trPr>
          <w:trHeight w:val="228"/>
        </w:trPr>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20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20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30"/>
        </w:trPr>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-925195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-624840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-334010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000"/>
          </w:cols>
          <w:pgMar w:left="320" w:top="229" w:right="3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Included below are select significant accounting policies. Refer to Note 2, "Summary of Significant Accounting Policies" in our Annual Report on Form 10-K for the year ended December 31, 2022, filed with the SEC on March 23, 2023 for a full list of our significant accounting policies.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the Company and its wholly owned subsidiaries, have been prepared in conformity with accounting principles generally accepted in the United States of America (“GAAP”) for interim periods and following the requirements of the Securities and Exchange Commission (“SEC”) for interim reporting. As permitted under those rules, certain footnotes or other financial information that are normally required by GAAP can be condensed or omitted. All intercompany balances and transactions have been eliminated in consolidation.</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condensed consolidated balance sheet as of December 31, 2022, included herein, was derived from the audited financial statements as of that date. In the opinion of the Company’s management, the condensed consolidated financial statements reflect all normal recurring adjustments necessary for a fair statement of the results of operations for the interim periods presented and are not necessarily indicative of the Company’s future results of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should be read in conjunction with the audited consolidated financial statements and notes thereto included in the Company’s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w:t>
      </w:r>
    </w:p>
    <w:p>
      <w:pPr>
        <w:spacing w:after="0" w:line="76" w:lineRule="exact"/>
        <w:rPr>
          <w:sz w:val="20"/>
          <w:szCs w:val="20"/>
          <w:color w:val="auto"/>
        </w:rPr>
      </w:pPr>
    </w:p>
    <w:p>
      <w:pPr>
        <w:jc w:val="both"/>
        <w:ind w:left="660" w:right="3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allowances for credit losses and product returns;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promotional and marketing allowances;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useful customer life;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valuation of stock-based awards;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contingencies;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long-lived assets and goodwill;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valuation of contingent consideration, convertible notes and embedded derivatives;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useful lives of long-lived assets;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including valuation allowances on deferred tax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bases its estimates and judgments on historical experience and on various assumptions that it believes are reasonable under the circumstances. Actual results could differ significantly from those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Although there are several new accounting standards issued or proposed by the FASB, which the Company will adopt, as applicable, the Company does not believe any of these accounting pronouncements will have a material impact on its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 and Significant Customers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depends on the constant real-time performance, reliability and availability of its technology system and access to its partner’s networks. The Company primarily relies on a single technology partner for its cloud platform and a limited number of contract manufacturers to assemble components of the Jiobit and Tile hardware tracking devices. Any adverse impacts to the platform and the contract manufacturers could negatively impact the Company’s relationships with its partners or users and may adversely impact its business, financial performance, and reputation.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derives its accounts receivable from revenue earned from customers located in the United States and internationally. Channel and retail partners account for the majority of the Company’s revenue and accounts receivable for all periods presented.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set forth the information about the Company’s channel and retail partners who represented greater than 10% of its revenue or accounts receivable, respectively:</w:t>
      </w:r>
    </w:p>
    <w:p>
      <w:pPr>
        <w:spacing w:after="0" w:line="202"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Percentage of Revenue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40" w:type="dxa"/>
            <w:vAlign w:val="bottom"/>
          </w:tcPr>
          <w:p>
            <w:pPr>
              <w:spacing w:after="0"/>
              <w:rPr>
                <w:sz w:val="18"/>
                <w:szCs w:val="18"/>
                <w:color w:val="auto"/>
              </w:rPr>
            </w:pPr>
          </w:p>
        </w:tc>
        <w:tc>
          <w:tcPr>
            <w:tcW w:w="4000" w:type="dxa"/>
            <w:vAlign w:val="bottom"/>
            <w:tcBorders>
              <w:top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rPr>
              <w:t>Three Months Ended September 30,</w:t>
            </w:r>
          </w:p>
        </w:tc>
        <w:tc>
          <w:tcPr>
            <w:tcW w:w="3200" w:type="dxa"/>
            <w:vAlign w:val="bottom"/>
            <w:tcBorders>
              <w:top w:val="single" w:sz="8" w:color="auto"/>
            </w:tcBorders>
            <w:gridSpan w:val="6"/>
          </w:tcPr>
          <w:p>
            <w:pPr>
              <w:jc w:val="right"/>
              <w:ind w:right="61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04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Partner A</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Channel Partner B</w:t>
            </w:r>
          </w:p>
        </w:tc>
        <w:tc>
          <w:tcPr>
            <w:tcW w:w="56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Retail Partner 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Data Partner A</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220" w:type="dxa"/>
            <w:vAlign w:val="bottom"/>
            <w:gridSpan w:val="2"/>
          </w:tcPr>
          <w:p>
            <w:pPr>
              <w:spacing w:after="0"/>
              <w:rPr>
                <w:sz w:val="20"/>
                <w:szCs w:val="20"/>
                <w:color w:val="auto"/>
              </w:rPr>
            </w:pPr>
            <w:r>
              <w:rPr>
                <w:rFonts w:ascii="Arial" w:cs="Arial" w:eastAsia="Arial" w:hAnsi="Arial"/>
                <w:sz w:val="18"/>
                <w:szCs w:val="18"/>
                <w:i w:val="1"/>
                <w:iCs w:val="1"/>
                <w:color w:val="auto"/>
              </w:rPr>
              <w:t>*  Represents less than 10%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0"/>
        </w:trPr>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rPr>
              <w:t>Percentage of Gross Accounts Receivable</w:t>
            </w:r>
          </w:p>
        </w:tc>
        <w:tc>
          <w:tcPr>
            <w:tcW w:w="1080" w:type="dxa"/>
            <w:vAlign w:val="bottom"/>
          </w:tcPr>
          <w:p>
            <w:pPr>
              <w:spacing w:after="0"/>
              <w:rPr>
                <w:sz w:val="24"/>
                <w:szCs w:val="24"/>
                <w:color w:val="auto"/>
              </w:rPr>
            </w:pPr>
          </w:p>
        </w:tc>
      </w:tr>
      <w:tr>
        <w:trPr>
          <w:trHeight w:val="26"/>
        </w:trPr>
        <w:tc>
          <w:tcPr>
            <w:tcW w:w="4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9"/>
              </w:rPr>
              <w:t>As of 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40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auto"/>
            </w:tcBorders>
          </w:tcPr>
          <w:p>
            <w:pPr>
              <w:spacing w:after="0"/>
              <w:rPr>
                <w:sz w:val="17"/>
                <w:szCs w:val="17"/>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Channel Partner A</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Channel Partner B</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Data Partner A</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Retail Partner A</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23 %</w:t>
            </w:r>
          </w:p>
        </w:tc>
      </w:tr>
    </w:tbl>
    <w:p>
      <w:pPr>
        <w:spacing w:after="0" w:line="17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Represents less than 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Deposits of $1.8 million and $14.9 million were restricted from withdrawal as of September 30, 2023 and December 31, 2022, respectively. In April 2023, the Company released and paid $13.1 million of restricted cash which was previously held in indemnity escrow as part of the acquisition of Tile in January 2022 (the “Tile Acquisition”) for general representations and warranties, fifteen months after the acquisition date.</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restricted cash, noncurrent balance of $1.8 million as of September 30, 2023 relates to cash deposits restricted under letters of credit issued on behalf of the Company in support of indebtedness to trade creditors incurred in the ordinary course of business. The restricted cash, noncurrent balance of $1.6 million as of December 31, 2022 relates to funds placed in an indemnity escrow fund after the acquisition of Jiobit, and facility lease agreements.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 Revenue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 by geographic region is generally based on the address of the customer as defined in the contract with the customer. The following table sets forth revenue by geographic region for the periods presented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5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141,352</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8,843</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international regions</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78,624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217,555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156,967</w:t>
            </w:r>
          </w:p>
        </w:tc>
      </w:tr>
      <w:tr>
        <w:trPr>
          <w:trHeight w:val="21"/>
        </w:trPr>
        <w:tc>
          <w:tcPr>
            <w:tcW w:w="5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Deferred Revenue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revenue consists primarily of payments received and accounts receivable recorded in advance of revenue recognition under the Company’s subscription service arrangements and is recognized as the revenue recognition criteria is met.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consolidated balance sheets.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and nine months ended September 30, 2023, the Company recognized revenue of $3.5 million and $23.4 million, respectively, that was included in the deferred revenue balance at December 31, 2022. During the three and nine months ended September 30, 2022, the Company recognized revenue of $2.0 million and $13.2 million, respectively, that was included in deferred revenue balance at December 31, 2021.</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expected to be recognized from remaining performance obligations was $35.0 million as of September 30, 2023, of which the Company expects $33.7 million to be recognized over the next twelve months.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Costs Capitalized to Obtain Contracts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obtaining new revenue contracts are deferred and then amortized on a straight-line basis over the related period of benefit, which is three years for the three and nine months ended September 30, 2023 and approximately two years to three years depending on the subscription type for the three and nine months ended September 30,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 forward of the Company’s costs capitalized to obtain contracts, net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30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2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costs to obtain contracts, beginning of period</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8"/>
              </w:rPr>
              <w:t>1,649</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Acquired costs capitalized to obtain contracts</w:t>
            </w:r>
          </w:p>
        </w:tc>
        <w:tc>
          <w:tcPr>
            <w:tcW w:w="8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center"/>
              <w:ind w:left="453"/>
              <w:spacing w:after="0"/>
              <w:rPr>
                <w:sz w:val="20"/>
                <w:szCs w:val="20"/>
                <w:color w:val="auto"/>
              </w:rPr>
            </w:pPr>
            <w:r>
              <w:rPr>
                <w:rFonts w:ascii="Arial" w:cs="Arial" w:eastAsia="Arial" w:hAnsi="Arial"/>
                <w:sz w:val="18"/>
                <w:szCs w:val="18"/>
                <w:color w:val="auto"/>
                <w:w w:val="88"/>
              </w:rPr>
              <w:t>1,184</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capitalized costs to obtain contracts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8"/>
              </w:rPr>
              <w:t>1,593</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capitalized costs to obtain contracts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33"/>
              <w:spacing w:after="0"/>
              <w:rPr>
                <w:sz w:val="20"/>
                <w:szCs w:val="20"/>
                <w:color w:val="auto"/>
              </w:rPr>
            </w:pPr>
            <w:r>
              <w:rPr>
                <w:rFonts w:ascii="Arial" w:cs="Arial" w:eastAsia="Arial" w:hAnsi="Arial"/>
                <w:sz w:val="18"/>
                <w:szCs w:val="18"/>
                <w:color w:val="auto"/>
                <w:w w:val="94"/>
              </w:rPr>
              <w:t>(2,419)</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costs to obtain contracts, end of period</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453"/>
              <w:spacing w:after="0"/>
              <w:rPr>
                <w:sz w:val="20"/>
                <w:szCs w:val="20"/>
                <w:color w:val="auto"/>
              </w:rPr>
            </w:pPr>
            <w:r>
              <w:rPr>
                <w:rFonts w:ascii="Arial" w:cs="Arial" w:eastAsia="Arial" w:hAnsi="Arial"/>
                <w:sz w:val="18"/>
                <w:szCs w:val="18"/>
                <w:color w:val="auto"/>
                <w:w w:val="88"/>
              </w:rPr>
              <w:t>2,007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its financial assets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inputs which may be used to measure fair value are as follows: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62"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prepaid expenses, accounts receivable, and accounts payable approximate fair value due to their short-term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and reports certain assets and liabilities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assets and liabilities as of September 30, 2023 and December 31, 2022 are classified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3"/>
          </w:tcPr>
          <w:p>
            <w:pPr>
              <w:ind w:left="420"/>
              <w:spacing w:after="0"/>
              <w:rPr>
                <w:sz w:val="20"/>
                <w:szCs w:val="20"/>
                <w:color w:val="auto"/>
              </w:rPr>
            </w:pPr>
            <w:r>
              <w:rPr>
                <w:rFonts w:ascii="Arial" w:cs="Arial" w:eastAsia="Arial" w:hAnsi="Arial"/>
                <w:sz w:val="14"/>
                <w:szCs w:val="14"/>
                <w:b w:val="1"/>
                <w:bCs w:val="1"/>
                <w:color w:val="auto"/>
              </w:rPr>
              <w:t>As of September 30, 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41,430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41,430</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(Note 10)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Convertible notes (Note 9)</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6"/>
          </w:tcPr>
          <w:p>
            <w:pPr>
              <w:ind w:left="500"/>
              <w:spacing w:after="0"/>
              <w:rPr>
                <w:sz w:val="20"/>
                <w:szCs w:val="20"/>
                <w:color w:val="auto"/>
              </w:rPr>
            </w:pPr>
            <w:r>
              <w:rPr>
                <w:rFonts w:ascii="Arial" w:cs="Arial" w:eastAsia="Arial" w:hAnsi="Arial"/>
                <w:sz w:val="14"/>
                <w:szCs w:val="14"/>
                <w:b w:val="1"/>
                <w:bCs w:val="1"/>
                <w:color w:val="auto"/>
                <w:w w:val="94"/>
              </w:rPr>
              <w:t>As of December 31, 2022</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Level 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61,227</w:t>
            </w:r>
          </w:p>
        </w:tc>
        <w:tc>
          <w:tcPr>
            <w:tcW w:w="3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7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(Note 10)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7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Convertible notes (Note 9)</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520" w:type="dxa"/>
            <w:vAlign w:val="bottom"/>
            <w:gridSpan w:val="3"/>
          </w:tcPr>
          <w:p>
            <w:pPr>
              <w:spacing w:after="0"/>
              <w:rPr>
                <w:sz w:val="20"/>
                <w:szCs w:val="20"/>
                <w:color w:val="auto"/>
              </w:rPr>
            </w:pPr>
            <w:r>
              <w:rPr>
                <w:rFonts w:ascii="Arial" w:cs="Arial" w:eastAsia="Arial" w:hAnsi="Arial"/>
                <w:sz w:val="18"/>
                <w:szCs w:val="18"/>
                <w:color w:val="auto"/>
                <w:w w:val="99"/>
              </w:rPr>
              <w:t>The change in fair value of the Level 3 instruments were as follows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As of September 30, 2023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Derivative</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3"/>
          </w:tcPr>
          <w:p>
            <w:pPr>
              <w:jc w:val="center"/>
              <w:ind w:right="673"/>
              <w:spacing w:after="0" w:line="129"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600"/>
              <w:spacing w:after="0" w:line="139" w:lineRule="exact"/>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980"/>
              <w:spacing w:after="0" w:line="139" w:lineRule="exact"/>
              <w:rPr>
                <w:sz w:val="20"/>
                <w:szCs w:val="20"/>
                <w:color w:val="auto"/>
              </w:rPr>
            </w:pPr>
            <w:r>
              <w:rPr>
                <w:rFonts w:ascii="Arial" w:cs="Arial" w:eastAsia="Arial" w:hAnsi="Arial"/>
                <w:sz w:val="14"/>
                <w:szCs w:val="14"/>
                <w:b w:val="1"/>
                <w:bCs w:val="1"/>
                <w:color w:val="auto"/>
                <w:w w:val="85"/>
              </w:rPr>
              <w:t>notes</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(Note 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5"/>
              </w:rPr>
              <w:t>(Note 9)</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the year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Vesting of revesting notes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Forfeiture of convertible notes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convertible notes (Note 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Fair value, end of period</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tcPr>
          <w:p>
            <w:pPr>
              <w:jc w:val="center"/>
              <w:ind w:right="60"/>
              <w:spacing w:after="0" w:line="133" w:lineRule="exact"/>
              <w:rPr>
                <w:sz w:val="20"/>
                <w:szCs w:val="20"/>
                <w:color w:val="auto"/>
              </w:rPr>
            </w:pPr>
            <w:r>
              <w:rPr>
                <w:rFonts w:ascii="Arial" w:cs="Arial" w:eastAsia="Arial" w:hAnsi="Arial"/>
                <w:sz w:val="14"/>
                <w:szCs w:val="14"/>
                <w:b w:val="1"/>
                <w:bCs w:val="1"/>
                <w:color w:val="auto"/>
                <w:w w:val="93"/>
              </w:rPr>
              <w:t>Convertible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liability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notes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(Note 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(Note 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beginning of the year</w:t>
            </w:r>
          </w:p>
        </w:tc>
        <w:tc>
          <w:tcPr>
            <w:tcW w:w="3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Vesting of revesting notes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 of revesting notes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Repayment of convertible notes (Note 9)</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w w:val="92"/>
              </w:rPr>
              <w:t>Issuance of common stock in settlement of contingent consideration</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end of period</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months ended September 30, 2023, the Company recorded a gain associated with the change in fair value of the derivative liability of $0.1 million and a loss of $0.2 million, respectively. For the three and nine months ended September 30, 2023, the Company recorded a loss associated with the change in fair value of the convertible notes of $0.6 million and $0.8 million, respectively. For the year ended December 31, 2022, the Company recorded a gain associated with the change in fair value of the derivative liability and the change in fair value of the convertible notes of $1.3 million and $1.8 million, respectively. The amounts have been recorded in other income (expense), net in the condensed consolidated statements of operations and comprehensive loss.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2022, the Company recorded a gain associated with the change in fair value of the contingent consideration of $5.3 million. The amounts have been recorded in general and administrative expense in the condensed consolidated statements of operations and comprehensive loss.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nine months ended September 30, 2022, the Company recorded a loss associated with the change in fair value of the derivative liability of $0.1 million and a gain of $1.2 million, respectively. For the three and nine months ended September 30, 2022, the Company recorded a loss associated with the change in fair value of the convertible notes of $0.2 million and a gain of $1.9 million, respectively. The amounts have been recorded in other income (expense), net in the condensed consolidated statements of operations and comprehensive loss.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September 30, 2022, the Company recorded a gain associated with the change in fair value of the contingent consideration of zero and $5.3 million, respectively. The amounts have been recorded in general and administrative expense in the condensed consolidated statements of operations and comprehensive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Tile, Inc.</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5, 2022, the Company completed the acquisition of Tile, Inc. (“Tile”), a privately held consumer electronics company. The company is based in San Mateo, California and was founded in 2012. Tile is a smart location company whose products include a Bluetooth enabled device and related accessories that work in tandem with the Tile application, to enable its customers to locate lost or misplaced objects. Tile offers a comprehensive list of products to use with the Tile application, along with optional subscription services to enhance features offered for Tile products. The addition of Tile is expected to strengthen and extend Life360’s market leadership position by leveraging Tile’s developed technology and customer relationships to accelerate the Company’s own product development and augment the Life360 team with a critical mass of talent. The aggregate purchase consideration was $173.5 million, of which $158.1 million was paid in cash and $15.4 million paid in equity. The $15.4 million in equity was comprised of 780,593 shares of the Company’s common stock valued on the date of acquisition and 534,465 shares of common stock contingent consideration which was promised upon reaching certain operational goals. Of the consideration transferred, $14.1 million in cash and 84,524 common shares were placed in an indemnity escrow fund to be held for fifteen months after the acquisition date for general representations and warranties and were released during April 2023.</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total of $35.0 million was excluded from purchase consideration which consisted of retention compensation of 1,499,349 shares of restricted stock units valued at $29.6 million, $0.4 million related to 38,730 vested common stock options issued to Tile employees as stock-based compensation on the acquisition date and change in control bonuses of $3.0 million, which were recognized as compensation expense on the condensed consolidated statements of operations on the acquisition date. The Company incurred transaction related expenses of $1.7 million, which were recorded under general and administrative expenses in the condensed consolidated statements of operations. The remaining costs excluded from purchase consideration related to 1,561 shares granted to a key employee and vest based on continued employment, and 4,784 shares of contingent consideration granted to a key employee, which also vest based on continued employment.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1,499,349 shares of retention restricted stock units, 787,446 shares valued at $15.6 million contained performance vesting criteria based on the achievement of certain company milestones, and vest over a two year period. The remaining retention restricted stock units of 711,903 shares vest over a two to four year period. In March 2022, it was determined that the performance criteria was not met so the 787,446 shares of retention restricted stock units subject to performance vesting criteria were cancelled.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contingent consideration was based on the Company’s achievement of certain targets for revenue and earnings before interest, taxes, depreciation, and amortization for the three months ended December 31, 2021 and the three months ended March 31, 2022. The Company determined that the criteria to satisfy the contingent consideration were not met, and as such, no value was ascribed to the contingent consideration.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transaction was accounted for as a business combination. The total purchase price of $173.5 million was allocated to the tangible and intangible assets and liabilities based on their estimated fair values on the date of acquisition. The excess purchase consideration over the fair value of the net tangible assets and identifiable intangible assets acquired was $102.5 million and was recorded as goodwill.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September 30,</w:t>
            </w:r>
          </w:p>
        </w:tc>
        <w:tc>
          <w:tcPr>
            <w:tcW w:w="200" w:type="dxa"/>
            <w:vAlign w:val="bottom"/>
          </w:tcPr>
          <w:p>
            <w:pPr>
              <w:spacing w:after="0"/>
              <w:rPr>
                <w:sz w:val="16"/>
                <w:szCs w:val="16"/>
                <w:color w:val="auto"/>
              </w:rPr>
            </w:pPr>
          </w:p>
        </w:tc>
        <w:tc>
          <w:tcPr>
            <w:tcW w:w="15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26"/>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8"/>
                <w:szCs w:val="18"/>
                <w:color w:val="auto"/>
              </w:rPr>
              <w:t>Inventory consists of the following (in thousands):</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September 30,</w:t>
            </w:r>
          </w:p>
        </w:tc>
        <w:tc>
          <w:tcPr>
            <w:tcW w:w="200" w:type="dxa"/>
            <w:vAlign w:val="bottom"/>
          </w:tcPr>
          <w:p>
            <w:pPr>
              <w:spacing w:after="0"/>
              <w:rPr>
                <w:sz w:val="24"/>
                <w:szCs w:val="24"/>
                <w:color w:val="auto"/>
              </w:rPr>
            </w:pPr>
          </w:p>
        </w:tc>
        <w:tc>
          <w:tcPr>
            <w:tcW w:w="15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26"/>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recorded a raw materials inventory write-off of $0.9 million for the nine months ended September 30, 2023. The write-off resulted from a decision made during the three months ended March 31, 2023 to discontinue a product line in the Company’s product roadmap. The raw materials have no alternative use and have been fully written off for the nine months ended September 30, 2023. There were no additional inventory write-offs for the three months ended September 30, 2023, and there were no inventory write-offs recorded for the three and nine months ended September 30,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September 30,</w:t>
            </w:r>
          </w:p>
        </w:tc>
        <w:tc>
          <w:tcPr>
            <w:tcW w:w="200" w:type="dxa"/>
            <w:vAlign w:val="bottom"/>
          </w:tcPr>
          <w:p>
            <w:pPr>
              <w:spacing w:after="0"/>
              <w:rPr>
                <w:sz w:val="16"/>
                <w:szCs w:val="16"/>
                <w:color w:val="auto"/>
              </w:rPr>
            </w:pPr>
          </w:p>
        </w:tc>
        <w:tc>
          <w:tcPr>
            <w:tcW w:w="154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As of December 31,</w:t>
            </w:r>
          </w:p>
        </w:tc>
      </w:tr>
      <w:tr>
        <w:trPr>
          <w:trHeight w:val="25"/>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prepaid expenses and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Prepaid expenses primarily consist of certain cloud platform and customer service program costs. Other receivables primarily consist of refunds owed to the Company and other amounts which the Company is expected to receive in less than twelve months.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 (in thousands):</w:t>
      </w:r>
    </w:p>
    <w:p>
      <w:pPr>
        <w:sectPr>
          <w:pgSz w:w="11900" w:h="16838" w:orient="portrait"/>
          <w:cols w:equalWidth="0" w:num="1">
            <w:col w:w="11240"/>
          </w:cols>
          <w:pgMar w:left="320" w:top="229" w:right="339" w:bottom="1440" w:gutter="0" w:footer="0" w:header="0"/>
        </w:sectPr>
      </w:pPr>
    </w:p>
    <w:p>
      <w:pPr>
        <w:spacing w:after="0" w:line="257" w:lineRule="exact"/>
        <w:rPr>
          <w:sz w:val="20"/>
          <w:szCs w:val="20"/>
          <w:color w:val="auto"/>
        </w:rPr>
      </w:pPr>
    </w:p>
    <w:p>
      <w:pPr>
        <w:jc w:val="center"/>
        <w:ind w:left="792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46990</wp:posOffset>
            </wp:positionV>
            <wp:extent cx="10972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8"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46990</wp:posOffset>
            </wp:positionV>
            <wp:extent cx="1097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9140" w:space="620"/>
            <w:col w:w="14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manufacturing equipment</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660" w:type="dxa"/>
            <w:vAlign w:val="bottom"/>
          </w:tcPr>
          <w:p>
            <w:pPr>
              <w:ind w:left="360"/>
              <w:spacing w:after="0"/>
              <w:rPr>
                <w:sz w:val="20"/>
                <w:szCs w:val="20"/>
                <w:color w:val="auto"/>
              </w:rPr>
            </w:pPr>
            <w:r>
              <w:rPr>
                <w:rFonts w:ascii="Arial" w:cs="Arial" w:eastAsia="Arial" w:hAnsi="Arial"/>
                <w:sz w:val="18"/>
                <w:szCs w:val="18"/>
                <w:color w:val="auto"/>
              </w:rPr>
              <w:t>Total property and equipment, gross</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23"/>
        </w:trPr>
        <w:tc>
          <w:tcPr>
            <w:tcW w:w="766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1"/>
        </w:trPr>
        <w:tc>
          <w:tcPr>
            <w:tcW w:w="7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and nine months ended September 30, 2023, depreciation expense was $46 thousand and $123 thousand, respectively, and for the three and nine months ended September 30, 2022, depreciation expense was $0.1 million and $0.3 million,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impairment of property and equipment or long-lived assets recognized during the three and nine months ended September 30, 2023 or September 30,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 noncurrent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noncurrent consist of the following (in thousands):</w:t>
      </w:r>
    </w:p>
    <w:p>
      <w:pPr>
        <w:sectPr>
          <w:pgSz w:w="11900" w:h="16838" w:orient="portrait"/>
          <w:cols w:equalWidth="0" w:num="1">
            <w:col w:w="11240"/>
          </w:cols>
          <w:pgMar w:left="320" w:top="229" w:right="339" w:bottom="1440" w:gutter="0" w:footer="0" w:header="0"/>
          <w:type w:val="continuous"/>
        </w:sectPr>
      </w:pPr>
    </w:p>
    <w:p>
      <w:pPr>
        <w:spacing w:after="0" w:line="257" w:lineRule="exact"/>
        <w:rPr>
          <w:sz w:val="20"/>
          <w:szCs w:val="20"/>
          <w:color w:val="auto"/>
        </w:rPr>
      </w:pPr>
    </w:p>
    <w:p>
      <w:pPr>
        <w:jc w:val="center"/>
        <w:ind w:left="792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46990</wp:posOffset>
            </wp:positionV>
            <wp:extent cx="10972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8"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46990</wp:posOffset>
            </wp:positionV>
            <wp:extent cx="1097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9140" w:space="620"/>
            <w:col w:w="14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noncurrent</w:t>
            </w: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Investment in affiliate</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5,474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5,474</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7660" w:type="dxa"/>
            <w:vAlign w:val="bottom"/>
          </w:tcPr>
          <w:p>
            <w:pPr>
              <w:ind w:left="360"/>
              <w:spacing w:after="0"/>
              <w:rPr>
                <w:sz w:val="20"/>
                <w:szCs w:val="20"/>
                <w:color w:val="auto"/>
              </w:rPr>
            </w:pPr>
            <w:r>
              <w:rPr>
                <w:rFonts w:ascii="Arial" w:cs="Arial" w:eastAsia="Arial" w:hAnsi="Arial"/>
                <w:sz w:val="18"/>
                <w:szCs w:val="18"/>
                <w:color w:val="auto"/>
              </w:rPr>
              <w:t>Total prepaid expenses and other assets, noncurrent</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w:t>
            </w:r>
          </w:p>
        </w:tc>
      </w:tr>
      <w:tr>
        <w:trPr>
          <w:trHeight w:val="20"/>
        </w:trPr>
        <w:tc>
          <w:tcPr>
            <w:tcW w:w="7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Prepaid expenses, noncurrent primarily consist of cloud platform costs. Investment in affiliate relates to warrants to purchase shares of preferred stock of a current Data Revenue Partner.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office space under various non-cancelable operating leases with remaining lease terms of up to 3.0 years, some of which include the option to extend the lease. In May 2023, the Company amended its lease agreement for its headquarter office space located in San Mateo, California. The amendment extended the lease term to November 2026, reduced the Company’s leased office space and reduced the monthly lease payments. As a result, the associated right-of-use asset and lease liability were remeasured and the right-of-use asset and lease liability increased by $1.1 million and $1.1 million, respectively, upon the remeasurement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finance leases as of September 30, 2023 or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310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3"/>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3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0"/>
        </w:trPr>
        <w:tc>
          <w:tcPr>
            <w:tcW w:w="3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2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r>
    </w:tbl>
    <w:p>
      <w:pPr>
        <w:spacing w:after="0" w:line="15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Amounts include short-term leases, which are immaterial.</w:t>
      </w:r>
    </w:p>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three and nine months ended September 30, 2023, payments for operating leases included in cash from operating activities were $0.2 million and $0.7 million, respectively. For the three and nine months ended September 30, 2022, payments for operating leases included in cash from operating activities were $0.6 million and $1.8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is as follows (in thousands, except lease term):</w:t>
      </w:r>
    </w:p>
    <w:p>
      <w:pPr>
        <w:sectPr>
          <w:pgSz w:w="11900" w:h="16838" w:orient="portrait"/>
          <w:cols w:equalWidth="0" w:num="1">
            <w:col w:w="11240"/>
          </w:cols>
          <w:pgMar w:left="320" w:top="229" w:right="339" w:bottom="1440" w:gutter="0" w:footer="0" w:header="0"/>
        </w:sectPr>
      </w:pPr>
    </w:p>
    <w:p>
      <w:pPr>
        <w:spacing w:after="0" w:line="257" w:lineRule="exact"/>
        <w:rPr>
          <w:sz w:val="20"/>
          <w:szCs w:val="20"/>
          <w:color w:val="auto"/>
        </w:rPr>
      </w:pPr>
    </w:p>
    <w:p>
      <w:pPr>
        <w:jc w:val="center"/>
        <w:ind w:left="764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46990</wp:posOffset>
            </wp:positionV>
            <wp:extent cx="1200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8"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46990</wp:posOffset>
            </wp:positionV>
            <wp:extent cx="1200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8"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8980" w:space="720"/>
            <w:col w:w="154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7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8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Operating lease liability, current (included in accrued expenses and other current liabilities)</w:t>
            </w:r>
          </w:p>
        </w:tc>
        <w:tc>
          <w:tcPr>
            <w:tcW w:w="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 (included in other liabilities, noncurrent)</w:t>
            </w: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Weighted-average remaining term for operating lease (in years)</w:t>
            </w:r>
          </w:p>
        </w:tc>
        <w:tc>
          <w:tcPr>
            <w:tcW w:w="7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discount rate used to measure the present value of the operating lease liabilities was 5.0%.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Maturities of the Company’s operating lease liabilities, which do not include short-term leases, as of September 30, 2023 were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3"/>
              <w:spacing w:after="0"/>
              <w:rPr>
                <w:sz w:val="20"/>
                <w:szCs w:val="20"/>
                <w:color w:val="auto"/>
              </w:rPr>
            </w:pPr>
            <w:r>
              <w:rPr>
                <w:rFonts w:ascii="Arial" w:cs="Arial" w:eastAsia="Arial" w:hAnsi="Arial"/>
                <w:sz w:val="14"/>
                <w:szCs w:val="14"/>
                <w:b w:val="1"/>
                <w:bCs w:val="1"/>
                <w:color w:val="auto"/>
                <w:w w:val="93"/>
              </w:rPr>
              <w:t>Operating leases</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7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2024</w:t>
            </w:r>
          </w:p>
        </w:tc>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2026</w:t>
            </w:r>
          </w:p>
        </w:tc>
        <w:tc>
          <w:tcPr>
            <w:tcW w:w="5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7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8"/>
                <w:szCs w:val="18"/>
                <w:color w:val="auto"/>
              </w:rPr>
              <w:t>Total operating lease liability</w:t>
            </w:r>
          </w:p>
        </w:tc>
        <w:tc>
          <w:tcPr>
            <w:tcW w:w="57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760" w:type="dxa"/>
            <w:vAlign w:val="bottom"/>
            <w:vMerge w:val="restart"/>
          </w:tcPr>
          <w:p>
            <w:pPr>
              <w:jc w:val="right"/>
              <w:ind w:right="395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0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consists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 September 30 2023,</w:t>
            </w: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6"/>
        </w:trPr>
        <w:tc>
          <w:tcPr>
            <w:tcW w:w="4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9"/>
        </w:trPr>
        <w:tc>
          <w:tcPr>
            <w:tcW w:w="4100" w:type="dxa"/>
            <w:vAlign w:val="bottom"/>
          </w:tcPr>
          <w:p>
            <w:pPr>
              <w:spacing w:after="0"/>
              <w:rPr>
                <w:sz w:val="16"/>
                <w:szCs w:val="16"/>
                <w:color w:val="auto"/>
              </w:rPr>
            </w:pPr>
          </w:p>
        </w:tc>
        <w:tc>
          <w:tcPr>
            <w:tcW w:w="1540" w:type="dxa"/>
            <w:vAlign w:val="bottom"/>
          </w:tcPr>
          <w:p>
            <w:pPr>
              <w:jc w:val="right"/>
              <w:ind w:right="116"/>
              <w:spacing w:after="0"/>
              <w:rPr>
                <w:sz w:val="20"/>
                <w:szCs w:val="20"/>
                <w:color w:val="auto"/>
              </w:rPr>
            </w:pPr>
            <w:r>
              <w:rPr>
                <w:rFonts w:ascii="Arial" w:cs="Arial" w:eastAsia="Arial" w:hAnsi="Arial"/>
                <w:sz w:val="14"/>
                <w:szCs w:val="14"/>
                <w:b w:val="1"/>
                <w:bCs w:val="1"/>
                <w:color w:val="auto"/>
              </w:rPr>
              <w:t>Gross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Accumulated Amortization</w:t>
            </w:r>
          </w:p>
        </w:tc>
        <w:tc>
          <w:tcPr>
            <w:tcW w:w="580" w:type="dxa"/>
            <w:vAlign w:val="bottom"/>
          </w:tcPr>
          <w:p>
            <w:pPr>
              <w:spacing w:after="0"/>
              <w:rPr>
                <w:sz w:val="16"/>
                <w:szCs w:val="16"/>
                <w:color w:val="auto"/>
              </w:rPr>
            </w:pPr>
          </w:p>
        </w:tc>
        <w:tc>
          <w:tcPr>
            <w:tcW w:w="1740" w:type="dxa"/>
            <w:vAlign w:val="bottom"/>
          </w:tcPr>
          <w:p>
            <w:pPr>
              <w:jc w:val="right"/>
              <w:ind w:right="973"/>
              <w:spacing w:after="0"/>
              <w:rPr>
                <w:sz w:val="20"/>
                <w:szCs w:val="20"/>
                <w:color w:val="auto"/>
              </w:rPr>
            </w:pPr>
            <w:r>
              <w:rPr>
                <w:rFonts w:ascii="Arial" w:cs="Arial" w:eastAsia="Arial" w:hAnsi="Arial"/>
                <w:sz w:val="14"/>
                <w:szCs w:val="14"/>
                <w:b w:val="1"/>
                <w:bCs w:val="1"/>
                <w:color w:val="auto"/>
              </w:rPr>
              <w:t>Net</w:t>
            </w:r>
          </w:p>
        </w:tc>
      </w:tr>
      <w:tr>
        <w:trPr>
          <w:trHeight w:val="23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54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19,203</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(8,070)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14,360</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 use software</w:t>
            </w:r>
          </w:p>
        </w:tc>
        <w:tc>
          <w:tcPr>
            <w:tcW w:w="1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r>
      <w:tr>
        <w:trPr>
          <w:trHeight w:val="248"/>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488"/>
        </w:trPr>
        <w:tc>
          <w:tcPr>
            <w:tcW w:w="4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As of December 31 2022,</w:t>
            </w: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
        </w:trPr>
        <w:tc>
          <w:tcPr>
            <w:tcW w:w="4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9"/>
        </w:trPr>
        <w:tc>
          <w:tcPr>
            <w:tcW w:w="4100" w:type="dxa"/>
            <w:vAlign w:val="bottom"/>
          </w:tcPr>
          <w:p>
            <w:pPr>
              <w:spacing w:after="0"/>
              <w:rPr>
                <w:sz w:val="16"/>
                <w:szCs w:val="16"/>
                <w:color w:val="auto"/>
              </w:rPr>
            </w:pPr>
          </w:p>
        </w:tc>
        <w:tc>
          <w:tcPr>
            <w:tcW w:w="1540" w:type="dxa"/>
            <w:vAlign w:val="bottom"/>
          </w:tcPr>
          <w:p>
            <w:pPr>
              <w:jc w:val="right"/>
              <w:ind w:right="116"/>
              <w:spacing w:after="0"/>
              <w:rPr>
                <w:sz w:val="20"/>
                <w:szCs w:val="20"/>
                <w:color w:val="auto"/>
              </w:rPr>
            </w:pPr>
            <w:r>
              <w:rPr>
                <w:rFonts w:ascii="Arial" w:cs="Arial" w:eastAsia="Arial" w:hAnsi="Arial"/>
                <w:sz w:val="14"/>
                <w:szCs w:val="14"/>
                <w:b w:val="1"/>
                <w:bCs w:val="1"/>
                <w:color w:val="auto"/>
              </w:rPr>
              <w:t>Gross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Accumulated Amortization</w:t>
            </w:r>
          </w:p>
        </w:tc>
        <w:tc>
          <w:tcPr>
            <w:tcW w:w="580" w:type="dxa"/>
            <w:vAlign w:val="bottom"/>
          </w:tcPr>
          <w:p>
            <w:pPr>
              <w:spacing w:after="0"/>
              <w:rPr>
                <w:sz w:val="16"/>
                <w:szCs w:val="16"/>
                <w:color w:val="auto"/>
              </w:rPr>
            </w:pPr>
          </w:p>
        </w:tc>
        <w:tc>
          <w:tcPr>
            <w:tcW w:w="1740" w:type="dxa"/>
            <w:vAlign w:val="bottom"/>
          </w:tcPr>
          <w:p>
            <w:pPr>
              <w:jc w:val="right"/>
              <w:ind w:right="973"/>
              <w:spacing w:after="0"/>
              <w:rPr>
                <w:sz w:val="20"/>
                <w:szCs w:val="20"/>
                <w:color w:val="auto"/>
              </w:rPr>
            </w:pPr>
            <w:r>
              <w:rPr>
                <w:rFonts w:ascii="Arial" w:cs="Arial" w:eastAsia="Arial" w:hAnsi="Arial"/>
                <w:sz w:val="14"/>
                <w:szCs w:val="14"/>
                <w:b w:val="1"/>
                <w:bCs w:val="1"/>
                <w:color w:val="auto"/>
              </w:rPr>
              <w:t>Net</w:t>
            </w:r>
          </w:p>
        </w:tc>
      </w:tr>
      <w:tr>
        <w:trPr>
          <w:trHeight w:val="23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54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20,956</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17,725</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13,395</w:t>
            </w:r>
          </w:p>
        </w:tc>
      </w:tr>
      <w:tr>
        <w:trPr>
          <w:trHeight w:val="229"/>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 use software</w:t>
            </w:r>
          </w:p>
        </w:tc>
        <w:tc>
          <w:tcPr>
            <w:tcW w:w="1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248"/>
        </w:trPr>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52,699</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three and nine months ended September 30, 2023, the Company capitalized $0.4 million and $1.2 million in internal use software, respectively. For the three and nine months ended September 30, 2022, the Company capitalized $0.3 million and $0.7 million in internal use software, respectively.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2023, amortization expense was $2.2 million and $6.7 million, respectively. For the three and nine months ended September 30, 2022, amortization expense was $2.2 million and $6.5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2023 and 2022, there was no impairment of intangible assets recorded.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estimated remaining amortization expense for intangible assets by fiscal year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Amount</w:t>
            </w:r>
          </w:p>
        </w:tc>
      </w:tr>
      <w:tr>
        <w:trPr>
          <w:trHeight w:val="25"/>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9,336</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8,701</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Beyond</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17,594</w:t>
            </w: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Total future amortization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47,208</w:t>
            </w:r>
          </w:p>
        </w:tc>
      </w:tr>
      <w:tr>
        <w:trPr>
          <w:trHeight w:val="20"/>
        </w:trPr>
        <w:tc>
          <w:tcPr>
            <w:tcW w:w="9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useful lives of the Company’s acquired intangible assets are as follows:</w:t>
      </w:r>
    </w:p>
    <w:p>
      <w:pPr>
        <w:spacing w:after="0" w:line="257" w:lineRule="exact"/>
        <w:rPr>
          <w:sz w:val="20"/>
          <w:szCs w:val="20"/>
          <w:color w:val="auto"/>
        </w:rPr>
      </w:pPr>
    </w:p>
    <w:p>
      <w:pPr>
        <w:jc w:val="right"/>
        <w:ind w:right="940"/>
        <w:spacing w:after="0"/>
        <w:rPr>
          <w:sz w:val="20"/>
          <w:szCs w:val="20"/>
          <w:color w:val="auto"/>
        </w:rPr>
      </w:pPr>
      <w:r>
        <w:rPr>
          <w:rFonts w:ascii="Arial" w:cs="Arial" w:eastAsia="Arial" w:hAnsi="Arial"/>
          <w:sz w:val="14"/>
          <w:szCs w:val="14"/>
          <w:b w:val="1"/>
          <w:bCs w:val="1"/>
          <w:color w:val="auto"/>
        </w:rPr>
        <w:t>Weighted-Average Remaining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32385</wp:posOffset>
            </wp:positionV>
            <wp:extent cx="27863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55" w:lineRule="exact"/>
        <w:rPr>
          <w:sz w:val="20"/>
          <w:szCs w:val="20"/>
          <w:color w:val="auto"/>
        </w:rPr>
      </w:pPr>
    </w:p>
    <w:p>
      <w:pPr>
        <w:jc w:val="center"/>
        <w:ind w:left="698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46990</wp:posOffset>
            </wp:positionV>
            <wp:extent cx="13627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58"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46990</wp:posOffset>
            </wp:positionV>
            <wp:extent cx="13633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58"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8820" w:space="720"/>
            <w:col w:w="170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1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8.2 years</w:t>
            </w:r>
          </w:p>
        </w:tc>
        <w:tc>
          <w:tcPr>
            <w:tcW w:w="80" w:type="dxa"/>
            <w:vAlign w:val="bottom"/>
            <w:tcBorders>
              <w:top w:val="single" w:sz="8" w:color="CCEEFF"/>
            </w:tcBorders>
            <w:shd w:val="clear" w:color="auto" w:fill="CCEEFF"/>
          </w:tcPr>
          <w:p>
            <w:pPr>
              <w:spacing w:after="0"/>
              <w:rPr>
                <w:sz w:val="21"/>
                <w:szCs w:val="21"/>
                <w:color w:val="auto"/>
              </w:rPr>
            </w:pPr>
          </w:p>
        </w:tc>
        <w:tc>
          <w:tcPr>
            <w:tcW w:w="21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9.0 years</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240" w:type="dxa"/>
            <w:vAlign w:val="bottom"/>
            <w:gridSpan w:val="2"/>
          </w:tcPr>
          <w:p>
            <w:pPr>
              <w:ind w:left="760"/>
              <w:spacing w:after="0"/>
              <w:rPr>
                <w:sz w:val="20"/>
                <w:szCs w:val="20"/>
                <w:color w:val="auto"/>
              </w:rPr>
            </w:pPr>
            <w:r>
              <w:rPr>
                <w:rFonts w:ascii="Arial" w:cs="Arial" w:eastAsia="Arial" w:hAnsi="Arial"/>
                <w:sz w:val="18"/>
                <w:szCs w:val="18"/>
                <w:color w:val="auto"/>
              </w:rPr>
              <w:t>3.2 years</w:t>
            </w:r>
          </w:p>
        </w:tc>
        <w:tc>
          <w:tcPr>
            <w:tcW w:w="2160" w:type="dxa"/>
            <w:vAlign w:val="bottom"/>
          </w:tcPr>
          <w:p>
            <w:pPr>
              <w:ind w:left="760"/>
              <w:spacing w:after="0"/>
              <w:rPr>
                <w:sz w:val="20"/>
                <w:szCs w:val="20"/>
                <w:color w:val="auto"/>
              </w:rPr>
            </w:pPr>
            <w:r>
              <w:rPr>
                <w:rFonts w:ascii="Arial" w:cs="Arial" w:eastAsia="Arial" w:hAnsi="Arial"/>
                <w:sz w:val="18"/>
                <w:szCs w:val="18"/>
                <w:color w:val="auto"/>
              </w:rPr>
              <w:t>3.9 years</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6.4 years</w:t>
            </w:r>
          </w:p>
        </w:tc>
        <w:tc>
          <w:tcPr>
            <w:tcW w:w="2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7.1 years</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Internal use software</w:t>
            </w:r>
          </w:p>
        </w:tc>
        <w:tc>
          <w:tcPr>
            <w:tcW w:w="2240" w:type="dxa"/>
            <w:vAlign w:val="bottom"/>
            <w:gridSpan w:val="2"/>
          </w:tcPr>
          <w:p>
            <w:pPr>
              <w:ind w:left="760"/>
              <w:spacing w:after="0"/>
              <w:rPr>
                <w:sz w:val="20"/>
                <w:szCs w:val="20"/>
                <w:color w:val="auto"/>
              </w:rPr>
            </w:pPr>
            <w:r>
              <w:rPr>
                <w:rFonts w:ascii="Arial" w:cs="Arial" w:eastAsia="Arial" w:hAnsi="Arial"/>
                <w:sz w:val="18"/>
                <w:szCs w:val="18"/>
                <w:color w:val="auto"/>
              </w:rPr>
              <w:t>2.6 years</w:t>
            </w:r>
          </w:p>
        </w:tc>
        <w:tc>
          <w:tcPr>
            <w:tcW w:w="2160" w:type="dxa"/>
            <w:vAlign w:val="bottom"/>
          </w:tcPr>
          <w:p>
            <w:pPr>
              <w:ind w:left="760"/>
              <w:spacing w:after="0"/>
              <w:rPr>
                <w:sz w:val="20"/>
                <w:szCs w:val="20"/>
                <w:color w:val="auto"/>
              </w:rPr>
            </w:pPr>
            <w:r>
              <w:rPr>
                <w:rFonts w:ascii="Arial" w:cs="Arial" w:eastAsia="Arial" w:hAnsi="Arial"/>
                <w:sz w:val="18"/>
                <w:szCs w:val="18"/>
                <w:color w:val="auto"/>
              </w:rPr>
              <w:t>2.8 years</w:t>
            </w:r>
          </w:p>
        </w:tc>
      </w:tr>
    </w:tbl>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30, 2023 and December 31, 2022, goodwill was $133.7 million. No goodwill impairment was recorded during the three and nine months ended September 30, 2023 or the three and nine months ended September 30,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 (in thousands):</w:t>
      </w:r>
    </w:p>
    <w:p>
      <w:pPr>
        <w:sectPr>
          <w:pgSz w:w="11900" w:h="16838" w:orient="portrait"/>
          <w:cols w:equalWidth="0" w:num="1">
            <w:col w:w="11240"/>
          </w:cols>
          <w:pgMar w:left="320" w:top="229" w:right="339" w:bottom="1440" w:gutter="0" w:footer="0" w:header="0"/>
          <w:type w:val="continuous"/>
        </w:sectPr>
      </w:pPr>
    </w:p>
    <w:p>
      <w:pPr>
        <w:spacing w:after="0" w:line="257" w:lineRule="exact"/>
        <w:rPr>
          <w:sz w:val="20"/>
          <w:szCs w:val="20"/>
          <w:color w:val="auto"/>
        </w:rPr>
      </w:pPr>
    </w:p>
    <w:p>
      <w:pPr>
        <w:jc w:val="center"/>
        <w:ind w:left="792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46990</wp:posOffset>
            </wp:positionV>
            <wp:extent cx="10972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58"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46990</wp:posOffset>
            </wp:positionV>
            <wp:extent cx="10972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5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9140" w:space="620"/>
            <w:col w:w="14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vendor expenses</w:t>
            </w: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related promotions and discounts</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reserves</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current liabilities primarily relate to inventory received not yet billed and sales taxes payable, as of September 30, 2023, and inventory received not yet billed, sales taxes payable, and warranty reserves as of December 31, 2022. During the nine months ended September 30, 2023, the Company recorded a $2.2 million decrease to outstanding warranty liabilities and a corresponding reduction in product costs recorded to cost of revenue in connection with the discontinuation of certain battery related membership benefits.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Liability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escrow liability as of December 31, 2022 related to restricted cash associated with the Tile Acquisition of $13.1 million, and the acquisition of Jiobit (the “Jiobit Acquisition”) of $0.2 million, placed in an indemnity escrow fund to be held for fifteen months and eighteen months, respectively, after the acquisition date for general representations and warranties. The initial balances were included within total consideration transferred. As of September 30, 2023, all escrow liabilities had been released and paid as scheduled.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 noncurrent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noncurrent consist of the following (in thousands):</w:t>
      </w:r>
    </w:p>
    <w:p>
      <w:pPr>
        <w:sectPr>
          <w:pgSz w:w="11900" w:h="16838" w:orient="portrait"/>
          <w:cols w:equalWidth="0" w:num="1">
            <w:col w:w="11240"/>
          </w:cols>
          <w:pgMar w:left="320" w:top="229" w:right="339" w:bottom="1440" w:gutter="0" w:footer="0" w:header="0"/>
          <w:type w:val="continuous"/>
        </w:sectPr>
      </w:pPr>
    </w:p>
    <w:p>
      <w:pPr>
        <w:spacing w:after="0" w:line="257" w:lineRule="exact"/>
        <w:rPr>
          <w:sz w:val="20"/>
          <w:szCs w:val="20"/>
          <w:color w:val="auto"/>
        </w:rPr>
      </w:pPr>
    </w:p>
    <w:p>
      <w:pPr>
        <w:jc w:val="center"/>
        <w:ind w:left="792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46990</wp:posOffset>
            </wp:positionV>
            <wp:extent cx="10972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58"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46990</wp:posOffset>
            </wp:positionV>
            <wp:extent cx="10972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5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9140" w:space="620"/>
            <w:col w:w="14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 liabilities</w:t>
            </w: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Other liabilities, noncurrent</w:t>
            </w:r>
          </w:p>
        </w:tc>
        <w:tc>
          <w:tcPr>
            <w:tcW w:w="7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7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60" w:type="dxa"/>
            <w:vAlign w:val="bottom"/>
          </w:tcPr>
          <w:p>
            <w:pPr>
              <w:ind w:left="360"/>
              <w:spacing w:after="0"/>
              <w:rPr>
                <w:sz w:val="20"/>
                <w:szCs w:val="20"/>
                <w:color w:val="auto"/>
              </w:rPr>
            </w:pPr>
            <w:r>
              <w:rPr>
                <w:rFonts w:ascii="Arial" w:cs="Arial" w:eastAsia="Arial" w:hAnsi="Arial"/>
                <w:sz w:val="18"/>
                <w:szCs w:val="18"/>
                <w:color w:val="auto"/>
              </w:rPr>
              <w:t>Total other liabilities, noncurrent</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7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July 2021 Convertible Notes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the unamortized amount and net carrying value of the July 2021 Convertible Notes is $1.2 million and $0.9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amount by which the July 2021 Convertible Notes if-converted value exceeds its principal is $0.7 million as of September 30, 2023.</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the unamortized amount and net carrying value of the July 2021 Convertible Notes was $1.5 million and $0.6 million, respectively. The amount by which the July 2021 Convertible Notes if-converted value does not exceed its principal was $0.4 million as of December 31, 2022.</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Tranche 2), and 44,106 shares of the Company’s common stock which is exercisable starting twelve months from the issuance date with an exercise price of $11.96 per share and a term of 5 years (Warrant Tranche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warrants was determined using the Black-Scholes option-pricing method, with the following assumptions: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Warrants</w:t>
            </w:r>
          </w:p>
        </w:tc>
        <w:tc>
          <w:tcPr>
            <w:tcW w:w="28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4"/>
                <w:szCs w:val="14"/>
                <w:color w:val="auto"/>
              </w:rPr>
            </w:pPr>
          </w:p>
        </w:tc>
        <w:tc>
          <w:tcPr>
            <w:tcW w:w="1300" w:type="dxa"/>
            <w:vAlign w:val="bottom"/>
          </w:tcPr>
          <w:p>
            <w:pPr>
              <w:jc w:val="right"/>
              <w:ind w:right="415"/>
              <w:spacing w:after="0"/>
              <w:rPr>
                <w:sz w:val="20"/>
                <w:szCs w:val="20"/>
                <w:color w:val="auto"/>
              </w:rPr>
            </w:pPr>
            <w:r>
              <w:rPr>
                <w:rFonts w:ascii="Arial" w:cs="Arial" w:eastAsia="Arial" w:hAnsi="Arial"/>
                <w:sz w:val="14"/>
                <w:szCs w:val="14"/>
                <w:b w:val="1"/>
                <w:bCs w:val="1"/>
                <w:color w:val="auto"/>
              </w:rPr>
              <w:t>Warrants</w:t>
            </w:r>
          </w:p>
        </w:tc>
      </w:tr>
      <w:tr>
        <w:trPr>
          <w:trHeight w:val="192"/>
        </w:trPr>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Tranche 1</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Tranche 2</w:t>
            </w:r>
          </w:p>
        </w:tc>
        <w:tc>
          <w:tcPr>
            <w:tcW w:w="300" w:type="dxa"/>
            <w:vAlign w:val="bottom"/>
          </w:tcPr>
          <w:p>
            <w:pPr>
              <w:spacing w:after="0"/>
              <w:rPr>
                <w:sz w:val="16"/>
                <w:szCs w:val="16"/>
                <w:color w:val="auto"/>
              </w:rPr>
            </w:pPr>
          </w:p>
        </w:tc>
        <w:tc>
          <w:tcPr>
            <w:tcW w:w="1300" w:type="dxa"/>
            <w:vAlign w:val="bottom"/>
          </w:tcPr>
          <w:p>
            <w:pPr>
              <w:jc w:val="right"/>
              <w:ind w:right="395"/>
              <w:spacing w:after="0"/>
              <w:rPr>
                <w:sz w:val="20"/>
                <w:szCs w:val="20"/>
                <w:color w:val="auto"/>
              </w:rPr>
            </w:pPr>
            <w:r>
              <w:rPr>
                <w:rFonts w:ascii="Arial" w:cs="Arial" w:eastAsia="Arial" w:hAnsi="Arial"/>
                <w:sz w:val="14"/>
                <w:szCs w:val="14"/>
                <w:b w:val="1"/>
                <w:bCs w:val="1"/>
                <w:color w:val="auto"/>
              </w:rPr>
              <w:t>Tranche 3</w:t>
            </w:r>
          </w:p>
        </w:tc>
      </w:tr>
      <w:tr>
        <w:trPr>
          <w:trHeight w:val="229"/>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market value of common stock</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15.36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15.36</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0.89 %</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47.40 %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47.40 %</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were recorded to additional paid-in capital during the year ended December 31, 2021. The fair value of the warrants issued in connection with the July 2021 Convertible Notes was $0.8 million and was recorded as a debt discount that is being amortized to interest expense under the straight-line method over the term of respective convertible notes.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2023 and September 30, 2022, the Company recognized a total of $0.1 million and $0.3 million, respectively, in non-cash interest expense related to the July 2021 Convertible Notes.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September 2021 Convertible Notes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2021, the Company, in connection with the Jiobit Acquisition, issued $11.6 million representing the fair value of convertible notes (the</w:t>
      </w:r>
    </w:p>
    <w:p>
      <w:pPr>
        <w:spacing w:after="0" w:line="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“September 2021 Convertible Notes”) and $1.6 million of revesting convertible notes (“Revesting Notes”) that vest over time. The September 2021 Convertible Notes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 combination of the present value of the cash flows and the Black-Scholes option pricing model using assumptions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As of September 30,</w:t>
            </w:r>
          </w:p>
        </w:tc>
        <w:tc>
          <w:tcPr>
            <w:tcW w:w="24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6"/>
                <w:szCs w:val="16"/>
                <w:color w:val="auto"/>
              </w:rPr>
            </w:pPr>
          </w:p>
        </w:tc>
        <w:tc>
          <w:tcPr>
            <w:tcW w:w="1580" w:type="dxa"/>
            <w:vAlign w:val="bottom"/>
          </w:tcPr>
          <w:p>
            <w:pPr>
              <w:jc w:val="right"/>
              <w:ind w:right="234"/>
              <w:spacing w:after="0"/>
              <w:rPr>
                <w:sz w:val="20"/>
                <w:szCs w:val="20"/>
                <w:color w:val="auto"/>
              </w:rPr>
            </w:pPr>
            <w:r>
              <w:rPr>
                <w:rFonts w:ascii="Arial" w:cs="Arial" w:eastAsia="Arial" w:hAnsi="Arial"/>
                <w:sz w:val="14"/>
                <w:szCs w:val="14"/>
                <w:b w:val="1"/>
                <w:bCs w:val="1"/>
                <w:color w:val="auto"/>
                <w:w w:val="97"/>
              </w:rPr>
              <w:t>As of September 1,</w:t>
            </w:r>
          </w:p>
        </w:tc>
      </w:tr>
      <w:tr>
        <w:trPr>
          <w:trHeight w:val="203"/>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73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7"/>
                <w:szCs w:val="17"/>
                <w:color w:val="auto"/>
              </w:rPr>
            </w:pPr>
          </w:p>
        </w:tc>
        <w:tc>
          <w:tcPr>
            <w:tcW w:w="1580" w:type="dxa"/>
            <w:vAlign w:val="bottom"/>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674"/>
              <w:spacing w:after="0"/>
              <w:rPr>
                <w:sz w:val="20"/>
                <w:szCs w:val="20"/>
                <w:color w:val="auto"/>
              </w:rPr>
            </w:pPr>
            <w:r>
              <w:rPr>
                <w:rFonts w:ascii="Arial" w:cs="Arial" w:eastAsia="Arial" w:hAnsi="Arial"/>
                <w:sz w:val="14"/>
                <w:szCs w:val="14"/>
                <w:b w:val="1"/>
                <w:bCs w:val="1"/>
                <w:color w:val="auto"/>
              </w:rPr>
              <w:t>2021</w:t>
            </w:r>
          </w:p>
        </w:tc>
      </w:tr>
      <w:tr>
        <w:trPr>
          <w:trHeight w:val="26"/>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3,365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11,206</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8.2 %</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fair value per share</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16.08</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20.49</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Conversion price per share</w:t>
            </w:r>
          </w:p>
        </w:tc>
        <w:tc>
          <w:tcPr>
            <w:tcW w:w="200" w:type="dxa"/>
            <w:vAlign w:val="bottom"/>
          </w:tcPr>
          <w:p>
            <w:pPr>
              <w:spacing w:after="0"/>
              <w:rPr>
                <w:sz w:val="19"/>
                <w:szCs w:val="19"/>
                <w:color w:val="auto"/>
              </w:rPr>
            </w:pPr>
          </w:p>
        </w:tc>
        <w:tc>
          <w:tcPr>
            <w:tcW w:w="1660" w:type="dxa"/>
            <w:vAlign w:val="bottom"/>
          </w:tcPr>
          <w:p>
            <w:pPr>
              <w:jc w:val="right"/>
              <w:ind w:right="174"/>
              <w:spacing w:after="0"/>
              <w:rPr>
                <w:sz w:val="20"/>
                <w:szCs w:val="20"/>
                <w:color w:val="auto"/>
              </w:rPr>
            </w:pPr>
            <w:r>
              <w:rPr>
                <w:rFonts w:ascii="Arial" w:cs="Arial" w:eastAsia="Arial" w:hAnsi="Arial"/>
                <w:sz w:val="18"/>
                <w:szCs w:val="18"/>
                <w:color w:val="auto"/>
              </w:rPr>
              <w:t>22.50</w:t>
            </w:r>
          </w:p>
        </w:tc>
        <w:tc>
          <w:tcPr>
            <w:tcW w:w="24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22.50</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0.45 %</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Time to exercise (in years)</w:t>
            </w:r>
          </w:p>
        </w:tc>
        <w:tc>
          <w:tcPr>
            <w:tcW w:w="200" w:type="dxa"/>
            <w:vAlign w:val="bottom"/>
          </w:tcPr>
          <w:p>
            <w:pPr>
              <w:spacing w:after="0"/>
              <w:rPr>
                <w:sz w:val="19"/>
                <w:szCs w:val="19"/>
                <w:color w:val="auto"/>
              </w:rPr>
            </w:pPr>
          </w:p>
        </w:tc>
        <w:tc>
          <w:tcPr>
            <w:tcW w:w="1660" w:type="dxa"/>
            <w:vAlign w:val="bottom"/>
          </w:tcPr>
          <w:p>
            <w:pPr>
              <w:jc w:val="right"/>
              <w:ind w:right="174"/>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3.0</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Annual dividend yield</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0 %</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Revesting Notes are restricted and vest with continuous employment of certain key employees over a 3-year period subsequent to the acquisition. The Revesting Notes are recognized in general and administrative expense. In April 2022, one of the key employees exited the Company, and so the entirety of their Revesting Notes were forfeited. The Company recorded a $0.3 million reduction in compensation expense included in general and administrative expense related to the forfeiture of their Revesting Notes. In January 2023, the other key employee exited the Company. As part of their separation agreement, their Revesting Notes are due in their entirety at the maturity date and the Company recorded $0.1 million of compensation expense included in general and administrative expense.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records the Revesting Notes at fair value and will remeasure the Revesting Notes at fair value on each reporting date. As the Revesting Notes vest, the changes in fair value are recorded as general and administrative expense with a corresponding 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For the three and nine months ended September 30, 2023, the Company recorded zero and $0.1 million, respectively, and for the three and nine months ended September 30, 2022, the Company recorded $13 thousand and $0.2 million, respectively, to compensation expense included in general and administrative expense related to the changes in fair value of the Revesting Notes.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current and noncurrent consist of the following (in thousands):</w:t>
      </w:r>
    </w:p>
    <w:p>
      <w:pPr>
        <w:sectPr>
          <w:pgSz w:w="11900" w:h="16838" w:orient="portrait"/>
          <w:cols w:equalWidth="0" w:num="1">
            <w:col w:w="11240"/>
          </w:cols>
          <w:pgMar w:left="320" w:top="229" w:right="339" w:bottom="1440" w:gutter="0" w:footer="0" w:header="0"/>
        </w:sectPr>
      </w:pPr>
    </w:p>
    <w:p>
      <w:pPr>
        <w:spacing w:after="0" w:line="257" w:lineRule="exact"/>
        <w:rPr>
          <w:sz w:val="20"/>
          <w:szCs w:val="20"/>
          <w:color w:val="auto"/>
        </w:rPr>
      </w:pPr>
    </w:p>
    <w:p>
      <w:pPr>
        <w:jc w:val="center"/>
        <w:ind w:left="782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46990</wp:posOffset>
            </wp:positionV>
            <wp:extent cx="11576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8"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46990</wp:posOffset>
            </wp:positionV>
            <wp:extent cx="11487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5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9040" w:space="700"/>
            <w:col w:w="150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notes, current:</w:t>
            </w:r>
          </w:p>
        </w:tc>
        <w:tc>
          <w:tcPr>
            <w:tcW w:w="7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September 2021 Convertible Notes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8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3,455</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Revesting Notes</w:t>
            </w:r>
          </w:p>
        </w:tc>
        <w:tc>
          <w:tcPr>
            <w:tcW w:w="7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Convertible notes, noncurrent:</w:t>
            </w: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2021 Convertible Notes</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September 2021 Convertible Notes</w:t>
            </w:r>
          </w:p>
        </w:tc>
        <w:tc>
          <w:tcPr>
            <w:tcW w:w="7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3,396</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Revesting Notes</w:t>
            </w:r>
          </w:p>
        </w:tc>
        <w:tc>
          <w:tcPr>
            <w:tcW w:w="7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520" w:type="dxa"/>
            <w:vAlign w:val="bottom"/>
          </w:tcPr>
          <w:p>
            <w:pPr>
              <w:ind w:left="360"/>
              <w:spacing w:after="0"/>
              <w:rPr>
                <w:sz w:val="20"/>
                <w:szCs w:val="20"/>
                <w:color w:val="auto"/>
              </w:rPr>
            </w:pPr>
            <w:r>
              <w:rPr>
                <w:rFonts w:ascii="Arial" w:cs="Arial" w:eastAsia="Arial" w:hAnsi="Arial"/>
                <w:sz w:val="18"/>
                <w:szCs w:val="18"/>
                <w:color w:val="auto"/>
              </w:rPr>
              <w:t>Total convertible notes</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7,573</w:t>
            </w:r>
          </w:p>
        </w:tc>
      </w:tr>
      <w:tr>
        <w:trPr>
          <w:trHeight w:val="520"/>
        </w:trPr>
        <w:tc>
          <w:tcPr>
            <w:tcW w:w="9440" w:type="dxa"/>
            <w:vAlign w:val="bottom"/>
            <w:gridSpan w:val="5"/>
          </w:tcPr>
          <w:p>
            <w:pPr>
              <w:spacing w:after="0"/>
              <w:rPr>
                <w:sz w:val="20"/>
                <w:szCs w:val="20"/>
                <w:color w:val="auto"/>
              </w:rPr>
            </w:pPr>
            <w:r>
              <w:rPr>
                <w:rFonts w:ascii="Arial" w:cs="Arial" w:eastAsia="Arial" w:hAnsi="Arial"/>
                <w:sz w:val="18"/>
                <w:szCs w:val="18"/>
                <w:color w:val="auto"/>
                <w:w w:val="95"/>
              </w:rPr>
              <w:t>The contractual future principal payments for all convertible notes as of September 30, 2023 were as follows (in thousands):</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20"/>
        </w:trPr>
        <w:tc>
          <w:tcPr>
            <w:tcW w:w="7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jc w:val="right"/>
              <w:ind w:right="571"/>
              <w:spacing w:after="0"/>
              <w:rPr>
                <w:sz w:val="20"/>
                <w:szCs w:val="20"/>
                <w:color w:val="auto"/>
              </w:rPr>
            </w:pPr>
            <w:r>
              <w:rPr>
                <w:rFonts w:ascii="Arial" w:cs="Arial" w:eastAsia="Arial" w:hAnsi="Arial"/>
                <w:sz w:val="14"/>
                <w:szCs w:val="14"/>
                <w:b w:val="1"/>
                <w:bCs w:val="1"/>
                <w:color w:val="auto"/>
              </w:rPr>
              <w:t>Amount</w:t>
            </w:r>
          </w:p>
        </w:tc>
      </w:tr>
      <w:tr>
        <w:trPr>
          <w:trHeight w:val="26"/>
        </w:trPr>
        <w:tc>
          <w:tcPr>
            <w:tcW w:w="75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2024</w:t>
            </w: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3,365</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w:t>
            </w:r>
          </w:p>
        </w:tc>
        <w:tc>
          <w:tcPr>
            <w:tcW w:w="7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outstanding</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adjustment</w:t>
            </w:r>
          </w:p>
        </w:tc>
        <w:tc>
          <w:tcPr>
            <w:tcW w:w="7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r>
      <w:tr>
        <w:trPr>
          <w:trHeight w:val="248"/>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convertible notes</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Liability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 (expense), net of the Company’s condensed consolidated statements of operations and comprehensive loss.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issuance of the convertible notes, the Company recorded a derivative liability of $0.7 million at fair value using inputs classified as Level 3 in the fair value hierarchy. As of September 30, 2023 and December 31, 2022, the fair value of the derivative liability was $0.3 million and $0.1 million, respectively. Refer to Note 6, "Fair Value Measurements," for further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certain commitments from outstanding purchase orders primarily related to technology support, marketing and branding and professional services. These agreements, which total $152.7 million as of September 30, 2023 and $138.9 million as of December 31, 2022, are predominantly non-cancellable and expected to be paid through 2027.</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10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 date, the Company has not incurred significant costs and has not accrued any material liabilities in the accompanying condensed consolidated financial statements as a result of its warranty and indemnification obligations.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Occasionally, the Company is involved in various legal proceedings, claims and government investigations in the ordinary course of business. The outcome of litigation and other legal matters is inherently uncertain, though the Company intends to vigorously defend the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March 12, 2019, a former alleged competitor of Tile, Cellwitch, Inc, filed a patent infringement claim against Tile in the U.S. District Court, Northern District of California (“Court”), seeking permanent injunction and damages. On December 18, 2019, Tile filed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petition with the Patent Trial and Appeal Board (“PTAB”) challenging the validity of the patent. On May 13, 2021, the PTAB issued a Final Written Decision on Tile’s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petition (the “Final Written Decision”), finding a majority of the claims invalid. The Final Written Decision was affirmed by the U.S. Court</w:t>
      </w:r>
      <w:r>
        <w:rPr>
          <w:rFonts w:ascii="Arial" w:cs="Arial" w:eastAsia="Arial" w:hAnsi="Arial"/>
          <w:sz w:val="17"/>
          <w:szCs w:val="17"/>
          <w:i w:val="1"/>
          <w:iCs w:val="1"/>
          <w:color w:val="auto"/>
        </w:rPr>
        <w:t xml:space="preserve"> </w:t>
      </w:r>
      <w:r>
        <w:rPr>
          <w:rFonts w:ascii="Arial" w:cs="Arial" w:eastAsia="Arial" w:hAnsi="Arial"/>
          <w:sz w:val="17"/>
          <w:szCs w:val="17"/>
          <w:color w:val="auto"/>
        </w:rPr>
        <w:t>of Appeals for the Federal Circuit on May 13, 2022. The case is currently in trial court and a settlement conference took place on June 6, 2023, however no conclusions were reached and we continue to actively defend against this claim.</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purported class action (E.S. v. Life360, Inc.) alleging a single cause of action for unjust enrichment was filed against Life360 on January 12, 2023, seeking equitable relief purportedly arising out of Life360’s historic data sales. Plaintiff dismissed these claims on November 3, 2023.</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able to reasonably estimate the loss with regards to the E.S. v Life360, Inc. case. As a result, an immaterial litigation reserve has been recorded on our condensed consolidated balance sheets as of September 30, 2023. No litigation reserve was recorded on our condensed consolidated balance sheets as of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and December 31, 2022, the Company was authorized to issue up to 100,000,000 shares of par value $0.001 per share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also issued shares of common stock as a result of stock option exercises throughout its existence. Common stockholders are entitled to dividends when and if declared by the Board of Directors subject to the prior rights of the preferred stockholders. The holder of each share of common stock is entitled to one vote. The common stockholders voting as a class are entitled to elect the members to the Company’s Board of Directors. No dividends have been declared in the Company’s existence.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potentially outstanding common stock reserved for issuance:</w:t>
      </w:r>
    </w:p>
    <w:p>
      <w:pPr>
        <w:sectPr>
          <w:pgSz w:w="11900" w:h="16838" w:orient="portrait"/>
          <w:cols w:equalWidth="0" w:num="1">
            <w:col w:w="11240"/>
          </w:cols>
          <w:pgMar w:left="320" w:top="229" w:right="339" w:bottom="1440" w:gutter="0" w:footer="0" w:header="0"/>
        </w:sectPr>
      </w:pPr>
    </w:p>
    <w:p>
      <w:pPr>
        <w:spacing w:after="0" w:line="257" w:lineRule="exact"/>
        <w:rPr>
          <w:sz w:val="20"/>
          <w:szCs w:val="20"/>
          <w:color w:val="auto"/>
        </w:rPr>
      </w:pPr>
    </w:p>
    <w:p>
      <w:pPr>
        <w:jc w:val="center"/>
        <w:ind w:left="778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46990</wp:posOffset>
            </wp:positionV>
            <wp:extent cx="11487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58"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46990</wp:posOffset>
            </wp:positionV>
            <wp:extent cx="11487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58"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9020" w:space="700"/>
            <w:col w:w="152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Issuances under stock incentive plan</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6,971,398</w:t>
            </w:r>
          </w:p>
        </w:tc>
        <w:tc>
          <w:tcPr>
            <w:tcW w:w="10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8,180,840</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Issuances upon exercise of common stock warrants</w:t>
            </w:r>
          </w:p>
        </w:tc>
        <w:tc>
          <w:tcPr>
            <w:tcW w:w="1800" w:type="dxa"/>
            <w:vAlign w:val="bottom"/>
          </w:tcPr>
          <w:p>
            <w:pPr>
              <w:jc w:val="right"/>
              <w:spacing w:after="0"/>
              <w:rPr>
                <w:sz w:val="20"/>
                <w:szCs w:val="20"/>
                <w:color w:val="auto"/>
              </w:rPr>
            </w:pPr>
            <w:r>
              <w:rPr>
                <w:rFonts w:ascii="Arial" w:cs="Arial" w:eastAsia="Arial" w:hAnsi="Arial"/>
                <w:sz w:val="18"/>
                <w:szCs w:val="18"/>
                <w:color w:val="auto"/>
              </w:rPr>
              <w:t>137,658</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137,658</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Issuances upon vesting of restricted stock units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5,518,647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6,779,892</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Issuances of convertible notes</w:t>
            </w:r>
          </w:p>
        </w:tc>
        <w:tc>
          <w:tcPr>
            <w:tcW w:w="1800" w:type="dxa"/>
            <w:vAlign w:val="bottom"/>
          </w:tcPr>
          <w:p>
            <w:pPr>
              <w:jc w:val="right"/>
              <w:spacing w:after="0"/>
              <w:rPr>
                <w:sz w:val="20"/>
                <w:szCs w:val="20"/>
                <w:color w:val="auto"/>
              </w:rPr>
            </w:pPr>
            <w:r>
              <w:rPr>
                <w:rFonts w:ascii="Arial" w:cs="Arial" w:eastAsia="Arial" w:hAnsi="Arial"/>
                <w:sz w:val="18"/>
                <w:szCs w:val="18"/>
                <w:color w:val="auto"/>
              </w:rPr>
              <w:t>325,981</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516,758</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reserved for shares available to be granted but not granted yet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3,812,739</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396,347</w:t>
            </w:r>
          </w:p>
        </w:tc>
      </w:tr>
      <w:tr>
        <w:trPr>
          <w:trHeight w:val="223"/>
        </w:trPr>
        <w:tc>
          <w:tcPr>
            <w:tcW w:w="75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16,766,423</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16,011,495</w:t>
            </w:r>
          </w:p>
        </w:tc>
      </w:tr>
      <w:tr>
        <w:trPr>
          <w:trHeight w:val="21"/>
        </w:trPr>
        <w:tc>
          <w:tcPr>
            <w:tcW w:w="75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Warrants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September 30, 2023 and December 31, 2022, the Company had outstanding warrants to purchase 137,658 and 137,658 shares of Company common stock, respectively, with exercise prices ranging from $2.28 to $11.96 and expiry dates ranging from 2024 to 2026. Refer to Note 9, "Convertible Notes" for further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equity incentive plan allows the Company to grant restricted stock units, restricted stock and stock options to employees and consultants of the Company and any of the Company’s parent, subsidiaries, or affiliates, and to the members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of stock option activity for the periods presented is as follows (in thousands, except share and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40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Options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per Share</w:t>
            </w: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7"/>
                <w:szCs w:val="17"/>
                <w:color w:val="auto"/>
              </w:rPr>
            </w:pPr>
          </w:p>
        </w:tc>
        <w:tc>
          <w:tcPr>
            <w:tcW w:w="1400" w:type="dxa"/>
            <w:vAlign w:val="bottom"/>
          </w:tcPr>
          <w:p>
            <w:pPr>
              <w:jc w:val="right"/>
              <w:ind w:right="277"/>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8,180,840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40,827</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cancelled/forfeited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as of September 30, 2023</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60,149</w:t>
            </w:r>
          </w:p>
        </w:tc>
        <w:tc>
          <w:tcPr>
            <w:tcW w:w="0" w:type="dxa"/>
            <w:vAlign w:val="bottom"/>
          </w:tcPr>
          <w:p>
            <w:pPr>
              <w:spacing w:after="0" w:line="20" w:lineRule="exact"/>
              <w:rPr>
                <w:sz w:val="1"/>
                <w:szCs w:val="1"/>
                <w:color w:val="auto"/>
              </w:rPr>
            </w:pPr>
          </w:p>
        </w:tc>
      </w:tr>
      <w:tr>
        <w:trPr>
          <w:trHeight w:val="204"/>
        </w:trPr>
        <w:tc>
          <w:tcPr>
            <w:tcW w:w="4280" w:type="dxa"/>
            <w:vAlign w:val="bottom"/>
            <w:vMerge w:val="continue"/>
          </w:tcPr>
          <w:p>
            <w:pPr>
              <w:spacing w:after="0"/>
              <w:rPr>
                <w:sz w:val="17"/>
                <w:szCs w:val="17"/>
                <w:color w:val="auto"/>
              </w:rPr>
            </w:pP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5,546,645</w:t>
            </w:r>
          </w:p>
        </w:tc>
        <w:tc>
          <w:tcPr>
            <w:tcW w:w="34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there was total unrecognized compensation cost for outstanding stock options of $5.2 million to be recognized over a period of approximately 2.1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of Restricted Stock Units (RSU) activity for the periods presented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6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2"/>
                <w:szCs w:val="12"/>
                <w:color w:val="auto"/>
              </w:rPr>
            </w:pPr>
          </w:p>
        </w:tc>
        <w:tc>
          <w:tcPr>
            <w:tcW w:w="13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229"/>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600" w:type="dxa"/>
            <w:vAlign w:val="bottom"/>
            <w:tcBorders>
              <w:top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89"/>
              </w:rPr>
              <w:t>6,779,892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RSU granted</w:t>
            </w:r>
          </w:p>
        </w:tc>
        <w:tc>
          <w:tcPr>
            <w:tcW w:w="1600" w:type="dxa"/>
            <w:vAlign w:val="bottom"/>
          </w:tcPr>
          <w:p>
            <w:pPr>
              <w:jc w:val="center"/>
              <w:ind w:left="633"/>
              <w:spacing w:after="0"/>
              <w:rPr>
                <w:sz w:val="20"/>
                <w:szCs w:val="20"/>
                <w:color w:val="auto"/>
              </w:rPr>
            </w:pPr>
            <w:r>
              <w:rPr>
                <w:rFonts w:ascii="Arial" w:cs="Arial" w:eastAsia="Arial" w:hAnsi="Arial"/>
                <w:sz w:val="18"/>
                <w:szCs w:val="18"/>
                <w:color w:val="auto"/>
                <w:w w:val="89"/>
              </w:rPr>
              <w:t>2,397,002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 vested and settled</w:t>
            </w:r>
          </w:p>
        </w:tc>
        <w:tc>
          <w:tcPr>
            <w:tcW w:w="160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91"/>
              </w:rPr>
              <w:t>(2,562,548)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 cancelled/forfeited</w:t>
            </w:r>
          </w:p>
        </w:tc>
        <w:tc>
          <w:tcPr>
            <w:tcW w:w="1600" w:type="dxa"/>
            <w:vAlign w:val="bottom"/>
            <w:tcBorders>
              <w:bottom w:val="single" w:sz="8" w:color="auto"/>
            </w:tcBorders>
          </w:tcPr>
          <w:p>
            <w:pPr>
              <w:jc w:val="center"/>
              <w:ind w:left="593"/>
              <w:spacing w:after="0"/>
              <w:rPr>
                <w:sz w:val="20"/>
                <w:szCs w:val="20"/>
                <w:color w:val="auto"/>
              </w:rPr>
            </w:pPr>
            <w:r>
              <w:rPr>
                <w:rFonts w:ascii="Arial" w:cs="Arial" w:eastAsia="Arial" w:hAnsi="Arial"/>
                <w:sz w:val="18"/>
                <w:szCs w:val="18"/>
                <w:color w:val="auto"/>
                <w:w w:val="91"/>
              </w:rPr>
              <w:t>(1,095,699)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160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89"/>
              </w:rPr>
              <w:t>5,518,647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there was unrecognized compensation cost for outstanding restricted stock units of $49.8 million to be recognized over a period of approximately 2.5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RSUs vested and settled includes shares of common stock that the Company withheld on behalf of employees to satisfy the minimum statutory tax withholding requirements.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5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0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Subscription costs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Hardware costs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costs</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5,477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13,133</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capitalized stock-based compensation costs or recognized stock-based compensation tax benefits during the three and nine months ended September 30, 2023 or the year ended December 31, 2022,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Issued in Connection with 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Jio, Inc.</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Jiobit Acquisition in September 2021, the Company issued 91,217 shares of restricted common stock with an aggregate fair value of $1.9 million to be recognized as post combination stock-based compensation ratably with continuous employment of certain employees over a 3 year period.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2023, a key employee of the Jiobit Acquisition terminated employment with the Company. As part of such employee’s separation agreement, the Company recorded $0.2 million to compensation included in general and administrative expense related to their Revesting Stock. As of September 30, 2023 and December 31, 2022, there was zero and $0.2 million of unrecognized compensation expense, respectively, related to this restricted common stock which is expected to be recognized over the remaining weighted average life of zero years and 1.7 years, respectively.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Company granted 43,083 service-based stock options under the Plan to certain Jiobit employees with an aggregate fair value of $0.5 million which vests ratably over the requisite service period. As of September 30, 2023, there was $0.1 million of unrecognized compensation expense related to unvested assumed stock options, which is expected to be recognized over the remaining weighted average life of 1.2 years. As of December 31, 2022, there was $0.2 million of unrecognized compensation expense related to unvested assumed stock options, which is expected to be recognized over the remaining weighted average life of 1.8 years.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Tile, Inc.</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Tile Acquisition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 year period. As of March 31, 2022, the vesting criteria had not been met and all 787,446 restricted stock units were forfeited. The remaining 711,903 retention restricted stock units vest over a two to four year period. As of September 30, 2023, there was $1.6 million of unrecognized compensation expense related to the retention restricted stock units which is expected to be recognized over the remaining weighted average life of 1.2 years.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issued 38,730 vested common stock options to Tile employees as stock-based compensation on the acquisition date. The aggregate fair value of $0.4 million was recognized as compensation expense on the date of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total of 694,672 shares of common stock with an aggregate fair value of $13.7 million were issued to Tile shareholders as part of purchase consideration.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$13.7 million was included within purchase consideration.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total of 1,561 shares of common stock with an aggregate fair value of $31 thousand were issued to a key employee, the vesting of which is subject to continued employment over a 30-month period. As of September 30, 2023, there was $9 thousand of unrecognized compensation expense related to unvested restricted stock units which is expected to be recognized over the remaining 0.8 years.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total of 84,524 shares of common stock were issued as part of consideration transferred and were placed in an indemnity escrow fund to be held for fifteen months after the acquisition date for general representations and warranties. The aggregate fair value of $1.7 million was included within purchase consideration. All 84,524 shares of common stock were released from escrow in April 2023 as scheduled.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(benefit from) income taxes for interim periods is determined using an estimated annual effective tax rate in accordance with Accounting Standards Codification (“ASC”) 740-270, Income Taxes, Interim Reporting. The effective tax rate may be subject to fluctuations during the year as new information is obtained, which may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September 30, 2023, the Company recorded a benefit from income taxes of $0.2 million and a provision for income taxes of $0.2 million, respectively. For the three and nine months ended September 30, 2022, the Company recorded a provision for income taxes of $73 thousand and $84 thousand, respectively.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Tax Cuts and Jobs Act of 2017, research and experimental (R&amp;E) expenses under Internal Revenue Code Section 174 are required to be capitalized beginning in 2022. R&amp;E expenses are required to be amortized over a period of five years for domestic expenses and fifteen years for foreign expenses. The Company has capitalized R&amp;E expenditures in its income tax provision as a result. Accordingly, in the three and nine months ended September 30, 2023, the Company recorded a state income tax benefit of $0.2 million and a state income tax expense of $0.2 million, respectively, primarily due to state conformity to Internal Revenue Code Section 174.</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ASC 805, a change in the acquirer’s valuation allowance that stems from a business combination should be recognized as an element of the acquirer’s income tax expense or benefit in the period of acquisition. Accordingly, in the three and nine months ended September 30, 2022, the Company recorded a provisional zero and $96 thousand partial release of its valuation allowance and a corresponding income tax benefit stemming from the Tile Acquisition, respectively. The benefit was offset by the state income taxes for the three and nine months ended September 30,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entered into secondary financing transactions and other transactions with certain executive officers and Board members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transactions is detailed below:</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Due From Affiliates (Contra Equity)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2016, the Company issued an aggregate of $0.6 million in secured partial recourse promissory notes (“partially secured loan”) to the Chief Executive Officer, Non-Executive Director (Previously President), Chief Operating Officer and another executive of the Company.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accounted for the 2016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 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All promissory notes issued to the Chief Executive Officer and Chief Operating Officer were repaid as of June 2022. During the three months ended March 31, 2023, the Company received proceeds from the repayment of the partially secured loan that remained outstanding of $0.3 million. As of September 30, 2023 and December 31, 2022, the Company had deposit liability balances of zero and $0.3 million, respectively, in connection with the 2016 partially secured loan and other early exercises of equity awards. Principal amounts due under the 2016 partially secured loan are included in Notes Due From Affiliates as a reduction in stockholders’ equity on the consolidated balance sheets.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share and per share information):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(79,326)</w:t>
            </w:r>
          </w:p>
        </w:tc>
      </w:tr>
      <w:tr>
        <w:trPr>
          <w:trHeight w:val="175"/>
        </w:trPr>
        <w:tc>
          <w:tcPr>
            <w:tcW w:w="5020" w:type="dxa"/>
            <w:vAlign w:val="bottom"/>
          </w:tcPr>
          <w:p>
            <w:pPr>
              <w:ind w:left="20"/>
              <w:spacing w:after="0" w:line="176" w:lineRule="exact"/>
              <w:rPr>
                <w:sz w:val="20"/>
                <w:szCs w:val="20"/>
                <w:color w:val="auto"/>
              </w:rPr>
            </w:pPr>
            <w:r>
              <w:rPr>
                <w:rFonts w:ascii="Arial" w:cs="Arial" w:eastAsia="Arial" w:hAnsi="Arial"/>
                <w:sz w:val="18"/>
                <w:szCs w:val="18"/>
                <w:color w:val="auto"/>
                <w:w w:val="89"/>
              </w:rPr>
              <w:t>Weighted-average shares used in computing net loss per share, basic</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diluted</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5"/>
              </w:rPr>
              <w:t>67,091,993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5"/>
              </w:rPr>
              <w:t>62,173,588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5"/>
              </w:rPr>
              <w:t>66,389,483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5"/>
              </w:rPr>
              <w:t>61,753,532</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for the periods presented because including them would have been antidilutive are as follows:</w:t>
      </w:r>
    </w:p>
    <w:p>
      <w:pPr>
        <w:sectPr>
          <w:pgSz w:w="11900" w:h="16838" w:orient="portrait"/>
          <w:cols w:equalWidth="0" w:num="1">
            <w:col w:w="11240"/>
          </w:cols>
          <w:pgMar w:left="320" w:top="229" w:right="339" w:bottom="1440" w:gutter="0" w:footer="0" w:header="0"/>
        </w:sectPr>
      </w:pPr>
    </w:p>
    <w:p>
      <w:pPr>
        <w:spacing w:after="0" w:line="202" w:lineRule="exact"/>
        <w:rPr>
          <w:sz w:val="20"/>
          <w:szCs w:val="20"/>
          <w:color w:val="auto"/>
        </w:rPr>
      </w:pPr>
    </w:p>
    <w:p>
      <w:pPr>
        <w:jc w:val="center"/>
        <w:ind w:left="798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46990</wp:posOffset>
            </wp:positionV>
            <wp:extent cx="10801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58"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46990</wp:posOffset>
            </wp:positionV>
            <wp:extent cx="10801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58"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9200" w:space="580"/>
            <w:col w:w="14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Issuances under stock incentive plan</w:t>
            </w:r>
          </w:p>
        </w:tc>
        <w:tc>
          <w:tcPr>
            <w:tcW w:w="248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6,971,398</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8,249,031</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Issuances upon exercise of common stock warrants</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137,658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137,658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Issuances upon vesting of restricted stock units</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5,518,647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6,422,809</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Issuances of convertible notes</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325,981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516,758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Shares reserved for shares available to be granted but not granted yet</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3,812,739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995,072</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16,766,423</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16,321,328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80" w:type="dxa"/>
            <w:vAlign w:val="bottom"/>
            <w:vMerge w:val="restart"/>
          </w:tcPr>
          <w:p>
            <w:pPr>
              <w:jc w:val="right"/>
              <w:ind w:right="1930"/>
              <w:spacing w:after="0"/>
              <w:rPr>
                <w:sz w:val="20"/>
                <w:szCs w:val="20"/>
                <w:color w:val="auto"/>
              </w:rPr>
            </w:pPr>
            <w:r>
              <w:rPr>
                <w:rFonts w:ascii="Arial" w:cs="Arial" w:eastAsia="Arial" w:hAnsi="Arial"/>
                <w:sz w:val="18"/>
                <w:szCs w:val="18"/>
                <w:color w:val="auto"/>
              </w:rPr>
              <w:t>27</w:t>
            </w: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2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the section titled “Risk Factors” under Part II, Item 1A in this Quarterly Report on Form 10-Q and Part I, Item 1A in our Annual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users at no charge, with three membership subscription options that are available but not required. Our platform recently entered a new era of location tracking services with the successful acquisitions of Jiobit and Tile. By offering devices and integrated software to members, we have expanded our addressable market to provide members of all ages with a vertically integrated, cross-platform solution of scale.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expanding offerings on our platform; attracting and retaining talent; seasonality; and international expansion. We discuss each of these factors in more detail under the heading “Item 2. Management’s Discussion and Analysis of Financial Condition and Results of Operations— Factors Affecting Our Results of Operations” in our Annual Report on Form 10-K for the year ended December 31, 2022. While we do not have control of all factors affecting our results from operations, we work diligently to influence and manage those factors which we can impact to enhance our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Subscription Revenue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generate revenue from sales of subscriptions on our platforms.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Hardware Revenue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generate our hardware revenue from the sale of the Tile and Jiobit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generate revenue through data monetization arrangements with certain third parties through data acquisition and license agreements for data collected from our member base for purposes of targeted advertising, research, analytics, attribution, and other commercial purposes. In January 2022, we executed a new partnership agreement with a key data partner, a prominent provider of aggregated analytics for the retail ecosystem. The agreement includes fixed monthly revenue amounts for access to aggregated data for the duration of the three-year agreement. Other revenue also includes partnership revenue.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 of Revenue and Gross Margin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Cost of Subscription Revenue</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Cost of Hardware Revenue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Cost of Other Revenue</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Cost of other revenue includes cloud-based hosting costs, as well as costs of product operations functions and personnel-related costs associated with our data platform. Personnel-related expenses include salaries, bonuses, benefits, and stock-based compensation for operations personnel.</w:t>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Gross Profit and Gross Profit Margin</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gross profit has been, and may in the future be, influenced by several factors, including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operating expenses consist of research and development, selling and marketing, and general and administrative expenses.</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expect our research and development expenses will increase in absolute dollars as our business grows.</w:t>
      </w:r>
    </w:p>
    <w:p>
      <w:pPr>
        <w:spacing w:after="0" w:line="257"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sales and marketing expenses consist primarily of personnel-related costs, brand marketing costs, lead generation costs, sales incentives,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257"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general and administrative expenses consist primarily of personnel-related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Convertible Notes Fair Value Adjustment</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issued convertible notes to investors in July 2021 (the “July 2021 Convertible Notes”), and as part of the purchase consideration related to the Jiobit Acquisition in September 2021 (the “September 2021 Convertible Notes” and together with the July 2021 Convertible Notes, the “Convertible Notes”). The September 2021 Convertible Notes are recorded at fair value and are revalued at each reporting period.</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Derivative Liability Fair Value Adjustment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Derivative liability fair value adjustment relates to the change in the fair value of the embedded conversion and redemption features associated with the July 2021 Convertible Notes.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Provision for (benefit from)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set forth our condensed consolidated statements of operations and comprehensive loss for the three and nine months ended September 30, 2023 and 2022 (in thousands, except percentages).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38,991</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160,998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Hardware revenue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28,314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36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57,153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217,555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156,967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subscription revenue</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line="230" w:lineRule="exact"/>
              <w:rPr>
                <w:sz w:val="20"/>
                <w:szCs w:val="20"/>
                <w:color w:val="auto"/>
              </w:rPr>
            </w:pPr>
            <w:r>
              <w:rPr>
                <w:rFonts w:ascii="Arial" w:cs="Arial" w:eastAsia="Arial" w:hAnsi="Arial"/>
                <w:sz w:val="18"/>
                <w:szCs w:val="18"/>
                <w:color w:val="auto"/>
              </w:rPr>
              <w:t>Cost of hardware revenue</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9,327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27,906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other revenue</w:t>
            </w:r>
            <w:r>
              <w:rPr>
                <w:rFonts w:ascii="Arial" w:cs="Arial" w:eastAsia="Arial" w:hAnsi="Arial"/>
                <w:sz w:val="23"/>
                <w:szCs w:val="23"/>
                <w:color w:val="auto"/>
                <w:vertAlign w:val="superscript"/>
              </w:rPr>
              <w:t>(1)</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36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17,913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53,321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24,569</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24,228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70,365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185,345</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Convertible notes fair value adjustment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Arial" w:cs="Arial" w:eastAsia="Arial" w:hAnsi="Arial"/>
                <w:sz w:val="18"/>
                <w:szCs w:val="18"/>
                <w:color w:val="auto"/>
                <w:w w:val="96"/>
              </w:rPr>
              <w:t>Derivative liability fair value adjustment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Change in foreign currency translation</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w:t>
            </w: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comprehensive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0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(in thousands, except percentages):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2"/>
              </w:rPr>
              <w:t>Three Months Ended September 30,</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3"/>
              </w:rPr>
              <w:t>Nine Months Ended September 30,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360"/>
              <w:spacing w:after="0"/>
              <w:rPr>
                <w:sz w:val="20"/>
                <w:szCs w:val="20"/>
                <w:color w:val="auto"/>
              </w:rPr>
            </w:pPr>
            <w:r>
              <w:rPr>
                <w:rFonts w:ascii="Arial" w:cs="Arial" w:eastAsia="Arial" w:hAnsi="Arial"/>
                <w:sz w:val="18"/>
                <w:szCs w:val="18"/>
                <w:color w:val="auto"/>
              </w:rPr>
              <w:t>Subscription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Hardware costs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328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as a percentage of total 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32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20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57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Hardware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subscription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Cost of hardware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other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cost of revenue</w:t>
            </w: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8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118 %</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Convertible notes fair value adjustment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Derivative liability fair value adjustment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foreign currency translation adjustment</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comprehensive loss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865"/>
        </w:trPr>
        <w:tc>
          <w:tcPr>
            <w:tcW w:w="5760" w:type="dxa"/>
            <w:vAlign w:val="bottom"/>
            <w:gridSpan w:val="2"/>
          </w:tcPr>
          <w:p>
            <w:pPr>
              <w:ind w:left="5540"/>
              <w:spacing w:after="0"/>
              <w:rPr>
                <w:sz w:val="20"/>
                <w:szCs w:val="20"/>
                <w:color w:val="auto"/>
              </w:rPr>
            </w:pPr>
            <w:r>
              <w:rPr>
                <w:rFonts w:ascii="Arial" w:cs="Arial" w:eastAsia="Arial" w:hAnsi="Arial"/>
                <w:sz w:val="18"/>
                <w:szCs w:val="18"/>
                <w:color w:val="auto"/>
                <w:w w:val="99"/>
              </w:rPr>
              <w:t>32</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26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1720" w:type="dxa"/>
            <w:vAlign w:val="bottom"/>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r>
      <w:tr>
        <w:trPr>
          <w:trHeight w:val="26"/>
        </w:trPr>
        <w:tc>
          <w:tcPr>
            <w:tcW w:w="4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46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w:t>
            </w:r>
          </w:p>
        </w:tc>
      </w:tr>
      <w:tr>
        <w:trPr>
          <w:trHeight w:val="163"/>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6"/>
        </w:trPr>
        <w:tc>
          <w:tcPr>
            <w:tcW w:w="4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56,607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Hardware revenue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15,541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4"/>
        </w:trPr>
        <w:tc>
          <w:tcPr>
            <w:tcW w:w="46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78,624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21,471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38 %</w:t>
            </w:r>
          </w:p>
        </w:tc>
      </w:tr>
    </w:tbl>
    <w:p>
      <w:pPr>
        <w:spacing w:after="0" w:line="29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Subscription revenue increased $17.6 million, or 45%, during the three months ended September 30, 2023 as compared to the three months ended September 30, 2022, primarily due to a 14% growth in total subscriptions and a 17% growth in Paying Circles. Additionally, subscription revenue in the current period benefited from a full quarter’s impact of the price increases for U.S. iOS Life360 subscriptions which were implemented during the three months ended December 31, 2022, and the price increases for existing Android Life360 subscriptions which were fully implemented during the three months ended June 30, 2023.</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Hardware revenue increased $3.9 million, or 33%, during the three months ended September 30, 2023 as compared to the three months ended September 30, 2022, primarily due to an increased number of net hardware units shipped.</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revenue remained flat during the three months ended September 30, 2023 as compared to the three months ended September 30, 2022 as the Company maintained the single aggregated data arrangement.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Pr>
          <w:p>
            <w:pPr>
              <w:spacing w:after="0"/>
              <w:rPr>
                <w:sz w:val="16"/>
                <w:szCs w:val="16"/>
                <w:color w:val="auto"/>
              </w:rPr>
            </w:pPr>
          </w:p>
        </w:tc>
        <w:tc>
          <w:tcPr>
            <w:tcW w:w="1720" w:type="dxa"/>
            <w:vAlign w:val="bottom"/>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r>
      <w:tr>
        <w:trPr>
          <w:trHeight w:val="26"/>
        </w:trPr>
        <w:tc>
          <w:tcPr>
            <w:tcW w:w="4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w:t>
            </w:r>
          </w:p>
        </w:tc>
      </w:tr>
      <w:tr>
        <w:trPr>
          <w:trHeight w:val="163"/>
        </w:trPr>
        <w:tc>
          <w:tcPr>
            <w:tcW w:w="46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
        </w:trPr>
        <w:tc>
          <w:tcPr>
            <w:tcW w:w="4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Hardware revenue</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4"/>
        </w:trPr>
        <w:tc>
          <w:tcPr>
            <w:tcW w:w="46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217,555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156,967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60,588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39 %</w:t>
            </w:r>
          </w:p>
        </w:tc>
      </w:tr>
    </w:tbl>
    <w:p>
      <w:pPr>
        <w:spacing w:after="0" w:line="28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Subscription revenue increased $53.1 million, or 49%, during the nine months ended September 30, 2023 as compared to the nine months ended September 30, 2022, primarily due to a 14% growth in total subscriptions and a 17% growth in Paying Circles. Additionally, subscription revenue in the current period benefited from a full nine month impact of the price increases for U.S. iOS Life360 subscriptions which were implemented during the three months ended December 31, 2022, and a full quarter’s impact of price increases for existing Android Life360 subscriptions, which were fully implemented during the three months ended June 30, 2023.</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Hardware revenue increased $8.8 million, or 31%, during the nine months ended September 30, 2023 as compared to the nine months ended September 30, 2022, primarily due to an increased number of net hardware units shipped.</w:t>
      </w:r>
    </w:p>
    <w:p>
      <w:pPr>
        <w:spacing w:after="0" w:line="1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Other revenue decreased $1.3 million, or 6%, during the nine months ended September 30, 2023 as compared to the nine months ended September 30, 2022, due to our strategic shift to focus on a single aggregated data partner and the terms associated with the arrangement.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1600" w:type="dxa"/>
            <w:vAlign w:val="bottom"/>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4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r>
      <w:tr>
        <w:trPr>
          <w:trHeight w:val="163"/>
        </w:trPr>
        <w:tc>
          <w:tcPr>
            <w:tcW w:w="48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8,267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Cost of hardware revenue</w:t>
            </w:r>
          </w:p>
        </w:tc>
        <w:tc>
          <w:tcPr>
            <w:tcW w:w="30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11,570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9,327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20,739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17,913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r>
      <w:tr>
        <w:trPr>
          <w:trHeight w:val="230"/>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57,885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39,240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Subscription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Hardware</w:t>
            </w:r>
          </w:p>
        </w:tc>
        <w:tc>
          <w:tcPr>
            <w:tcW w:w="1580" w:type="dxa"/>
            <w:vAlign w:val="bottom"/>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Cost of subscription revenue increased by $0.5 million, or 6%, during the three months ended September 30, 2023 as compared to the three months ended September 30, 2022, primarily related to a $0.4 million increase in technology costs, $0.1 million increase in membership offerings in line with the increase in revenue, and an increase of $0.2 million in contractor spend associated with Company growth. The increases were offset by a decrease of $0.2 million in other expenses attributable to the integration with Tile and the recategorization of the combined workforce.</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Subscription gross margin increased to 85% during the three months ended September 30, 2023 from 80% during the three months ended September 30, 2022, primarily due to the subscription price increases implemented by the Company during the fourth quarter of the year ended December 31, 2022 and a decrease in membership offering costs related to the discontinuation of certain battery related membership benefits.</w:t>
      </w:r>
    </w:p>
    <w:p>
      <w:pPr>
        <w:spacing w:after="0" w:line="16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Cost of hardware revenue increased by $2.2 million, or 24%, during the three months ended September 30, 2023 as compared to the three months ended September 30, 2022, primarily due to an increase of $2.2 million in hardware costs relating to fulfillment, logistics, product, and other hardware expenses in line with the Company’s increased number of units sold.</w:t>
      </w:r>
    </w:p>
    <w:p>
      <w:pPr>
        <w:spacing w:after="0" w:line="1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Hardware gross margin increased to 26% during the three months ended September 30, 2023 from 20% during the three months ended September 30, 2022, primarily due to efficiencies achieved within the Company as decreased fulfillment, logistics and personnel-related costs were incurred as a percentage of revenue during the three months ended September 30, 2023 compared to the three months ended September 30,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Pr>
          <w:p>
            <w:pPr>
              <w:spacing w:after="0"/>
              <w:rPr>
                <w:sz w:val="16"/>
                <w:szCs w:val="16"/>
                <w:color w:val="auto"/>
              </w:rPr>
            </w:pPr>
          </w:p>
        </w:tc>
        <w:tc>
          <w:tcPr>
            <w:tcW w:w="1600" w:type="dxa"/>
            <w:vAlign w:val="bottom"/>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5"/>
        </w:trPr>
        <w:tc>
          <w:tcPr>
            <w:tcW w:w="4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r>
      <w:tr>
        <w:trPr>
          <w:trHeight w:val="163"/>
        </w:trPr>
        <w:tc>
          <w:tcPr>
            <w:tcW w:w="48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22,700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22,742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Cost of hardware revenue</w:t>
            </w:r>
          </w:p>
        </w:tc>
        <w:tc>
          <w:tcPr>
            <w:tcW w:w="32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29,732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27,906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2,625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55,057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53,321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r>
      <w:tr>
        <w:trPr>
          <w:trHeight w:val="230"/>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162,498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103,646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Subscription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Hardware</w:t>
            </w:r>
          </w:p>
        </w:tc>
        <w:tc>
          <w:tcPr>
            <w:tcW w:w="158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891"/>
        </w:trPr>
        <w:tc>
          <w:tcPr>
            <w:tcW w:w="4820" w:type="dxa"/>
            <w:vAlign w:val="bottom"/>
          </w:tcPr>
          <w:p>
            <w:pPr>
              <w:spacing w:after="0"/>
              <w:rPr>
                <w:sz w:val="24"/>
                <w:szCs w:val="24"/>
                <w:color w:val="auto"/>
              </w:rPr>
            </w:pPr>
          </w:p>
        </w:tc>
        <w:tc>
          <w:tcPr>
            <w:tcW w:w="1580" w:type="dxa"/>
            <w:vAlign w:val="bottom"/>
          </w:tcPr>
          <w:p>
            <w:pPr>
              <w:jc w:val="right"/>
              <w:ind w:right="59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Cost of subscription revenue remained flat during the nine months ended September 30, 2023 as compared to the nine months ended September 30, 2022, primarily related to a $1.8 million decrease in membership offerings as a result of the discontinuation of certain battery related membership benefits, partially offset by a $1.4 million increase in other membership offerings in line with the increase in revenue. The Company also saw a decrease of $1.1 million in personnel-related costs and stock-based compensation costs attributable to the Company’s integration with Tile and the recategorization of the combined workforce. These decreases were partially offset by increases of $0.7 million in technology expenses, $0.4 million in contractor expenses, $0.3 million in professional and outside services, and $0.1 million in other facilities and related expenses associated with Company growth.</w:t>
      </w:r>
    </w:p>
    <w:p>
      <w:pPr>
        <w:spacing w:after="0" w:line="16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Subscription gross margin increased to 86% during the nine months ended September 30, 2023 from 79% during the nine months ended September 30, 2022, primarily due to the subscription price increases implemented by the Company during the fourth quarter of the year ended December 31, 2022 and a decrease in membership offering costs related to the discontinuation of certain battery related membership benefits.</w:t>
      </w:r>
    </w:p>
    <w:p>
      <w:pPr>
        <w:spacing w:after="0" w:line="16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Cost of hardware revenue increased by $1.8 million, or 7%, during the nine months ended September 30, 2023 as compared to the nine months ended September 30, 2022, primarily due to an increase of $4.7 million in product, freight and battery expenses in line with the increased number of units sold. The increases were offset by a $2.1 million decrease in fulfillment, logistics, and other expenses largely reflecting the alignment of accounting policies, a $0.5 million decrease in technology expenses related to improved efficiencies post-acquisition with Tile and a decrease of $0.3 million in membership offerings related to the discontinuation of certain battery related membership benefits.</w:t>
      </w:r>
    </w:p>
    <w:p>
      <w:pPr>
        <w:spacing w:after="0" w:line="17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Hardware gross margin increased to 20% during the nine months ended September 30, 2023 from 1% during the nine months ended September 30, 2022, primarily due to efficiencies achieved within the Company as decreased fulfillment, logistics and personnel-related costs were incurred as a percentage of revenue during the nine months ended September 30, 2023 as compared to the nine months ended September 30, 2022.</w:t>
      </w: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980" w:type="dxa"/>
            <w:vAlign w:val="bottom"/>
          </w:tcPr>
          <w:p>
            <w:pPr>
              <w:spacing w:after="0"/>
              <w:rPr>
                <w:sz w:val="16"/>
                <w:szCs w:val="16"/>
                <w:color w:val="auto"/>
              </w:rPr>
            </w:pPr>
          </w:p>
        </w:tc>
        <w:tc>
          <w:tcPr>
            <w:tcW w:w="1080" w:type="dxa"/>
            <w:vAlign w:val="bottom"/>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26"/>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r>
      <w:tr>
        <w:trPr>
          <w:trHeight w:val="164"/>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24,569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9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Research and development expenses remained flat during the three months ended September 30, 2023 as compared to the three months ended September 30, 2022. The Company saw an increase of $0.7 million in personnel-related costs and stock-based compensation, primarily related to an increased volume of stock grants awarded to employees. The increase was offset by decreases of $0.4 million and $0.3 million related to contractor and other expenses, respectively, as a result of the Tile and Jiobit businesses being substantially fully integrated.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25"/>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r>
      <w:tr>
        <w:trPr>
          <w:trHeight w:val="163"/>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74,948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8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Research and development expenses decreased by $2.4 million, or 3%, during the nine months ended September 30, 2023 as compared to the nine months ended September 30, 2022. The decrease was primarily due to decreases of $2.3 million in contractor spend, $1.2 million in professional and outside services spend, $0.7 million in technology expenses, $0.5 million in other expenses, and $0.4 million in facilities and related expenses due to the Company’s decreased need as a result of the Tile and Jiobit businesses being substantially fully integrated. These decreases were offset by a $1.8 million increase in personnel-related costs and stock-based compensation, primarily related to an increased volume of stock grants awarded to employees and an increase of $0.9 million related to a raw materials inventory write-off.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Sales and Marketing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26"/>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r>
      <w:tr>
        <w:trPr>
          <w:trHeight w:val="163"/>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6"/>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25,741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bl>
    <w:p>
      <w:pPr>
        <w:spacing w:after="0" w:line="29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Sales and marketing expenses increased $1.5 million, or 6%, during the three months ended September 30, 2023 as compared to the three months ended September 30, 2022. This increase was primarily due to a $2.4 million increase in marketing expenses consisting of increases of $2.8 million in channel partner commission fees and $0.8 million in paid user acquisition spend, offset by a decrease of $1.2 million in other marketing spend. This increase was offset by decreases of $0.8 million in professional and outside services and other spend due to the Company’s decreased need as a result of the Tile and Jiobit businesses being substantially fully integrated.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26"/>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r>
      <w:tr>
        <w:trPr>
          <w:trHeight w:val="163"/>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6"/>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73,404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8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Sales and marketing expenses increased $3.0 million, or 4%, during the nine months ended September 30, 2023 as compared to the nine months ended September 30, 2022. This increase was primarily due to a $5.6 million increase in marketing expenses consisting of increases of $8.9 million in channel partner commission charges and $0.1 million in paid user acquisition spend, partially offset by a $3.4 million decrease in other marketing spend. The increase was offset by a decrease of $2.1 million in professional and outside services and contractor spend due to the Company’s decreased need as a result of the Tile and Jiobit businesses being substantially fully integrated and a decrease of $0.7 million in personnel and related costs and stock-based compensation primarily due to the Company’s reduction in workforce which took place during the three months ended March 31, 2023. The Company also saw an increase of $0.3 million in technology and other expenses associated with Company growth.</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25"/>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r>
      <w:tr>
        <w:trPr>
          <w:trHeight w:val="163"/>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14,082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296"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6"/>
          <w:szCs w:val="16"/>
          <w:color w:val="auto"/>
        </w:rPr>
        <w:t>General and administrative expenses increased $2.5 million, or 22%, during the three months ended September 30, 2023 as compared to the three months ended September 30, 2022. This increase was primarily due to an increase of $1.8 million in professional and outside services associated with expenses related to accounting, legal and advisory services, an increase of $0.3 million in personnel-related costs and stock-based compensation primarily related to an increased volume of stock grants awarded to employees, and an increase of $0.4 million related to other expenses related to business growth.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25"/>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t>
            </w:r>
          </w:p>
        </w:tc>
      </w:tr>
      <w:tr>
        <w:trPr>
          <w:trHeight w:val="164"/>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905"/>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639"/>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General and administrative expenses increased $2.1 million, or 6%, during the nine months ended September 30, 2023 as compared to the nine months ended September 30, 2022. This increase was primarily due to a $5.3 million gain on revaluation of contingent consideration related to the Jiobit Acquisition recorded during the nine months ended September 30, 2022, offset by a reduction of $3.4 million in professional and outside services associated with expenses related to accounting, legal and advisory services in connection with the Company’s Form 10 filing and the Tile Acquisition which took place during 2022 and a $0.3 million decrease in personnel-related costs and stock-based compensation primarily related to a reduction in headcount associated with the Company’s reduction in force which took place during the quarter ended March 31, 2023. The remaining increase of $0.6 million relates to an increase in other expenses related to business growth.</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Convertible Notes Fair Value Adjustment</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September 30, 2023 and 2022, the Company recorded losses associated with the convertible notes fair value adjustment of $0.6 million and $0.2 million, respectively. For the nine months ended September 30, 2023 and 2022, the Company recorded a loss and a gain associated with the convertible notes fair value adjustment of $0.8 million and $1.9 million, respectively. The changes in fair value are primarily driven by the share price volatility and reduction in time to convert.</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Derivative Liability Fair Value Adjustment</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September 30, 2023 and 2022, the Company recorded a gain and a loss associated with the derivative liability fair value adjustment of $0.1 million and $0.1 million, respectively. For the nine months ended September 30, 2023 and 2022, the Company recorded a loss and a gain associated with the derivative liability fair value adjustment of $0.2 million and $1.2 million, respectively. The changes are due to the revaluation of the derivative liability at each reporting period and are related to embedded redemption features bifurcated from the July 2021 Convertible Notes issued to investors.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Other Income (Expense), Net</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Other income (expense), net increased $0.1 million, or 26%, during the three months ended September 30, 2023 as compared to the three months ended September 30, 2022. Other income (expense), net increased $2.4 million, or 399%, during the nine months ended September 30, 2023 as compared to the nine months ended September 30, 2022. The increase was driven by an increase in dividend income earned due to a higher average gross yield and favorable currency revaluation impacts in the current periods compared to the same periods in the prior year. Other income (expense) includes interest income, dividend income, foreign exchange losses, and interest expense associated with the July 2021 Convertible Notes.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metrics to evaluate our business, measure our performance, identify trends affecting our business, develop financial forecasts, and make strategic decisions. Key operating metrics are presented in millions, except Average Revenue per Paying Circle (“ARPPC”), Average Revenue per Paying Subscription (“ARPPS”) and Average Selling Price (“ASP”), however percentage changes are calculated based on actual results. As a result, percentage changes may not recalculate based on figures presented due to rounding. Please refer to “—Results of Operations” for additional metrics management reviews in conjunction with the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Key Operating Metrics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As of and for the Three Months Ended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ind w:left="100"/>
              <w:spacing w:after="0"/>
              <w:rPr>
                <w:sz w:val="20"/>
                <w:szCs w:val="20"/>
                <w:color w:val="auto"/>
              </w:rPr>
            </w:pPr>
            <w:r>
              <w:rPr>
                <w:rFonts w:ascii="Arial" w:cs="Arial" w:eastAsia="Arial" w:hAnsi="Arial"/>
                <w:sz w:val="14"/>
                <w:szCs w:val="14"/>
                <w:b w:val="1"/>
                <w:bCs w:val="1"/>
                <w:color w:val="auto"/>
              </w:rPr>
              <w:t>As of and for the Nine Months Ended</w:t>
            </w:r>
          </w:p>
        </w:tc>
        <w:tc>
          <w:tcPr>
            <w:tcW w:w="1360" w:type="dxa"/>
            <w:vAlign w:val="bottom"/>
          </w:tcPr>
          <w:p>
            <w:pPr>
              <w:spacing w:after="0"/>
              <w:rPr>
                <w:sz w:val="14"/>
                <w:szCs w:val="14"/>
                <w:color w:val="auto"/>
              </w:rPr>
            </w:pPr>
          </w:p>
        </w:tc>
      </w:tr>
      <w:tr>
        <w:trPr>
          <w:trHeight w:val="192"/>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37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372"/>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7"/>
                <w:szCs w:val="17"/>
                <w:color w:val="auto"/>
              </w:rPr>
            </w:pPr>
          </w:p>
        </w:tc>
        <w:tc>
          <w:tcPr>
            <w:tcW w:w="1360" w:type="dxa"/>
            <w:vAlign w:val="bottom"/>
          </w:tcPr>
          <w:p>
            <w:pPr>
              <w:jc w:val="right"/>
              <w:ind w:right="252"/>
              <w:spacing w:after="0"/>
              <w:rPr>
                <w:sz w:val="20"/>
                <w:szCs w:val="20"/>
                <w:color w:val="auto"/>
              </w:rPr>
            </w:pPr>
            <w:r>
              <w:rPr>
                <w:rFonts w:ascii="Arial" w:cs="Arial" w:eastAsia="Arial" w:hAnsi="Arial"/>
                <w:sz w:val="14"/>
                <w:szCs w:val="14"/>
                <w:b w:val="1"/>
                <w:bCs w:val="1"/>
                <w:color w:val="auto"/>
              </w:rPr>
              <w:t>% Change</w:t>
            </w:r>
          </w:p>
        </w:tc>
      </w:tr>
      <w:tr>
        <w:trPr>
          <w:trHeight w:val="163"/>
        </w:trPr>
        <w:tc>
          <w:tcPr>
            <w:tcW w:w="32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ARPPC, ARPPS and ASP)</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r>
      <w:tr>
        <w:trPr>
          <w:trHeight w:val="26"/>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AMR</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MAUs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3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Paying Circles</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3260" w:type="dxa"/>
            <w:vAlign w:val="bottom"/>
          </w:tcPr>
          <w:p>
            <w:pPr>
              <w:ind w:left="20"/>
              <w:spacing w:after="0" w:line="230" w:lineRule="exact"/>
              <w:rPr>
                <w:sz w:val="20"/>
                <w:szCs w:val="20"/>
                <w:color w:val="auto"/>
              </w:rPr>
            </w:pPr>
            <w:r>
              <w:rPr>
                <w:rFonts w:ascii="Arial" w:cs="Arial" w:eastAsia="Arial" w:hAnsi="Arial"/>
                <w:sz w:val="18"/>
                <w:szCs w:val="18"/>
                <w:color w:val="auto"/>
              </w:rPr>
              <w:t>ARPPC</w:t>
            </w:r>
            <w:r>
              <w:rPr>
                <w:rFonts w:ascii="Arial" w:cs="Arial" w:eastAsia="Arial" w:hAnsi="Arial"/>
                <w:sz w:val="23"/>
                <w:szCs w:val="23"/>
                <w:color w:val="auto"/>
                <w:vertAlign w:val="superscript"/>
              </w:rPr>
              <w:t>1</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118.85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90.60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3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Subscriptions</w:t>
            </w:r>
            <w:r>
              <w:rPr>
                <w:rFonts w:ascii="Arial" w:cs="Arial" w:eastAsia="Arial" w:hAnsi="Arial"/>
                <w:sz w:val="23"/>
                <w:szCs w:val="23"/>
                <w:color w:val="auto"/>
                <w:vertAlign w:val="superscript"/>
              </w:rPr>
              <w:t>1, 2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3260" w:type="dxa"/>
            <w:vAlign w:val="bottom"/>
          </w:tcPr>
          <w:p>
            <w:pPr>
              <w:ind w:left="20"/>
              <w:spacing w:after="0" w:line="230" w:lineRule="exact"/>
              <w:rPr>
                <w:sz w:val="20"/>
                <w:szCs w:val="20"/>
                <w:color w:val="auto"/>
              </w:rPr>
            </w:pPr>
            <w:r>
              <w:rPr>
                <w:rFonts w:ascii="Arial" w:cs="Arial" w:eastAsia="Arial" w:hAnsi="Arial"/>
                <w:sz w:val="18"/>
                <w:szCs w:val="18"/>
                <w:color w:val="auto"/>
              </w:rPr>
              <w:t>ARPPS</w:t>
            </w:r>
            <w:r>
              <w:rPr>
                <w:rFonts w:ascii="Arial" w:cs="Arial" w:eastAsia="Arial" w:hAnsi="Arial"/>
                <w:sz w:val="23"/>
                <w:szCs w:val="23"/>
                <w:color w:val="auto"/>
                <w:vertAlign w:val="superscript"/>
              </w:rPr>
              <w:t>1, 2</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76.23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3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hardware units shipped</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304"/>
        </w:trPr>
        <w:tc>
          <w:tcPr>
            <w:tcW w:w="3260" w:type="dxa"/>
            <w:vAlign w:val="bottom"/>
          </w:tcPr>
          <w:p>
            <w:pPr>
              <w:ind w:left="20"/>
              <w:spacing w:after="0"/>
              <w:rPr>
                <w:sz w:val="20"/>
                <w:szCs w:val="20"/>
                <w:color w:val="auto"/>
              </w:rPr>
            </w:pPr>
            <w:r>
              <w:rPr>
                <w:rFonts w:ascii="Arial" w:cs="Arial" w:eastAsia="Arial" w:hAnsi="Arial"/>
                <w:sz w:val="18"/>
                <w:szCs w:val="18"/>
                <w:color w:val="auto"/>
              </w:rPr>
              <w:t>ASP</w:t>
            </w:r>
            <w:r>
              <w:rPr>
                <w:rFonts w:ascii="Arial" w:cs="Arial" w:eastAsia="Arial" w:hAnsi="Arial"/>
                <w:sz w:val="23"/>
                <w:szCs w:val="23"/>
                <w:color w:val="auto"/>
                <w:vertAlign w:val="superscript"/>
              </w:rPr>
              <w:t>2</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__________</w:t>
      </w:r>
    </w:p>
    <w:p>
      <w:pPr>
        <w:spacing w:after="0" w:line="48" w:lineRule="exact"/>
        <w:rPr>
          <w:sz w:val="20"/>
          <w:szCs w:val="20"/>
          <w:color w:val="auto"/>
        </w:rPr>
      </w:pPr>
    </w:p>
    <w:p>
      <w:pPr>
        <w:jc w:val="both"/>
        <w:ind w:firstLine="8"/>
        <w:spacing w:after="0" w:line="290" w:lineRule="auto"/>
        <w:tabs>
          <w:tab w:leader="none" w:pos="7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Metrics presented as of and for the periods ended September 30, 2022 have been recast to reflect the calculations under a revised metric definition. We previously calculated Subscriptions and Paying Circles by including subscribers who had been billed as well as whose billing status was pending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w:t>
      </w:r>
    </w:p>
    <w:p>
      <w:pPr>
        <w:spacing w:after="0" w:line="74" w:lineRule="exact"/>
        <w:rPr>
          <w:sz w:val="20"/>
          <w:szCs w:val="20"/>
          <w:color w:val="auto"/>
        </w:rPr>
      </w:pPr>
    </w:p>
    <w:p>
      <w:pPr>
        <w:ind w:firstLine="8"/>
        <w:spacing w:after="0" w:line="233" w:lineRule="auto"/>
        <w:tabs>
          <w:tab w:leader="none" w:pos="76"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Metrics presented for the three and nine months ended September 30, 2022 are adjusted to include pre-acquisition data for Tile related to periods before the acquisition of Tile on January 5, 2022.</w:t>
      </w:r>
    </w:p>
    <w:p>
      <w:pPr>
        <w:spacing w:after="0" w:line="32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Annualized Monthly Revenue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AMR as of September 30, 2023, and 2022 was $259.1 million and $184.0 million, respectively, representing an increase of 41% year-over-year.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Monthly Active Users</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a large and growing global member base as of September 30, 2023. A Life360 monthly active user (“MAU”) is defined as a unique user who engages with our Life360 branded services each month, which includes both paying and non-paying members. As of September 30, 2023 and 2022, we had approximately 58.4 million and approximately 47.0 million MAUs on the Life360 Platform, respectively, representing an increase of 24% year-over-year. We believe this has been driven by continued strong new user growth and retention.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Paying Circles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define a Paying Circle as a group of Life360 users with a paying subscription and who has been billed as of the end of period. Each subscription covers all members in the payor’s Circle so everyone in the Circle can utilize the benefits of a Life360 Membership, including access to premium location, driving, digital and emergency safety insights and services.</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and 2022, we had approximately 1.7 million and 1.5 million paid subscribers to services under our Life360 brand, respectively, representing an increase of 17% year-over-year.</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grow the number of Paying Circles by increasing our free member base, converting free members to subscribers, and retaining them over time with the provision of high-quality family and safety services.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comparison of Paying Circles as of September 30, 2022 using the current and prior definitions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980" w:type="dxa"/>
            <w:vAlign w:val="bottom"/>
          </w:tcPr>
          <w:p>
            <w:pPr>
              <w:ind w:left="720"/>
              <w:spacing w:after="0"/>
              <w:rPr>
                <w:sz w:val="20"/>
                <w:szCs w:val="20"/>
                <w:color w:val="auto"/>
              </w:rPr>
            </w:pPr>
            <w:r>
              <w:rPr>
                <w:rFonts w:ascii="Arial" w:cs="Arial" w:eastAsia="Arial" w:hAnsi="Arial"/>
                <w:sz w:val="14"/>
                <w:szCs w:val="14"/>
                <w:b w:val="1"/>
                <w:bCs w:val="1"/>
                <w:color w:val="auto"/>
              </w:rPr>
              <w:t>As of September 30, 2022</w:t>
            </w:r>
          </w:p>
        </w:tc>
      </w:tr>
      <w:tr>
        <w:trPr>
          <w:trHeight w:val="26"/>
        </w:trPr>
        <w:tc>
          <w:tcPr>
            <w:tcW w:w="826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Paying Circles (current definition)</w:t>
            </w:r>
          </w:p>
        </w:tc>
        <w:tc>
          <w:tcPr>
            <w:tcW w:w="29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1.49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Paying Circles (prior definition)</w:t>
            </w:r>
          </w:p>
        </w:tc>
        <w:tc>
          <w:tcPr>
            <w:tcW w:w="2980" w:type="dxa"/>
            <w:vAlign w:val="bottom"/>
          </w:tcPr>
          <w:p>
            <w:pPr>
              <w:ind w:left="2440"/>
              <w:spacing w:after="0"/>
              <w:rPr>
                <w:sz w:val="20"/>
                <w:szCs w:val="20"/>
                <w:color w:val="auto"/>
              </w:rPr>
            </w:pPr>
            <w:r>
              <w:rPr>
                <w:rFonts w:ascii="Arial" w:cs="Arial" w:eastAsia="Arial" w:hAnsi="Arial"/>
                <w:sz w:val="18"/>
                <w:szCs w:val="18"/>
                <w:color w:val="auto"/>
              </w:rPr>
              <w:t>1.52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w:t>
            </w:r>
          </w:p>
        </w:tc>
        <w:tc>
          <w:tcPr>
            <w:tcW w:w="2980" w:type="dxa"/>
            <w:vAlign w:val="bottom"/>
            <w:shd w:val="clear" w:color="auto" w:fill="CCEEFF"/>
          </w:tcPr>
          <w:p>
            <w:pPr>
              <w:ind w:left="2460"/>
              <w:spacing w:after="0"/>
              <w:rPr>
                <w:sz w:val="20"/>
                <w:szCs w:val="20"/>
                <w:color w:val="auto"/>
              </w:rPr>
            </w:pPr>
            <w:r>
              <w:rPr>
                <w:rFonts w:ascii="Arial" w:cs="Arial" w:eastAsia="Arial" w:hAnsi="Arial"/>
                <w:sz w:val="18"/>
                <w:szCs w:val="18"/>
                <w:color w:val="auto"/>
                <w:w w:val="94"/>
              </w:rPr>
              <w:t>(1.8)%</w:t>
            </w:r>
          </w:p>
        </w:tc>
      </w:tr>
    </w:tbl>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Average Revenue per Paying Circle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define Average Revenue per Paying Circle (“ARPPC”) as subscription revenue derived from the Life360 mobile application, excluding certain revenue adjustments related to bundled Life360 subscription and hardware offerings, for the reported period divided by the Average Paying Circles during the same period. Average Paying Circles are calculated based on adding the number of Paying Circles as of the beginning of the period to the number of Paying Circles as of the end of the period, and then dividing by two.</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September 30, 2023 and 2022, our ARPPC was $119.97 and $93.55, respectively, representing a 28% increase year-over year . For the nine months ended September 30, 2023 and 2022, our ARPPC was $118.85 and $90.60, respectively, representing a 31% increase year-over-year.</w:t>
      </w:r>
    </w:p>
    <w:p>
      <w:pPr>
        <w:spacing w:after="0" w:line="18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ARPPC is a key indicator utilized by Life360 to determine the effective penetration of our tiered product offering for Paying Circles. The increase in pricing for new Paying Circles beginning in August 2022 has led to subscribers signing up for higher price products over time, increasing ARPPC.</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comparison of ARPPC for the three months ended September 30, 2022 using the current and prior definitions.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tcPr>
          <w:p>
            <w:pPr>
              <w:jc w:val="right"/>
              <w:ind w:right="757"/>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September 30, 2022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ARPPC (current definition)</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93.55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ARPPC (prior definition)</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500" w:type="dxa"/>
            <w:vAlign w:val="bottom"/>
          </w:tcPr>
          <w:p>
            <w:pPr>
              <w:jc w:val="right"/>
              <w:ind w:right="137"/>
              <w:spacing w:after="0"/>
              <w:rPr>
                <w:sz w:val="20"/>
                <w:szCs w:val="20"/>
                <w:color w:val="auto"/>
              </w:rPr>
            </w:pPr>
            <w:r>
              <w:rPr>
                <w:rFonts w:ascii="Arial" w:cs="Arial" w:eastAsia="Arial" w:hAnsi="Arial"/>
                <w:sz w:val="18"/>
                <w:szCs w:val="18"/>
                <w:color w:val="auto"/>
              </w:rPr>
              <w:t>91.84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w:t>
            </w:r>
          </w:p>
        </w:tc>
        <w:tc>
          <w:tcPr>
            <w:tcW w:w="4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Subscriptions as the number of paying subscribers associated with the Life360, Tile and Jiobit brands who have been billed as of the end of the period.</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and 2022, we had approximately 2.3 million and 2.1 million paid subscribers to services under the Life360, Tile, and Jiobit brands, respectively, representing an increase of 14% year-over-year.</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grow the number of Subscriptions by selling hardware units and increasing our free member base, converting free members to subscribers, and retaining them over time with the provision of item tracking and high-quality family and safety services.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comparison of Subscriptions as of September 30, 2022 using the current and prior definitions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980" w:type="dxa"/>
            <w:vAlign w:val="bottom"/>
          </w:tcPr>
          <w:p>
            <w:pPr>
              <w:ind w:left="720"/>
              <w:spacing w:after="0"/>
              <w:rPr>
                <w:sz w:val="20"/>
                <w:szCs w:val="20"/>
                <w:color w:val="auto"/>
              </w:rPr>
            </w:pPr>
            <w:r>
              <w:rPr>
                <w:rFonts w:ascii="Arial" w:cs="Arial" w:eastAsia="Arial" w:hAnsi="Arial"/>
                <w:sz w:val="14"/>
                <w:szCs w:val="14"/>
                <w:b w:val="1"/>
                <w:bCs w:val="1"/>
                <w:color w:val="auto"/>
              </w:rPr>
              <w:t>As of September 30, 2022</w:t>
            </w:r>
          </w:p>
        </w:tc>
      </w:tr>
      <w:tr>
        <w:trPr>
          <w:trHeight w:val="26"/>
        </w:trPr>
        <w:tc>
          <w:tcPr>
            <w:tcW w:w="826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Subscriptions (current definition)</w:t>
            </w:r>
          </w:p>
        </w:tc>
        <w:tc>
          <w:tcPr>
            <w:tcW w:w="29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2.05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Subscriptions (prior definition)</w:t>
            </w:r>
          </w:p>
        </w:tc>
        <w:tc>
          <w:tcPr>
            <w:tcW w:w="2980" w:type="dxa"/>
            <w:vAlign w:val="bottom"/>
          </w:tcPr>
          <w:p>
            <w:pPr>
              <w:ind w:left="2440"/>
              <w:spacing w:after="0"/>
              <w:rPr>
                <w:sz w:val="20"/>
                <w:szCs w:val="20"/>
                <w:color w:val="auto"/>
              </w:rPr>
            </w:pPr>
            <w:r>
              <w:rPr>
                <w:rFonts w:ascii="Arial" w:cs="Arial" w:eastAsia="Arial" w:hAnsi="Arial"/>
                <w:sz w:val="18"/>
                <w:szCs w:val="18"/>
                <w:color w:val="auto"/>
              </w:rPr>
              <w:t>2.08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w:t>
            </w:r>
          </w:p>
        </w:tc>
        <w:tc>
          <w:tcPr>
            <w:tcW w:w="2980" w:type="dxa"/>
            <w:vAlign w:val="bottom"/>
            <w:shd w:val="clear" w:color="auto" w:fill="CCEEFF"/>
          </w:tcPr>
          <w:p>
            <w:pPr>
              <w:ind w:left="2460"/>
              <w:spacing w:after="0"/>
              <w:rPr>
                <w:sz w:val="20"/>
                <w:szCs w:val="20"/>
                <w:color w:val="auto"/>
              </w:rPr>
            </w:pPr>
            <w:r>
              <w:rPr>
                <w:rFonts w:ascii="Arial" w:cs="Arial" w:eastAsia="Arial" w:hAnsi="Arial"/>
                <w:sz w:val="18"/>
                <w:szCs w:val="18"/>
                <w:color w:val="auto"/>
                <w:w w:val="94"/>
              </w:rPr>
              <w:t>(1.3)%</w:t>
            </w:r>
          </w:p>
        </w:tc>
      </w:tr>
    </w:tbl>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Average Revenue per Paying Subscription</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define ARPPS as total subscription revenue recognized, excluding certain revenue adjustments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spacing w:after="0" w:line="17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ARPPS for the three months ended September 30, 2023 and 2022 was $101.33 and $78.03, respectively, representing an increase of 30% year over year. ARPPS for the nine months ended September 30, 2023 and 2022, was $98.31 and $76.23, respectively, representing an increase of 29% year over year.</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ARPPS has increased year over year as a result of the growth in subscriptions and subscription price increases implemented by the Company during the fourth quarter of the year ended December 31, 2022.</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comparison of ARPPS as of September 30, 2022 using the current and prior definitions.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tcPr>
          <w:p>
            <w:pPr>
              <w:jc w:val="right"/>
              <w:ind w:right="757"/>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September 30, 2022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ARPPS (current definition)</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78.03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ARPPS (prior definition)</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500" w:type="dxa"/>
            <w:vAlign w:val="bottom"/>
          </w:tcPr>
          <w:p>
            <w:pPr>
              <w:jc w:val="right"/>
              <w:ind w:right="137"/>
              <w:spacing w:after="0"/>
              <w:rPr>
                <w:sz w:val="20"/>
                <w:szCs w:val="20"/>
                <w:color w:val="auto"/>
              </w:rPr>
            </w:pPr>
            <w:r>
              <w:rPr>
                <w:rFonts w:ascii="Arial" w:cs="Arial" w:eastAsia="Arial" w:hAnsi="Arial"/>
                <w:sz w:val="18"/>
                <w:szCs w:val="18"/>
                <w:color w:val="auto"/>
              </w:rPr>
              <w:t>77.00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w:t>
            </w:r>
          </w:p>
        </w:tc>
        <w:tc>
          <w:tcPr>
            <w:tcW w:w="4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Hardware Units Shipped</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Net hardware units shipped represents the number of tracking devices sold during a period, net of returns by our retail partners and directly to consumers. Selling units contributes to hardware revenue and ultimately increases the number of users eligible for a Tile or Jiobit subscription. For the three months ended September 30, 2023, Life360 sold approximately 1.1 million units, up approximately 43% as compared to the 0.7 million units sold during the three months ended September 30, 2022, reflecting a decreased number of returns in the current period and the backdrop of weaker consumer electronics category demand in the prior period. For the nine months ended September 30, 2023, Life360 sold approximately 2.3 million units, up approximately 21% as compared to the 1.9 million units sold during the nine months ended September 30, 2022, also reflecting a decreased number of returns in the current period and the backdrop of weaker consumer electronics category demand in the prior period.</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Average Sales Price</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To determine the net ASP of a unit, we divide hardware revenue recognized, excluding certain revenue adjustments related to bundled Life360 subscription and hardware offerings, for the reported period by the number of net hardware units shipped (“ASP”) during the same period. ASP is largely driven by the price we charge customers, including the price we charge our retail partners, net of customer allowances, and directly to consumers. For the three months ended September 30, 2023, the net ASP of a unit was $13.24, a decrease of 15% compared to $15.63 during the three months ended September 30, 2022. For the nine months ended September 30, 2023, the net ASP of a unit was $14.96, a slight decrease of 0.3% compared to $14.92 during the nine months ended September 30, 2022. Both changes reflect a change in product mix.</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we had cash and cash equivalents of $61.8 million and restricted cash of $1.8 million. As of December 31, 2022, we had cash and cash equivalents of $75.4 million and restricted cash of $14.9 million.</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believe our existing cash and cash equivalents and cash provided by sales of our subscriptions and hardware devices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spacing w:after="0" w:line="18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March 10, 2023, we had a banking relationship with Silicon Valley Bank (“SVB”). As of the closure of SVB on March 10, 2023, we held $6.1 million in direct deposits with SVB, which represented approximately 6.4% of our total cash and cash equivalents as of that date. We also held $75.4 million in shares of money market mutual funds managed by other institutions for which SVB acted as custodian. SVB was closed on March 10, 2023 by the California Department of Financial Protection and Innovation, which appointed the FDIC as receiver. On March 12, 2023, the U.S. Treasury, Federal Reserve, and FDIC announced that SVB depositors would have access to all of their money starting March 13, 2023, and on March 13, 2023, we regained access to our funds held in SVB accounts. While we did not experience any losses in such accounts, the recent failure of SVB exposed us to credit risk prior to the completion by the FDIC of the resolution of SVB in a manner that fully protected all depositors. As of March 31, 2023, First Citizens BancShares’ had announced the acquisition of SVB’s assets and we have transferred a portion of our accounts to alternate depository institutions, the financial position of which management believes does not expose our Company to significant credit risk or jeopardize our liquidity. However, we may be impacted by adverse developments which affect financial institutions, transactional counterparties, other companies in the financial services industry, or the financial services industry generally, which have in the past and may in the future threaten our ability to access our existing cash and cash equivalents and could have a material adverse effect on our business and financial condition.</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58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Nine Months Ended September 30,</w:t>
            </w:r>
          </w:p>
        </w:tc>
        <w:tc>
          <w:tcPr>
            <w:tcW w:w="840" w:type="dxa"/>
            <w:vAlign w:val="bottom"/>
          </w:tcPr>
          <w:p>
            <w:pPr>
              <w:spacing w:after="0"/>
              <w:rPr>
                <w:sz w:val="16"/>
                <w:szCs w:val="16"/>
                <w:color w:val="auto"/>
              </w:rPr>
            </w:pPr>
          </w:p>
        </w:tc>
      </w:tr>
      <w:tr>
        <w:trPr>
          <w:trHeight w:val="25"/>
        </w:trPr>
        <w:tc>
          <w:tcPr>
            <w:tcW w:w="68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6"/>
                <w:szCs w:val="16"/>
                <w:color w:val="auto"/>
              </w:rPr>
            </w:pPr>
          </w:p>
        </w:tc>
      </w:tr>
      <w:tr>
        <w:trPr>
          <w:trHeight w:val="182"/>
        </w:trPr>
        <w:tc>
          <w:tcPr>
            <w:tcW w:w="6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0" w:type="dxa"/>
            <w:vAlign w:val="bottom"/>
            <w:gridSpan w:val="3"/>
          </w:tcPr>
          <w:p>
            <w:pPr>
              <w:jc w:val="right"/>
              <w:ind w:right="876"/>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5"/>
                <w:szCs w:val="15"/>
                <w:color w:val="auto"/>
              </w:rPr>
            </w:pPr>
          </w:p>
        </w:tc>
      </w:tr>
      <w:tr>
        <w:trPr>
          <w:trHeight w:val="20"/>
        </w:trPr>
        <w:tc>
          <w:tcPr>
            <w:tcW w:w="6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(54,897)</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(114,102)</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380" w:type="dxa"/>
            <w:vAlign w:val="bottom"/>
            <w:tcBorders>
              <w:bottom w:val="single" w:sz="8" w:color="auto"/>
            </w:tcBorders>
          </w:tcPr>
          <w:p>
            <w:pPr>
              <w:jc w:val="right"/>
              <w:ind w:right="117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(172,470)</w:t>
            </w:r>
          </w:p>
        </w:tc>
      </w:tr>
      <w:tr>
        <w:trPr>
          <w:trHeight w:val="21"/>
        </w:trPr>
        <w:tc>
          <w:tcPr>
            <w:tcW w:w="6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largest sources of operating cash are cash collections from our paying users for subscriptions to our platform and hardware device sales. Our primary uses of cash for operating activities are for employee-related expenditures, costs to acquire inventory, costs to acquire customers, including user acquisition costs and commissions paid to channel partners, infrastructure-related costs, and other marketing expenses.</w:t>
      </w:r>
    </w:p>
    <w:p>
      <w:pPr>
        <w:spacing w:after="0" w:line="16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 number of our users pay in advance for annual subscriptions, while a majority pay in advance for monthly subscriptions. Deferred revenue consists of the unearned portion of customer billings, which is recognized as revenue in accordance with our revenue recognition policy. As of September 30, 2023 and December 31, 2022, we had deferred revenue of $35.0 million and $32.8 million, respectively, of which $33.7 million and $30.1 million is expected to be recorded as revenue in the next 12 months, provided all other revenue recognition criteria have been met.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For the nine months ended September 30, 2023, net cash used in operating activities was $1.4 million. The primary factors affecting our operating cash flows during this period were our net loss of $25.0 million, impacted by $35.6 million of non-cash adjustments, and $12.0 million of cash used by changes in our operating assets and liabilities. The non-cash adjustments primarily consisted of stock-based compensation, depreciation and amortization, and an adjustment to our battery reserve related to a change in membership benefit offerings. The cash used by changes in our operating assets and liabilities was primarily due to increases in accounts receivable, net, prepaid expenses and other assets, costs capitalized to obtain contracts, net, inventory, and accrued expenses and other liabilities offset by increases in deferred revenue and other liabilities, noncurrent.</w:t>
      </w:r>
    </w:p>
    <w:p>
      <w:pPr>
        <w:spacing w:after="0" w:line="16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For the nine months ended September 30, 2022, net cash used in operating activities was $54.9 million. The primary factors affecting our operating cash flows during this period were our net loss of $79.3 million, impacted by $24.6 million of non-cash adjustments and $0.2 million of cash provided by changes in our operating assets and liabilities. The non-cash adjustments primarily consisted of stock-based compensation, depreciation and amortization, and a gain on revaluation of contingent consideration. The cash used by changes in our operating assets and liabilities was primarily due to decreases in accounts receivable and prepaid expenses and other assets offset by a decreases in accounts payable and accrued expenses and other liabilities.</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the nine months ended September 30, 2023, net cash used in investing activities was $1.3 million, which primarily relates to the capitalization of internal use software costs in accordance with ASC 350-40, Intangibles - Goodwill and Other, Internal-Use Software.</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the nine months ended September 30, 2022, net cash used in investing activities was $114.1 million, which primarily related to cash paid for the Tile Acquisition, net of cash acquired.</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nine months ended September 30, 2023, net cash used by financing activities was $24.0 million, which primarily relates to the release of funds placed in an indemnity escrow fund for general representations and warranties related to the Tile Acquisition, taxes paid for the net settlement of equity awards, and repayment of convertible notes offset by proceeds from the exercise of options and repayment of notes due from affiliates.</w:t>
      </w:r>
    </w:p>
    <w:p>
      <w:pPr>
        <w:spacing w:after="0" w:line="1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nine months ended September 30, 2022, net cash used in financing activities was $3.5 million, which primarily related taxes paid for the net settlement of equity awards and repayment of convertible notes offset by proceeds from the exercise of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Other Commitments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principal commitments consist of obligations under our convertible notes, operating leases for office space, and other purchase commitments. Our obligations under our convertible notes are described in Note 6, "Fair Value Measurements," and Note 9, "Convertible Notes" to our condensed consolidated financial statements. Information regarding our non-cancellable lease and other purchase commitments as of September 30, 2023, can be found in Note 8, "Balance Sheet Components," and Note 11, "Commitments and Contingencies," to our condensed consolidated financial statements. As of September 30,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experiences and on various other assumptions we believe to be reasonable under the circumstances. Actual results could differ materially from the estimates made by our management. Our significant accounting policies are discussed in Note 2, "Summary of Significant Accounting Policies" in our Annual Report on Form 10-K. There were no significant changes to these policies during the nine months ended September 30,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and December 31, 2022, we had $61.8 million and $75.4 million, respectively, of cash equivalents invested in cash and cash equivalents and money market funds. Our cash and cash equivalents are held for working capital purposes.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2023 and December 31, 2022, a hypothetical 10% relative change in interest rates would not have a material impact on our consolidated financial statements.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Inflation Risk</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 Risk</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As of September 30, 2023 and December 31, 2022, we had $3.8 million and $7.0 million of liabilities that are measured at fair value, respectively. Fair value measurements include significant assumptions that are driven by market conditions and macroeconomic factors at measurement dates. Our consolidated results of operations are therefore subject to market fluctuations and may be affected in the future as a result of these fair value changes.</w:t>
      </w:r>
    </w:p>
    <w:p>
      <w:pPr>
        <w:spacing w:after="0" w:line="14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September 2021, the Company, in connection with the acquisition of Jiobit, issued convertible notes with a fair value of $11.6 million. The Company will repay one third of the unconverted principal balance plus accrued interest to the holders of such notes, and they may be converted to common stock at any time at a fixed conversion price of $22.50 per share. Interest is accrued at the U.S. Prime rate plus 0.25%. The Company has elected the fair value option and remeasures the September 2021 Convertible Notes at their fair value at each reporting date and reflects the changes in fair value in earnings. Refer to Note 9, "Convertible Notes" to our condensed consolidated financial statements for more information.</w:t>
      </w:r>
    </w:p>
    <w:p>
      <w:pPr>
        <w:spacing w:after="0" w:line="1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Generally, the fair market value of the September 2021 Convertible Notes will increase as interest rates rise and decrease as interest rates fall. In addition, the fair value of the September 2021 Convertible Notes fluctuates when the market price of our common stock fluctuates. The estimated fair value of the September 2021 Convertible Notes is determined using a combination of the present value of the cash flows and the Black-Scholes option pricing model. Changes in the interest rate environment could have an effect on our future cash flows and earnings, depending on whether the debt is held to maturity or converted to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17" w:lineRule="exact"/>
        <w:rPr>
          <w:sz w:val="20"/>
          <w:szCs w:val="20"/>
          <w:color w:val="auto"/>
        </w:rPr>
      </w:pPr>
    </w:p>
    <w:p>
      <w:pPr>
        <w:jc w:val="both"/>
        <w:ind w:firstLine="405"/>
        <w:spacing w:after="0" w:line="218" w:lineRule="exact"/>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2023 pursuant to Rule 13a</w:t>
      </w:r>
      <w:r>
        <w:rPr>
          <w:rFonts w:ascii="MS PGothic" w:cs="MS PGothic" w:eastAsia="MS PGothic" w:hAnsi="MS PGothic"/>
          <w:sz w:val="18"/>
          <w:szCs w:val="18"/>
          <w:color w:val="auto"/>
        </w:rPr>
        <w:t>‑</w:t>
      </w:r>
      <w:r>
        <w:rPr>
          <w:rFonts w:ascii="Arial" w:cs="Arial" w:eastAsia="Arial" w:hAnsi="Arial"/>
          <w:sz w:val="18"/>
          <w:szCs w:val="18"/>
          <w:color w:val="auto"/>
        </w:rPr>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Based on the evaluation of our disclosure controls and procedures as of September 30, 2023, our Chief Executive Officer and Chief Financial Officer concluded that, as a result of material weaknesses in our internal control over financial reporting identified in connection with the preparation and audit of our consolidated financial statements for the year ended December 31, 2022 as discussed below, our disclosure controls and procedures were not effective as of September 30, 2023.</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Notwithstanding the material weaknesses, management has concluded the condensed consolidated financial statements included in this Quarterly Report on Form 10-Q present fairly, in all material respects, the Company’s financial position, results of operations and cash flows of the Company for the periods presented in conformity with U.S.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and Remediation Plan</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4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connection with the audit of our Consolidated Financial Statements as of and for the year ended December 31, 2022, our management identified a material weakness related to management’s risk assessment process over information technology general controls, including certain controls over logical access, segregation of duties and change management, and certain process level controls including information used in the execution of those controls that impacted our financial reporting processes. The material weakness did not result in any identified misstatements in the financial statements, and there were no changes to previously issued financial results. However, the material weakness creates a reasonable possibility that a material misstatement to our consolidated financial statements would not be prevented or detected on a timely basis.</w:t>
      </w:r>
    </w:p>
    <w:p>
      <w:pPr>
        <w:spacing w:after="0" w:line="17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Management has been implementing and continues to implement measures designed to ensure that control deficiencies contributing to the material weakness are remediated. The remediation actions include:</w:t>
      </w:r>
    </w:p>
    <w:p>
      <w:pPr>
        <w:spacing w:after="0" w:line="62" w:lineRule="exact"/>
        <w:rPr>
          <w:sz w:val="20"/>
          <w:szCs w:val="20"/>
          <w:color w:val="auto"/>
        </w:rPr>
      </w:pPr>
    </w:p>
    <w:p>
      <w:pPr>
        <w:ind w:left="740" w:hanging="327"/>
        <w:spacing w:after="0" w:line="277"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broadening the scope and improving the effectiveness of existing information technology general controls for access management, segregation of duties, change management and computer operations.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enhancing documentation of our IT controls for systems key to our financial reporting process.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training relating to the importance and execution of IT general controls for key systems that support financial reporting.</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developing enhanced risk assessment procedures and controls to address IT risks related to key systems that support financial reporting.</w:t>
      </w:r>
    </w:p>
    <w:p>
      <w:pPr>
        <w:spacing w:after="0" w:line="74" w:lineRule="exact"/>
        <w:rPr>
          <w:rFonts w:ascii="Arial" w:cs="Arial" w:eastAsia="Arial" w:hAnsi="Arial"/>
          <w:sz w:val="17"/>
          <w:szCs w:val="17"/>
          <w:color w:val="auto"/>
        </w:rPr>
      </w:pPr>
    </w:p>
    <w:p>
      <w:pPr>
        <w:ind w:left="740" w:right="20" w:hanging="327"/>
        <w:spacing w:after="0" w:line="277"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performing an in-depth analysis of the roles and accesses within key financial reporting systems and redesigning roles and accesses to support a stronger control environment.</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engaging internal and external resources to assist us with remediation and monitoring remediation progress.</w:t>
      </w:r>
    </w:p>
    <w:p>
      <w:pPr>
        <w:spacing w:after="0" w:line="225" w:lineRule="exact"/>
        <w:rPr>
          <w:sz w:val="20"/>
          <w:szCs w:val="20"/>
          <w:color w:val="auto"/>
        </w:rPr>
      </w:pPr>
    </w:p>
    <w:p>
      <w:pPr>
        <w:ind w:left="80" w:firstLine="324"/>
        <w:spacing w:after="0" w:line="342" w:lineRule="auto"/>
        <w:rPr>
          <w:sz w:val="20"/>
          <w:szCs w:val="20"/>
          <w:color w:val="auto"/>
        </w:rPr>
      </w:pPr>
      <w:r>
        <w:rPr>
          <w:rFonts w:ascii="Arial" w:cs="Arial" w:eastAsia="Arial" w:hAnsi="Arial"/>
          <w:sz w:val="16"/>
          <w:szCs w:val="16"/>
          <w:color w:val="auto"/>
        </w:rPr>
        <w:t>While we believe these efforts will remediate the material weakness, the material weakness cannot be considered fully remediated until the applicable remedial controls operate for a sufficient period of time and management has concluded, through testing, that these controls are operating effectively.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Except for the changes intended to remediate the material weaknesses described above, there were no changes in our internal control over financial reporting identified in connection with the evaluation required by Rule 13a-15(d) and 15d-15(d) of the Exchange Act that occurred during the three or nine months ended September 30, 2023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8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information set forth under Note 11, "Commitments and Contingencies," in the notes to the consolidated financial statements under the caption “Litigation”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business is subject to numerous risks and uncertainties. These risks and uncertainties may cause our operations to vary materially from those contemplated by our forward-looking statements. Readers should carefully consider the information in this Form 10-Q in connection with the risk factors disclosed within Item 1A “Risk Factors” in the 2022 Annual Report on Form 10-K, as supplemented by the risk factor previously disclosed in our Quarterly Report on Form 10-Q for the period ended March 31, 2023. There have been no material changes to our risk factors from those described in the Quarterly Report on Form 10-Q for the period ended March 31, 2023, except as set forth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Privacy and Cybersecurity</w:t>
      </w:r>
    </w:p>
    <w:p>
      <w:pPr>
        <w:spacing w:after="0" w:line="121"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2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the ordinary course of business, we collect, receive, store, process, generate, use, transfer, disclose, make accessible, protect, secure, dispose of, transmit, and share (collectively, “process” and its conjugates) personal data and other sensitive information, including proprietary and confidential business data, trade secrets, intellectual property, sensitive third-party data, business plans, transactions, and financial information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California Consumer Privacy Act (CCPA) applies to personal information of consumers, business representatives, and employees who are California residents, and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seek to recover potentially significant statutory damages. Other states, such as Virginia and Colorado, have also enacted comprehensive consumer privacy laws, and similar laws are being considered in several other states, as well as at the federal and local levels. These state laws (including the CCPA) may provide individuals with rights to their personal data, such as the right to access, correct, or delete certain personal data, and opt-out of certain data processing activities, such as targeted advertising, profiling, and automated decision-making. If individuals were to exercise these rights at a significant volume or pace, such actions may impact our business priorities. These developments may further complicate compliance efforts and may increase legal risk and compliance costs for us and the third parties upon whom we rely.</w:t>
      </w:r>
    </w:p>
    <w:p>
      <w:pPr>
        <w:spacing w:after="0" w:line="17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Federal, state and local privacy and consumer protection laws also govern specific technologies that we employ or how we market to, and otherwise communicate with, our members. For example, the Controlling the Assault of Non-Solicited Pornography and Marketing Act (CAN-SPAM) and the Telephone Consumer Protection Act (TCPA) impose specific requirements on communications with consumers. The TCPA, for instance,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(FTC) or fines of up to $1,500 per violation imposed through private litigation or by state authorities. We may also use parental consent and identity verification technologies (including those offered by or through service providers) that may capture biometric information or identifiers. Biometric information or identifiers is often governed by distinct laws such as the Illinois Biometric Information Privacy Act (BIPA) that regulates the collection, use, safeguarding, and storage of Illinois residents’ biometric information or identifiers. The TCPA and BIPA provide for substantial penalties and statutory damages and have generated significant class action activity. The costs of litigating and/or settling TCPA, BIPA or similar legal claim actual or alleged violations could be significant.</w:t>
      </w:r>
    </w:p>
    <w:p>
      <w:pPr>
        <w:spacing w:after="0" w:line="18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Additionally, regulators are increasingly scrutinizing companies that process children’s data. We are subject to the COPPA, which applies to operators of certain websites and online services directed to children under the age of 13 or with actual knowledge that they collect or maintain personal information from children under the age of 13. COPPA may be enforced by state Attorneys General or the FTC, which is empowered to impose civil penalties of up to $46,517 per violation as well as injunctive and equitable relief for violations. COPPA requirements may be modified, interpreted, or applied in new manners that we may be unable to anticipate or prepare for appropriately. Additional laws and regulations that apply to children’s data have been adopted or proposed in recent years, including the European Union’s General Data Protection Regulation (EU GDPR) and the United Kingdom’s GDPR (UK GDPR), the EU Digital Services Act, the UK Age-Appropriate Design Code, the CCPA and other comprehensive state privacy laws, and California’s Age-Appropriate Design Code Act. These laws generally impose various obligations on companies that process children’s data, such as requiring certain consents to process such data and extending certain rights to children and their parents with respect that data. Some of these obligations have wide ranging applications, including for services that do not intentionally target child users (defined in some circumstances a user under the age of 18 years old). These laws may be subject to legal challenges and changing interpretations, which may further complicate our efforts to comply with these laws.</w:t>
      </w:r>
    </w:p>
    <w:p>
      <w:pPr>
        <w:spacing w:after="0" w:line="17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the US, several states enacted laws regulating social media companies and platforms. These laws, such as the Utah Social Media Regulation Act and the Arkansas Social Media Safety Act, seek to limit social media companies from, among other things, displaying and targeting advertising to accounts held by minors (defined as those under 18) and provide certain rights to parents with respect to data of their children and access to social media platforms. These laws may be subject to legal challenges and the attendant heightened scrutiny associated with processing certain children’s data on social media platforms may lead to increased compliance costs and obligations on us, to the extent we could be considered subject to these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Outside the United States, an increasing number of laws, regulations, and industry standards may govern personal data privacy and security. Without limitation, the following personal data laws may apply to our operations such as EU GDPR, the UK GDPR, the Swiss Federal Act on Data Protection (or “FADP”), Brazil’s General Data Protection Law (Lei Geral de Proteção de Dados Pessoais, or “LGPD”) (Law No. 13,709/2018), Australia’s Privacy Act, Canada’s Personal Information Protection and Electronic Documents Act (“PIPEDA”) (and other Canadian provincial laws), India’s Information Technology Act and supplementary rules, and China’s Personal Information Protection Law (“PIPL”) all impose strict requirements for processing personal data. Under the EU GDPR, companies may face temporary or definitive bans on data processing and other corrective actions; fines of up to 20 million Euros or 4% of annual global revenue, whichever is greater; and private litigation related to processing of personal data brought by classes of data subjects or consumer protection organizations authorized at law to represent their interests.</w:t>
      </w:r>
    </w:p>
    <w:p>
      <w:pPr>
        <w:spacing w:after="0" w:line="17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EU-US Data Privacy Framework and the EEA and UK’s standard contractual clauses, these mechanisms are subject to legal challenges (which may result in their invalidation). There is no assurance that we can satisfy or rely on these measures to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EU GDPR’s cross-border data transfer limitations.</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personnel may currently or in the future use generative artificial intelligence (“AI”) technologies to perform their work. The disclosure and use of personal data in generative AI technologies may be subject to various privacy laws and other obligations. Governments have passed and are likely to pass additional laws regulating generative AI. Our use of this technology (if any) could result in additional compliance costs, regulatory investigations and actions, and consumer lawsuits. If we want to but are unable to use generative AI, it could make our business less efficient and result in competitive disadvantages.</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not representative of our practices, we may be subject to investigation, enforcement actions by regulators, or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in 2021 one of our Channel Partners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Other technology platforms are considering similar restrictions. Such restrictions could limit the efficacy or our marketing activities. In addition, consumer resistance to the collection and sharing of the data used to deliver targeted advertising, increased visibility of consent or “do not track” mechanisms (such as browser signals from the Global Privacy Control)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or market our products and reach new users, which could materially impair the results of our operations.</w:t>
      </w:r>
    </w:p>
    <w:p>
      <w:pPr>
        <w:spacing w:after="0" w:line="18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addition, European legislative proposals and present laws and regulations may apply to our use of cookies and similar tracking technologies, electronic communications, and marketing. In the EU and the UK, regulators are increasingly focusing on compliance with requirements related to the behavioral, interest-based, or tailored advertising ecosystem. The ePrivacy Directive, the primary EU legislation on cookies, tracking technologies, electronic communications, and marketing, may be replaced by the e-Privacy Regulation and national implementing laws. Compliance with these laws may require us to make significant operational changes, limit the effectiveness of our marketing activities, divert the attention of our technology personnel, adversely affect our margins, and subject us to liabilities.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w:t>
      </w:r>
    </w:p>
    <w:p>
      <w:pPr>
        <w:spacing w:after="0" w:line="16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Further, we may accept credit or debit card payments for certain products and services. The PCI DSS, to the extent we are subject to it, may require us to adopt certain measures designed to protect the security of cardholder information, such as using and maintaining firewalls, adopting proper password protections for certain devices and software, and restricting data access. Noncompliance with PCI DSS, to the extent applicable to us, can result in penalties ranging from $5,000 to $100,000 per month by credit card companies, litigation, damage to our reputation, and revenue losses. Generally, we may primarily rely on vendors to process payment card data on our behalf, and those vendors may be subject to PCI DSS. Our business may be negatively affected if our vendors are fined or suffer other consequences as a result of PCI DSS noncompliance.</w:t>
      </w:r>
    </w:p>
    <w:p>
      <w:pPr>
        <w:spacing w:after="0" w:line="17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Our business model materially depends on our ability to process personal data, so we are particularly exposed to the risks associated with the rapidly changing legal landscape. For example, we may be at heightened risk of regulatory scrutiny, and changes in regulatory frameworks could require us to fundamentally change our business model. Preparing for and complying with these obligations requires us to devote significant resources and may necessitate changes to our services, information technologies, systems, and practices and to those of any third parties that process personal data on our behalf.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or services; expenditure of time and resources to defend any claim or inquiry; adverse publicity; or substantial changes to our business model or operations.</w:t>
      </w:r>
    </w:p>
    <w:p>
      <w:pPr>
        <w:spacing w:after="0" w:line="17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in the past received inquiries and been subject to investigations, proceedings, orders, and other various inquiries brought by regulators and private claimants regarding our data privacy and security practices and processing of personal data.</w:t>
      </w:r>
    </w:p>
    <w:p>
      <w:pPr>
        <w:spacing w:after="0" w:line="2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4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the ordinary course of our business, we and the third parties upon which we rely may process proprietary, confidential, and sensitive data (such as precise geolocation data and information relating to children),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7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and the third parties upon which we rely may be subject to and have previously responded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may continue to develop and use more sophisticated tools and techniques (including AI) that are specifically designed to circumvent security controls, evade detection, and obfuscate forensic evidence, which may make it more difficult for us to identify, investigate, respond to and recover from incidents.</w:t>
      </w:r>
    </w:p>
    <w:p>
      <w:pPr>
        <w:spacing w:after="0" w:line="19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r>
        <w:rPr>
          <w:rFonts w:ascii="Arial" w:cs="Arial" w:eastAsia="Arial" w:hAnsi="Arial"/>
          <w:sz w:val="18"/>
          <w:szCs w:val="18"/>
          <w:color w:val="231F20"/>
        </w:rPr>
        <w:t>Additionally, to offer</w:t>
      </w:r>
      <w:r>
        <w:rPr>
          <w:rFonts w:ascii="Arial" w:cs="Arial" w:eastAsia="Arial" w:hAnsi="Arial"/>
          <w:sz w:val="18"/>
          <w:szCs w:val="18"/>
          <w:color w:val="auto"/>
        </w:rPr>
        <w:t xml:space="preserve"> </w:t>
      </w:r>
      <w:r>
        <w:rPr>
          <w:rFonts w:ascii="Arial" w:cs="Arial" w:eastAsia="Arial" w:hAnsi="Arial"/>
          <w:sz w:val="18"/>
          <w:szCs w:val="18"/>
          <w:color w:val="231F20"/>
        </w:rPr>
        <w:t>services to our customers and operate our business, we use a number of products and services, such as IT networks and systems, including those we own and operate as well as others provided by third-party providers. Our ability to provide our platform and services could be interrupted if these systems were impacted by a ransomware or other cyber-attack.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8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For example, we and our third-party providers have been and may in the future be compromised by the aforementioned or similar threats, and result in unauthorized, unlawful, or accidental processing of our information, or vulnerabilities in the products or systems upon which we rely. For example, in 2023, we experienced a credential stuffing attack. In response to the attack, we launched an investigation to determine what occurred, what information was potentially affected and how we could implement further actions designed to prevent similar incidents in the future. Our investigation revealed that the credential stuffing attack likely leveraged user credentials from other data breaches (not associated with us) to impact potentially a limited number of users’ accounts. We may be unable in the future to detect vulnerabilities or other compromises in our information technology systems or data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w:t>
      </w:r>
    </w:p>
    <w:p>
      <w:pPr>
        <w:spacing w:after="0" w:line="16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and mass arbitration demands);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disrupt our ability to provide our products and services, and negatively impact our ability to grow and operate our business.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0"/>
        </w:trPr>
        <w:tc>
          <w:tcPr>
            <w:tcW w:w="940" w:type="dxa"/>
            <w:vAlign w:val="bottom"/>
            <w:gridSpan w:val="2"/>
          </w:tcPr>
          <w:p>
            <w:pPr>
              <w:ind w:left="3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00" w:type="dxa"/>
            <w:vAlign w:val="bottom"/>
            <w:gridSpan w:val="8"/>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86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11"/>
          </w:tcPr>
          <w:p>
            <w:pPr>
              <w:spacing w:after="0"/>
              <w:rPr>
                <w:rFonts w:ascii="Arial" w:cs="Arial" w:eastAsia="Arial" w:hAnsi="Arial"/>
                <w:sz w:val="18"/>
                <w:szCs w:val="18"/>
                <w:color w:val="0000FF"/>
              </w:rPr>
            </w:pPr>
            <w:hyperlink r:id="rId149">
              <w:r>
                <w:rPr>
                  <w:rFonts w:ascii="Arial" w:cs="Arial" w:eastAsia="Arial" w:hAnsi="Arial"/>
                  <w:sz w:val="18"/>
                  <w:szCs w:val="18"/>
                  <w:color w:val="0000FF"/>
                </w:rPr>
                <w:t>Amended and Restated Certificate of Incorporation of the</w:t>
              </w:r>
            </w:hyperlink>
          </w:p>
        </w:tc>
      </w:tr>
      <w:tr>
        <w:trPr>
          <w:trHeight w:val="156"/>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49">
              <w:r>
                <w:rPr>
                  <w:rFonts w:ascii="Arial" w:cs="Arial" w:eastAsia="Arial" w:hAnsi="Arial"/>
                  <w:sz w:val="18"/>
                  <w:szCs w:val="18"/>
                  <w:color w:val="0000FF"/>
                  <w:w w:val="88"/>
                </w:rPr>
                <w:t>Company</w:t>
              </w:r>
            </w:hyperlink>
          </w:p>
        </w:tc>
        <w:tc>
          <w:tcPr>
            <w:tcW w:w="344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6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bottom w:val="single" w:sz="8" w:color="0000FF"/>
            </w:tcBorders>
            <w:gridSpan w:val="4"/>
          </w:tcPr>
          <w:p>
            <w:pPr>
              <w:spacing w:after="0"/>
              <w:rPr>
                <w:rFonts w:ascii="Arial" w:cs="Arial" w:eastAsia="Arial" w:hAnsi="Arial"/>
                <w:sz w:val="18"/>
                <w:szCs w:val="18"/>
                <w:color w:val="0000FF"/>
                <w:w w:val="89"/>
              </w:rPr>
            </w:pPr>
            <w:hyperlink r:id="rId150">
              <w:r>
                <w:rPr>
                  <w:rFonts w:ascii="Arial" w:cs="Arial" w:eastAsia="Arial" w:hAnsi="Arial"/>
                  <w:sz w:val="18"/>
                  <w:szCs w:val="18"/>
                  <w:color w:val="0000FF"/>
                  <w:w w:val="89"/>
                </w:rPr>
                <w:t>Amended and Restated Bylaws of the Company</w:t>
              </w:r>
            </w:hyperlink>
          </w:p>
        </w:tc>
        <w:tc>
          <w:tcPr>
            <w:tcW w:w="1180" w:type="dxa"/>
            <w:vAlign w:val="bottom"/>
            <w:gridSpan w:val="7"/>
          </w:tcPr>
          <w:p>
            <w:pPr>
              <w:spacing w:after="0"/>
              <w:rPr>
                <w:sz w:val="24"/>
                <w:szCs w:val="24"/>
                <w:color w:val="auto"/>
              </w:rPr>
            </w:pPr>
          </w:p>
        </w:tc>
      </w:tr>
      <w:tr>
        <w:trPr>
          <w:trHeight w:val="453"/>
        </w:trPr>
        <w:tc>
          <w:tcPr>
            <w:tcW w:w="86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0000FF"/>
                <w:w w:val="99"/>
              </w:rPr>
              <w:t>Chief Executive Officer Certification Pursuant to Rule 13a-</w:t>
            </w:r>
          </w:p>
        </w:tc>
      </w:tr>
      <w:tr>
        <w:trPr>
          <w:trHeight w:val="156"/>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14(a) of the Exchange Act.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6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0000FF"/>
                <w:w w:val="92"/>
              </w:rPr>
              <w:t>Chief Financial Officer Certification Pursuant to Rule 13a-14(a)</w:t>
            </w:r>
          </w:p>
        </w:tc>
      </w:tr>
      <w:tr>
        <w:trPr>
          <w:trHeight w:val="156"/>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0"/>
              </w:rPr>
              <w:t>of the Exchange Act.</w:t>
            </w:r>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6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0000FF"/>
                <w:w w:val="96"/>
              </w:rPr>
              <w:t>Certification pursuant to 18 U.S.C. Section 1350 as adopted</w:t>
            </w:r>
          </w:p>
        </w:tc>
      </w:tr>
      <w:tr>
        <w:trPr>
          <w:trHeight w:val="183"/>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0"/>
              </w:rPr>
              <w:t>pursuant to Section 906 of the Sarbanes-Oxley Act of 2002.</w:t>
            </w:r>
          </w:p>
        </w:tc>
        <w:tc>
          <w:tcPr>
            <w:tcW w:w="20" w:type="dxa"/>
            <w:vAlign w:val="bottom"/>
            <w:tcBorders>
              <w:top w:val="single" w:sz="8" w:color="0000FF"/>
            </w:tcBorders>
          </w:tcPr>
          <w:p>
            <w:pPr>
              <w:spacing w:after="0"/>
              <w:rPr>
                <w:sz w:val="15"/>
                <w:szCs w:val="15"/>
                <w:color w:val="auto"/>
              </w:rPr>
            </w:pPr>
          </w:p>
        </w:tc>
        <w:tc>
          <w:tcPr>
            <w:tcW w:w="300" w:type="dxa"/>
            <w:vAlign w:val="bottom"/>
            <w:gridSpan w:val="2"/>
          </w:tcPr>
          <w:p>
            <w:pPr>
              <w:spacing w:after="0"/>
              <w:rPr>
                <w:sz w:val="15"/>
                <w:szCs w:val="15"/>
                <w:color w:val="auto"/>
              </w:rPr>
            </w:pPr>
          </w:p>
        </w:tc>
      </w:tr>
      <w:tr>
        <w:trPr>
          <w:trHeight w:val="291"/>
        </w:trPr>
        <w:tc>
          <w:tcPr>
            <w:tcW w:w="86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0000FF"/>
                <w:w w:val="96"/>
              </w:rPr>
              <w:t>Certification pursuant to 18 U.S.C. Section 1350 as adopted</w:t>
            </w:r>
          </w:p>
        </w:tc>
      </w:tr>
      <w:tr>
        <w:trPr>
          <w:trHeight w:val="183"/>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0"/>
              </w:rPr>
              <w:t>pursuant to Section 906 of the Sarbanes-Oxley Act of 2002.</w:t>
            </w:r>
          </w:p>
        </w:tc>
        <w:tc>
          <w:tcPr>
            <w:tcW w:w="300" w:type="dxa"/>
            <w:vAlign w:val="bottom"/>
            <w:gridSpan w:val="2"/>
          </w:tcPr>
          <w:p>
            <w:pPr>
              <w:spacing w:after="0"/>
              <w:rPr>
                <w:sz w:val="15"/>
                <w:szCs w:val="15"/>
                <w:color w:val="auto"/>
              </w:rPr>
            </w:pPr>
          </w:p>
        </w:tc>
      </w:tr>
      <w:tr>
        <w:trPr>
          <w:trHeight w:val="34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43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Inline XBRL Instance Document</w:t>
            </w:r>
          </w:p>
        </w:tc>
        <w:tc>
          <w:tcPr>
            <w:tcW w:w="340" w:type="dxa"/>
            <w:vAlign w:val="bottom"/>
            <w:gridSpan w:val="4"/>
          </w:tcPr>
          <w:p>
            <w:pPr>
              <w:spacing w:after="0"/>
              <w:rPr>
                <w:sz w:val="24"/>
                <w:szCs w:val="24"/>
                <w:color w:val="auto"/>
              </w:rPr>
            </w:pP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auto"/>
              </w:rPr>
              <w:t>Inline XBRL Schema Document</w:t>
            </w: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auto"/>
              </w:rPr>
              <w:t>Inline XBRL Definition Linkbase Document</w:t>
            </w: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auto"/>
              </w:rPr>
              <w:t>Inline XBRL Label Linkbase Document</w:t>
            </w:r>
          </w:p>
        </w:tc>
      </w:tr>
      <w:tr>
        <w:trPr>
          <w:trHeight w:val="32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auto"/>
              </w:rPr>
              <w:t>Inline XBRL Presentation Linkbase Document</w:t>
            </w:r>
          </w:p>
        </w:tc>
      </w:tr>
    </w:tbl>
    <w:p>
      <w:pPr>
        <w:spacing w:after="0" w:line="80" w:lineRule="exact"/>
        <w:rPr>
          <w:sz w:val="20"/>
          <w:szCs w:val="20"/>
          <w:color w:val="auto"/>
        </w:rPr>
      </w:pPr>
    </w:p>
    <w:p>
      <w:pPr>
        <w:ind w:left="960" w:right="320" w:hanging="934"/>
        <w:spacing w:after="0" w:line="23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20955</wp:posOffset>
            </wp:positionV>
            <wp:extent cx="4368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30346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File No.</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 No.</w:t>
            </w:r>
          </w:p>
        </w:tc>
      </w:tr>
      <w:tr>
        <w:trPr>
          <w:trHeight w:val="26"/>
        </w:trPr>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10-12G/A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000-56424</w:t>
            </w:r>
          </w:p>
        </w:tc>
        <w:tc>
          <w:tcPr>
            <w:tcW w:w="80" w:type="dxa"/>
            <w:vAlign w:val="bottom"/>
          </w:tcPr>
          <w:p>
            <w:pPr>
              <w:spacing w:after="0"/>
              <w:rPr>
                <w:sz w:val="22"/>
                <w:szCs w:val="22"/>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5, 2022</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r>
      <w:tr>
        <w:trPr>
          <w:trHeight w:val="418"/>
        </w:trPr>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000-56424</w:t>
            </w:r>
          </w:p>
        </w:tc>
        <w:tc>
          <w:tcPr>
            <w:tcW w:w="8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23,</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r>
      <w:tr>
        <w:trPr>
          <w:trHeight w:val="230"/>
        </w:trPr>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4586" w:lineRule="exact"/>
        <w:rPr>
          <w:sz w:val="20"/>
          <w:szCs w:val="20"/>
          <w:color w:val="auto"/>
        </w:rPr>
      </w:pPr>
    </w:p>
    <w:p>
      <w:pPr>
        <w:sectPr>
          <w:pgSz w:w="11900" w:h="16838" w:orient="portrait"/>
          <w:cols w:equalWidth="0" w:num="3">
            <w:col w:w="5600" w:space="140"/>
            <w:col w:w="560" w:space="140"/>
            <w:col w:w="4800"/>
          </w:cols>
          <w:pgMar w:left="320" w:top="229" w:right="3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106" w:lineRule="exact"/>
        <w:rPr>
          <w:sz w:val="20"/>
          <w:szCs w:val="20"/>
          <w:color w:val="auto"/>
        </w:rPr>
      </w:pPr>
    </w:p>
    <w:p>
      <w:pPr>
        <w:ind w:left="660" w:hanging="652"/>
        <w:spacing w:after="0" w:line="259" w:lineRule="auto"/>
        <w:tabs>
          <w:tab w:leader="none" w:pos="2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440" w:type="dxa"/>
            <w:vAlign w:val="bottom"/>
            <w:gridSpan w:val="2"/>
          </w:tcPr>
          <w:p>
            <w:pPr>
              <w:ind w:left="1420"/>
              <w:spacing w:after="0"/>
              <w:rPr>
                <w:sz w:val="20"/>
                <w:szCs w:val="20"/>
                <w:color w:val="auto"/>
              </w:rPr>
            </w:pPr>
            <w:r>
              <w:rPr>
                <w:rFonts w:ascii="Arial" w:cs="Arial" w:eastAsia="Arial" w:hAnsi="Arial"/>
                <w:sz w:val="18"/>
                <w:szCs w:val="18"/>
                <w:b w:val="1"/>
                <w:bCs w:val="1"/>
                <w:color w:val="auto"/>
              </w:rPr>
              <w:t>LIFE360, INC.</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Dated:</w:t>
            </w:r>
          </w:p>
        </w:tc>
        <w:tc>
          <w:tcPr>
            <w:tcW w:w="3060" w:type="dxa"/>
            <w:vAlign w:val="bottom"/>
          </w:tcPr>
          <w:p>
            <w:pPr>
              <w:ind w:left="240"/>
              <w:spacing w:after="0"/>
              <w:rPr>
                <w:sz w:val="20"/>
                <w:szCs w:val="20"/>
                <w:color w:val="auto"/>
              </w:rPr>
            </w:pPr>
            <w:r>
              <w:rPr>
                <w:rFonts w:ascii="Arial" w:cs="Arial" w:eastAsia="Arial" w:hAnsi="Arial"/>
                <w:sz w:val="18"/>
                <w:szCs w:val="18"/>
                <w:color w:val="auto"/>
              </w:rPr>
              <w:t>November 14, 2023</w:t>
            </w:r>
          </w:p>
        </w:tc>
        <w:tc>
          <w:tcPr>
            <w:tcW w:w="1960" w:type="dxa"/>
            <w:vAlign w:val="bottom"/>
          </w:tcPr>
          <w:p>
            <w:pPr>
              <w:ind w:left="142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Hulls</w:t>
            </w:r>
          </w:p>
        </w:tc>
      </w:tr>
      <w:tr>
        <w:trPr>
          <w:trHeight w:val="224"/>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Chris Hulls</w:t>
            </w:r>
          </w:p>
        </w:tc>
      </w:tr>
      <w:tr>
        <w:trPr>
          <w:trHeight w:val="322"/>
        </w:trPr>
        <w:tc>
          <w:tcPr>
            <w:tcW w:w="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43"/>
        </w:trPr>
        <w:tc>
          <w:tcPr>
            <w:tcW w:w="720" w:type="dxa"/>
            <w:vAlign w:val="bottom"/>
          </w:tcPr>
          <w:p>
            <w:pPr>
              <w:spacing w:after="0"/>
              <w:rPr>
                <w:sz w:val="20"/>
                <w:szCs w:val="20"/>
                <w:color w:val="auto"/>
              </w:rPr>
            </w:pPr>
            <w:r>
              <w:rPr>
                <w:rFonts w:ascii="Arial" w:cs="Arial" w:eastAsia="Arial" w:hAnsi="Arial"/>
                <w:sz w:val="18"/>
                <w:szCs w:val="18"/>
                <w:color w:val="auto"/>
              </w:rPr>
              <w:t>Dated:</w:t>
            </w:r>
          </w:p>
        </w:tc>
        <w:tc>
          <w:tcPr>
            <w:tcW w:w="3060" w:type="dxa"/>
            <w:vAlign w:val="bottom"/>
          </w:tcPr>
          <w:p>
            <w:pPr>
              <w:ind w:left="240"/>
              <w:spacing w:after="0"/>
              <w:rPr>
                <w:sz w:val="20"/>
                <w:szCs w:val="20"/>
                <w:color w:val="auto"/>
              </w:rPr>
            </w:pPr>
            <w:r>
              <w:rPr>
                <w:rFonts w:ascii="Arial" w:cs="Arial" w:eastAsia="Arial" w:hAnsi="Arial"/>
                <w:sz w:val="18"/>
                <w:szCs w:val="18"/>
                <w:color w:val="auto"/>
              </w:rPr>
              <w:t>November 14, 2023</w:t>
            </w:r>
          </w:p>
        </w:tc>
        <w:tc>
          <w:tcPr>
            <w:tcW w:w="1960" w:type="dxa"/>
            <w:vAlign w:val="bottom"/>
          </w:tcPr>
          <w:p>
            <w:pPr>
              <w:ind w:left="142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Russell Burke</w:t>
            </w:r>
          </w:p>
        </w:tc>
      </w:tr>
      <w:tr>
        <w:trPr>
          <w:trHeight w:val="224"/>
        </w:trPr>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Russell Burke</w:t>
            </w:r>
          </w:p>
        </w:tc>
      </w:tr>
    </w:tbl>
    <w:p>
      <w:pPr>
        <w:spacing w:after="0" w:line="9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22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jc w:val="center"/>
        <w:spacing w:after="0" w:line="203" w:lineRule="auto"/>
        <w:rPr>
          <w:sz w:val="20"/>
          <w:szCs w:val="20"/>
          <w:color w:val="auto"/>
        </w:rPr>
      </w:pPr>
      <w:r>
        <w:rPr>
          <w:rFonts w:ascii="Arial" w:cs="Arial" w:eastAsia="Arial" w:hAnsi="Arial"/>
          <w:sz w:val="18"/>
          <w:szCs w:val="18"/>
          <w:b w:val="1"/>
          <w:bCs w:val="1"/>
          <w:color w:val="auto"/>
        </w:rPr>
        <w:t>PURSUANT TO EXCHANGE ACT RULE 13a-14(a)/15d-14(a)</w:t>
      </w:r>
    </w:p>
    <w:p>
      <w:pPr>
        <w:jc w:val="center"/>
        <w:spacing w:after="0" w:line="219" w:lineRule="auto"/>
        <w:rPr>
          <w:sz w:val="20"/>
          <w:szCs w:val="20"/>
          <w:color w:val="auto"/>
        </w:rPr>
      </w:pPr>
      <w:r>
        <w:rPr>
          <w:rFonts w:ascii="Arial" w:cs="Arial" w:eastAsia="Arial" w:hAnsi="Arial"/>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Chris Hulls, certify that:</w:t>
      </w:r>
    </w:p>
    <w:p>
      <w:pPr>
        <w:spacing w:after="0" w:line="18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Life360, Inc. (the “registrant”);</w:t>
      </w:r>
    </w:p>
    <w:p>
      <w:pPr>
        <w:spacing w:after="0" w:line="198" w:lineRule="exact"/>
        <w:rPr>
          <w:rFonts w:ascii="Arial" w:cs="Arial" w:eastAsia="Arial" w:hAnsi="Arial"/>
          <w:sz w:val="18"/>
          <w:szCs w:val="18"/>
          <w:color w:val="auto"/>
        </w:rPr>
      </w:pPr>
    </w:p>
    <w:p>
      <w:pPr>
        <w:jc w:val="both"/>
        <w:ind w:left="280" w:hanging="272"/>
        <w:spacing w:after="0" w:line="224" w:lineRule="auto"/>
        <w:tabs>
          <w:tab w:leader="none" w:pos="3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280" w:hanging="272"/>
        <w:spacing w:after="0" w:line="235" w:lineRule="auto"/>
        <w:tabs>
          <w:tab w:leader="none" w:pos="3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8"/>
          <w:szCs w:val="18"/>
          <w:color w:val="auto"/>
        </w:rPr>
      </w:pPr>
    </w:p>
    <w:p>
      <w:pPr>
        <w:ind w:left="280" w:right="20" w:hanging="272"/>
        <w:spacing w:after="0" w:line="246" w:lineRule="auto"/>
        <w:tabs>
          <w:tab w:leader="none" w:pos="4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6" w:lineRule="exact"/>
        <w:rPr>
          <w:rFonts w:ascii="Arial" w:cs="Arial" w:eastAsia="Arial" w:hAnsi="Arial"/>
          <w:sz w:val="18"/>
          <w:szCs w:val="18"/>
          <w:color w:val="auto"/>
        </w:rPr>
      </w:pPr>
    </w:p>
    <w:p>
      <w:pPr>
        <w:jc w:val="both"/>
        <w:ind w:left="900" w:hanging="244"/>
        <w:spacing w:after="0" w:line="229" w:lineRule="auto"/>
        <w:tabs>
          <w:tab w:leader="none" w:pos="9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900" w:hanging="244"/>
        <w:spacing w:after="0" w:line="289" w:lineRule="auto"/>
        <w:tabs>
          <w:tab w:leader="none" w:pos="108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900" w:hanging="244"/>
        <w:spacing w:after="0" w:line="224" w:lineRule="auto"/>
        <w:tabs>
          <w:tab w:leader="none" w:pos="9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280" w:hanging="272"/>
        <w:spacing w:after="0" w:line="258" w:lineRule="auto"/>
        <w:tabs>
          <w:tab w:leader="none" w:pos="37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20" w:hanging="244"/>
        <w:spacing w:after="0" w:line="246" w:lineRule="auto"/>
        <w:tabs>
          <w:tab w:leader="none" w:pos="11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900" w:hanging="244"/>
        <w:spacing w:after="0" w:line="235" w:lineRule="auto"/>
        <w:tabs>
          <w:tab w:leader="none" w:pos="10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14,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23495</wp:posOffset>
            </wp:positionV>
            <wp:extent cx="24517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Chris Hulls</w:t>
      </w:r>
    </w:p>
    <w:p>
      <w:pPr>
        <w:spacing w:after="0" w:line="77"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1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jc w:val="center"/>
        <w:spacing w:after="0" w:line="219" w:lineRule="auto"/>
        <w:rPr>
          <w:sz w:val="20"/>
          <w:szCs w:val="20"/>
          <w:color w:val="auto"/>
        </w:rPr>
      </w:pPr>
      <w:r>
        <w:rPr>
          <w:rFonts w:ascii="Arial" w:cs="Arial" w:eastAsia="Arial" w:hAnsi="Arial"/>
          <w:sz w:val="18"/>
          <w:szCs w:val="18"/>
          <w:b w:val="1"/>
          <w:bCs w:val="1"/>
          <w:color w:val="auto"/>
        </w:rPr>
        <w:t>PURSUANT TO EXCHANGE ACT RULE 13a-14(a)/15d-14(a)</w:t>
      </w:r>
    </w:p>
    <w:p>
      <w:pPr>
        <w:jc w:val="center"/>
        <w:spacing w:after="0" w:line="203" w:lineRule="auto"/>
        <w:rPr>
          <w:sz w:val="20"/>
          <w:szCs w:val="20"/>
          <w:color w:val="auto"/>
        </w:rPr>
      </w:pPr>
      <w:r>
        <w:rPr>
          <w:rFonts w:ascii="Arial" w:cs="Arial" w:eastAsia="Arial" w:hAnsi="Arial"/>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Russell Burke , certify that:</w:t>
      </w:r>
    </w:p>
    <w:p>
      <w:pPr>
        <w:spacing w:after="0" w:line="198"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Life360, Inc. (the “registrant”);</w:t>
      </w:r>
    </w:p>
    <w:p>
      <w:pPr>
        <w:spacing w:after="0" w:line="184" w:lineRule="exact"/>
        <w:rPr>
          <w:rFonts w:ascii="Arial" w:cs="Arial" w:eastAsia="Arial" w:hAnsi="Arial"/>
          <w:sz w:val="18"/>
          <w:szCs w:val="18"/>
          <w:color w:val="auto"/>
        </w:rPr>
      </w:pPr>
    </w:p>
    <w:p>
      <w:pPr>
        <w:jc w:val="both"/>
        <w:ind w:left="280" w:hanging="272"/>
        <w:spacing w:after="0" w:line="229" w:lineRule="auto"/>
        <w:tabs>
          <w:tab w:leader="none" w:pos="3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280" w:hanging="272"/>
        <w:spacing w:after="0" w:line="235" w:lineRule="auto"/>
        <w:tabs>
          <w:tab w:leader="none" w:pos="3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280" w:right="20" w:hanging="272"/>
        <w:spacing w:after="0" w:line="235" w:lineRule="auto"/>
        <w:tabs>
          <w:tab w:leader="none" w:pos="4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Arial" w:cs="Arial" w:eastAsia="Arial" w:hAnsi="Arial"/>
          <w:sz w:val="18"/>
          <w:szCs w:val="18"/>
          <w:color w:val="auto"/>
        </w:rPr>
      </w:pPr>
    </w:p>
    <w:p>
      <w:pPr>
        <w:jc w:val="both"/>
        <w:ind w:left="900" w:hanging="244"/>
        <w:spacing w:after="0" w:line="229" w:lineRule="auto"/>
        <w:tabs>
          <w:tab w:leader="none" w:pos="9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900" w:hanging="244"/>
        <w:spacing w:after="0" w:line="307" w:lineRule="auto"/>
        <w:tabs>
          <w:tab w:leader="none" w:pos="108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6"/>
          <w:szCs w:val="16"/>
          <w:color w:val="auto"/>
        </w:rPr>
      </w:pPr>
    </w:p>
    <w:p>
      <w:pPr>
        <w:jc w:val="both"/>
        <w:ind w:left="900" w:hanging="244"/>
        <w:spacing w:after="0" w:line="224" w:lineRule="auto"/>
        <w:tabs>
          <w:tab w:leader="none" w:pos="9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280" w:hanging="272"/>
        <w:spacing w:after="0" w:line="258" w:lineRule="auto"/>
        <w:tabs>
          <w:tab w:leader="none" w:pos="37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20" w:hanging="244"/>
        <w:spacing w:after="0" w:line="246" w:lineRule="auto"/>
        <w:tabs>
          <w:tab w:leader="none" w:pos="11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900" w:hanging="244"/>
        <w:spacing w:after="0" w:line="235" w:lineRule="auto"/>
        <w:tabs>
          <w:tab w:leader="none" w:pos="10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14,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23495</wp:posOffset>
            </wp:positionV>
            <wp:extent cx="24517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Russell Burke</w:t>
      </w:r>
    </w:p>
    <w:p>
      <w:pPr>
        <w:spacing w:after="0" w:line="77"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13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19" w:lineRule="auto"/>
        <w:rPr>
          <w:sz w:val="20"/>
          <w:szCs w:val="20"/>
          <w:color w:val="auto"/>
        </w:rPr>
      </w:pPr>
      <w:r>
        <w:rPr>
          <w:rFonts w:ascii="Arial" w:cs="Arial" w:eastAsia="Arial" w:hAnsi="Arial"/>
          <w:sz w:val="18"/>
          <w:szCs w:val="18"/>
          <w:b w:val="1"/>
          <w:bCs w:val="1"/>
          <w:color w:val="auto"/>
        </w:rPr>
        <w:t>PURSUANT TO 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the accompanying Quarterly Report of Life360, Inc. (the “Company”), on Form 10-Q for the quarter ended September 30, 2023 (the “Report”), I, Chris Hulls, Chief Executive Officer of the Company, hereby certify pursuant to 18 U.S.C. § 1350, as adopted pursuant to § 906 of the Sarbanes-Oxley Act of 2002 that, to my knowledge:</w:t>
      </w:r>
    </w:p>
    <w:p>
      <w:pPr>
        <w:spacing w:after="0" w:line="18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14,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4517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Chris Hulls</w:t>
      </w:r>
    </w:p>
    <w:p>
      <w:pPr>
        <w:spacing w:after="0" w:line="77"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13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19" w:lineRule="auto"/>
        <w:rPr>
          <w:sz w:val="20"/>
          <w:szCs w:val="20"/>
          <w:color w:val="auto"/>
        </w:rPr>
      </w:pPr>
      <w:r>
        <w:rPr>
          <w:rFonts w:ascii="Arial" w:cs="Arial" w:eastAsia="Arial" w:hAnsi="Arial"/>
          <w:sz w:val="18"/>
          <w:szCs w:val="18"/>
          <w:b w:val="1"/>
          <w:bCs w:val="1"/>
          <w:color w:val="auto"/>
        </w:rPr>
        <w:t>PURSUANT TO 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the accompanying Quarterly Report of Life360, Inc. (the “Company”), on Form 10-Q for the quarter ended September 30, 2023 (the “Report”), I, Russell Burke, Chief Financial Officer of the Company, hereby certify pursuant to 18 U.S.C. § 1350, as adopted pursuant to § 906 of the Sarbanes-Oxley Act of 2002 that, to my knowledge:</w:t>
      </w:r>
    </w:p>
    <w:p>
      <w:pPr>
        <w:spacing w:after="0" w:line="18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tabs>
          <w:tab w:leader="none" w:pos="920" w:val="left"/>
          <w:tab w:leader="none" w:pos="5920" w:val="left"/>
          <w:tab w:leader="none" w:pos="6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14,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23495</wp:posOffset>
            </wp:positionV>
            <wp:extent cx="24517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Russell Burke</w:t>
      </w:r>
    </w:p>
    <w:p>
      <w:pPr>
        <w:spacing w:after="0" w:line="77"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49" Type="http://schemas.openxmlformats.org/officeDocument/2006/relationships/hyperlink" Target="https://www.sec.gov/Archives/edgar/data/1581760/000119312522120522/d328928dex31.htm" TargetMode="External"/><Relationship Id="rId150" Type="http://schemas.openxmlformats.org/officeDocument/2006/relationships/hyperlink" Target="https://www.sec.gov/Archives/edgar/data/1581760/000158176023000031/exhibit32-life360fy22x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2023-11-14T13:33:14Z</dcterms:created>
  <dcterms:modified xsi:type="dcterms:W3CDTF">2023-11-14T13:33:14Z</dcterms:modified>
</cp:coreProperties>
</file>