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40,885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140"/>
              <w:spacing w:after="0"/>
              <w:rPr>
                <w:sz w:val="20"/>
                <w:szCs w:val="20"/>
                <w:color w:val="auto"/>
              </w:rPr>
            </w:pPr>
            <w:r>
              <w:rPr>
                <w:rFonts w:ascii="Times New Roman" w:cs="Times New Roman" w:eastAsia="Times New Roman" w:hAnsi="Times New Roman"/>
                <w:sz w:val="17"/>
                <w:szCs w:val="17"/>
                <w:color w:val="0000FF"/>
              </w:rPr>
              <w:t>2,208,877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29,960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1/48th of the RSUs will vest on February 1, 2024 and each month thereafter, subject to the Reporting Person's continuous service through each such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86,554 RSUs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89,880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2024-05-31T13:05:36Z</dcterms:created>
  <dcterms:modified xsi:type="dcterms:W3CDTF">2024-05-31T13:05:36Z</dcterms:modified>
</cp:coreProperties>
</file>