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401955</wp:posOffset>
            </wp:positionH>
            <wp:positionV relativeFrom="page">
              <wp:posOffset>680085</wp:posOffset>
            </wp:positionV>
            <wp:extent cx="6750050" cy="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0050" cy="5080"/>
                    </a:xfrm>
                    <a:prstGeom prst="rect">
                      <a:avLst/>
                    </a:prstGeom>
                    <a:noFill/>
                  </pic:spPr>
                </pic:pic>
              </a:graphicData>
            </a:graphic>
          </wp:anchor>
        </w:drawing>
        <w:drawing>
          <wp:anchor simplePos="0" relativeHeight="251657728" behindDoc="1" locked="0" layoutInCell="0" allowOverlap="1">
            <wp:simplePos x="0" y="0"/>
            <wp:positionH relativeFrom="page">
              <wp:posOffset>401955</wp:posOffset>
            </wp:positionH>
            <wp:positionV relativeFrom="page">
              <wp:posOffset>695325</wp:posOffset>
            </wp:positionV>
            <wp:extent cx="6750050" cy="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0050" cy="5080"/>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ind w:left="4880"/>
        <w:spacing w:after="0"/>
        <w:rPr>
          <w:sz w:val="20"/>
          <w:szCs w:val="20"/>
          <w:color w:val="auto"/>
        </w:rPr>
      </w:pPr>
      <w:r>
        <w:rPr>
          <w:rFonts w:ascii="Arial" w:cs="Arial" w:eastAsia="Arial" w:hAnsi="Arial"/>
          <w:sz w:val="11"/>
          <w:szCs w:val="11"/>
          <w:color w:val="auto"/>
        </w:rPr>
        <w:t>______________</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8-K</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CURRENT REPORT</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Pursuant to Section 13 or 15(d) of the</w:t>
      </w:r>
    </w:p>
    <w:p>
      <w:pPr>
        <w:jc w:val="center"/>
        <w:ind w:right="20"/>
        <w:spacing w:after="0"/>
        <w:rPr>
          <w:sz w:val="20"/>
          <w:szCs w:val="20"/>
          <w:color w:val="auto"/>
        </w:rPr>
      </w:pPr>
      <w:r>
        <w:rPr>
          <w:rFonts w:ascii="Arial" w:cs="Arial" w:eastAsia="Arial" w:hAnsi="Arial"/>
          <w:sz w:val="10"/>
          <w:szCs w:val="10"/>
          <w:b w:val="1"/>
          <w:bCs w:val="1"/>
          <w:color w:val="auto"/>
        </w:rPr>
        <w:t>Securities Exchange Act of 1934</w:t>
      </w:r>
    </w:p>
    <w:p>
      <w:pPr>
        <w:spacing w:after="0" w:line="132" w:lineRule="exact"/>
        <w:rPr>
          <w:sz w:val="24"/>
          <w:szCs w:val="24"/>
          <w:color w:val="auto"/>
        </w:rPr>
      </w:pPr>
    </w:p>
    <w:p>
      <w:pPr>
        <w:jc w:val="center"/>
        <w:ind w:right="40"/>
        <w:spacing w:after="0"/>
        <w:rPr>
          <w:sz w:val="20"/>
          <w:szCs w:val="20"/>
          <w:color w:val="auto"/>
        </w:rPr>
      </w:pPr>
      <w:r>
        <w:rPr>
          <w:rFonts w:ascii="Arial" w:cs="Arial" w:eastAsia="Arial" w:hAnsi="Arial"/>
          <w:sz w:val="10"/>
          <w:szCs w:val="10"/>
          <w:b w:val="1"/>
          <w:bCs w:val="1"/>
          <w:color w:val="auto"/>
        </w:rPr>
        <w:t>Date of Report (Date of earliest event reported): May 30, 2023</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Life360, Inc.</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0"/>
          <w:szCs w:val="10"/>
          <w:b w:val="1"/>
          <w:bCs w:val="1"/>
          <w:color w:val="auto"/>
        </w:rPr>
        <w:t>(Exact name of registrant as specified in its charter)</w:t>
      </w:r>
    </w:p>
    <w:p>
      <w:pPr>
        <w:sectPr>
          <w:pgSz w:w="11900" w:h="16840" w:orient="portrait"/>
          <w:cols w:equalWidth="0" w:num="1">
            <w:col w:w="10640"/>
          </w:cols>
          <w:pgMar w:left="640" w:top="1190" w:right="620" w:bottom="198" w:gutter="0" w:footer="0" w:header="0"/>
        </w:sectPr>
      </w:pPr>
    </w:p>
    <w:p>
      <w:pPr>
        <w:spacing w:after="0" w:line="124" w:lineRule="exact"/>
        <w:rPr>
          <w:sz w:val="24"/>
          <w:szCs w:val="24"/>
          <w:color w:val="auto"/>
        </w:rPr>
      </w:pPr>
    </w:p>
    <w:p>
      <w:pPr>
        <w:ind w:left="1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300"/>
        <w:spacing w:after="0"/>
        <w:rPr>
          <w:sz w:val="20"/>
          <w:szCs w:val="20"/>
          <w:color w:val="auto"/>
        </w:rPr>
      </w:pPr>
      <w:r>
        <w:rPr>
          <w:rFonts w:ascii="Arial" w:cs="Arial" w:eastAsia="Arial" w:hAnsi="Arial"/>
          <w:sz w:val="10"/>
          <w:szCs w:val="10"/>
          <w:b w:val="1"/>
          <w:bCs w:val="1"/>
          <w:color w:val="auto"/>
        </w:rPr>
        <w:t>000-56424</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26-0197666</w:t>
      </w:r>
    </w:p>
    <w:p>
      <w:pPr>
        <w:spacing w:after="0" w:line="47" w:lineRule="exact"/>
        <w:rPr>
          <w:sz w:val="24"/>
          <w:szCs w:val="24"/>
          <w:color w:val="auto"/>
        </w:rPr>
      </w:pPr>
    </w:p>
    <w:p>
      <w:pPr>
        <w:sectPr>
          <w:pgSz w:w="11900" w:h="16840" w:orient="portrait"/>
          <w:cols w:equalWidth="0" w:num="3">
            <w:col w:w="4340" w:space="720"/>
            <w:col w:w="2800" w:space="720"/>
            <w:col w:w="2060"/>
          </w:cols>
          <w:pgMar w:left="640" w:top="1190" w:right="620" w:bottom="198" w:gutter="0" w:footer="0" w:header="0"/>
          <w:type w:val="continuous"/>
        </w:sectPr>
      </w:pPr>
    </w:p>
    <w:p>
      <w:pPr>
        <w:ind w:left="1120"/>
        <w:spacing w:after="0"/>
        <w:rPr>
          <w:sz w:val="20"/>
          <w:szCs w:val="20"/>
          <w:color w:val="auto"/>
        </w:rPr>
      </w:pPr>
      <w:r>
        <w:rPr>
          <w:rFonts w:ascii="Arial" w:cs="Arial" w:eastAsia="Arial" w:hAnsi="Arial"/>
          <w:sz w:val="10"/>
          <w:szCs w:val="10"/>
          <w:color w:val="auto"/>
        </w:rPr>
        <w:t>(State or other jurisdiction of</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0"/>
          <w:szCs w:val="10"/>
          <w:color w:val="auto"/>
        </w:rPr>
        <w:t>Identification No.)</w:t>
      </w:r>
    </w:p>
    <w:p>
      <w:pPr>
        <w:spacing w:after="0" w:line="85" w:lineRule="exact"/>
        <w:rPr>
          <w:sz w:val="24"/>
          <w:szCs w:val="24"/>
          <w:color w:val="auto"/>
        </w:rPr>
      </w:pPr>
    </w:p>
    <w:p>
      <w:pPr>
        <w:sectPr>
          <w:pgSz w:w="11900" w:h="16840" w:orient="portrait"/>
          <w:cols w:equalWidth="0" w:num="3">
            <w:col w:w="3980" w:space="720"/>
            <w:col w:w="3040" w:space="720"/>
            <w:col w:w="2180"/>
          </w:cols>
          <w:pgMar w:left="640" w:top="1190" w:right="620" w:bottom="198" w:gutter="0" w:footer="0" w:header="0"/>
          <w:type w:val="continuous"/>
        </w:sectPr>
      </w:pPr>
    </w:p>
    <w:p>
      <w:pPr>
        <w:jc w:val="center"/>
        <w:ind w:right="40"/>
        <w:spacing w:after="0"/>
        <w:rPr>
          <w:sz w:val="20"/>
          <w:szCs w:val="20"/>
          <w:color w:val="auto"/>
        </w:rPr>
      </w:pPr>
      <w:r>
        <w:rPr>
          <w:rFonts w:ascii="Arial" w:cs="Arial" w:eastAsia="Arial" w:hAnsi="Arial"/>
          <w:sz w:val="10"/>
          <w:szCs w:val="10"/>
          <w:b w:val="1"/>
          <w:bCs w:val="1"/>
          <w:color w:val="auto"/>
        </w:rPr>
        <w:t>1900 South Norfolk Street, Suite 310</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0"/>
          <w:szCs w:val="10"/>
          <w:b w:val="1"/>
          <w:bCs w:val="1"/>
          <w:color w:val="auto"/>
        </w:rPr>
        <w:t>San Mateo, CA 94403</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10"/>
          <w:szCs w:val="10"/>
          <w:color w:val="auto"/>
        </w:rPr>
        <w:t>(Address of principal executive offices, including zip code)</w:t>
      </w:r>
    </w:p>
    <w:p>
      <w:pPr>
        <w:spacing w:after="0" w:line="169" w:lineRule="exact"/>
        <w:rPr>
          <w:sz w:val="24"/>
          <w:szCs w:val="24"/>
          <w:color w:val="auto"/>
        </w:rPr>
      </w:pPr>
    </w:p>
    <w:p>
      <w:pPr>
        <w:jc w:val="center"/>
        <w:ind w:right="40"/>
        <w:spacing w:after="0"/>
        <w:rPr>
          <w:sz w:val="20"/>
          <w:szCs w:val="20"/>
          <w:color w:val="auto"/>
        </w:rPr>
      </w:pPr>
      <w:r>
        <w:rPr>
          <w:rFonts w:ascii="Arial" w:cs="Arial" w:eastAsia="Arial" w:hAnsi="Arial"/>
          <w:sz w:val="10"/>
          <w:szCs w:val="10"/>
          <w:b w:val="1"/>
          <w:bCs w:val="1"/>
          <w:color w:val="auto"/>
        </w:rPr>
        <w:t>(415) 484-5244</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0"/>
          <w:szCs w:val="10"/>
          <w:color w:val="auto"/>
        </w:rPr>
        <w:t>(Registrant’s telephone number, including area code)</w:t>
      </w:r>
    </w:p>
    <w:p>
      <w:pPr>
        <w:spacing w:after="0" w:line="169" w:lineRule="exact"/>
        <w:rPr>
          <w:sz w:val="24"/>
          <w:szCs w:val="24"/>
          <w:color w:val="auto"/>
        </w:rPr>
      </w:pPr>
    </w:p>
    <w:p>
      <w:pPr>
        <w:jc w:val="center"/>
        <w:ind w:right="40"/>
        <w:spacing w:after="0"/>
        <w:rPr>
          <w:sz w:val="20"/>
          <w:szCs w:val="20"/>
          <w:color w:val="auto"/>
        </w:rPr>
      </w:pPr>
      <w:r>
        <w:rPr>
          <w:rFonts w:ascii="Arial" w:cs="Arial" w:eastAsia="Arial" w:hAnsi="Arial"/>
          <w:sz w:val="10"/>
          <w:szCs w:val="10"/>
          <w:b w:val="1"/>
          <w:bCs w:val="1"/>
          <w:color w:val="auto"/>
        </w:rPr>
        <w:t>Not applicable.</w:t>
      </w:r>
    </w:p>
    <w:p>
      <w:pPr>
        <w:spacing w:after="0" w:line="40" w:lineRule="exact"/>
        <w:rPr>
          <w:sz w:val="24"/>
          <w:szCs w:val="24"/>
          <w:color w:val="auto"/>
        </w:rPr>
      </w:pPr>
    </w:p>
    <w:p>
      <w:pPr>
        <w:jc w:val="center"/>
        <w:ind w:right="60"/>
        <w:spacing w:after="0"/>
        <w:rPr>
          <w:sz w:val="20"/>
          <w:szCs w:val="20"/>
          <w:color w:val="auto"/>
        </w:rPr>
      </w:pPr>
      <w:r>
        <w:rPr>
          <w:rFonts w:ascii="Arial" w:cs="Arial" w:eastAsia="Arial" w:hAnsi="Arial"/>
          <w:sz w:val="10"/>
          <w:szCs w:val="10"/>
          <w:color w:val="auto"/>
        </w:rPr>
        <w:t>(Former name or former address, if changed since last report)</w:t>
      </w:r>
    </w:p>
    <w:p>
      <w:pPr>
        <w:spacing w:after="0" w:line="64" w:lineRule="exact"/>
        <w:rPr>
          <w:sz w:val="24"/>
          <w:szCs w:val="24"/>
          <w:color w:val="auto"/>
        </w:rPr>
      </w:pPr>
    </w:p>
    <w:p>
      <w:pPr>
        <w:ind w:left="4880"/>
        <w:spacing w:after="0"/>
        <w:rPr>
          <w:sz w:val="20"/>
          <w:szCs w:val="20"/>
          <w:color w:val="auto"/>
        </w:rPr>
      </w:pPr>
      <w:r>
        <w:rPr>
          <w:rFonts w:ascii="Arial" w:cs="Arial" w:eastAsia="Arial" w:hAnsi="Arial"/>
          <w:sz w:val="11"/>
          <w:szCs w:val="11"/>
          <w:color w:val="auto"/>
        </w:rPr>
        <w:t>______________</w:t>
      </w:r>
    </w:p>
    <w:p>
      <w:pPr>
        <w:sectPr>
          <w:pgSz w:w="11900" w:h="16840" w:orient="portrait"/>
          <w:cols w:equalWidth="0" w:num="1">
            <w:col w:w="10640"/>
          </w:cols>
          <w:pgMar w:left="640" w:top="1190" w:right="620" w:bottom="198" w:gutter="0" w:footer="0" w:header="0"/>
          <w:type w:val="continuous"/>
        </w:sectPr>
      </w:pPr>
    </w:p>
    <w:p>
      <w:pPr>
        <w:spacing w:after="0" w:line="204" w:lineRule="exact"/>
        <w:rPr>
          <w:sz w:val="24"/>
          <w:szCs w:val="24"/>
          <w:color w:val="auto"/>
        </w:rPr>
      </w:pPr>
    </w:p>
    <w:p>
      <w:pPr>
        <w:spacing w:after="0"/>
        <w:rPr>
          <w:sz w:val="20"/>
          <w:szCs w:val="20"/>
          <w:color w:val="auto"/>
        </w:rPr>
      </w:pPr>
      <w:r>
        <w:rPr>
          <w:rFonts w:ascii="Arial" w:cs="Arial" w:eastAsia="Arial" w:hAnsi="Arial"/>
          <w:sz w:val="10"/>
          <w:szCs w:val="10"/>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560" w:hanging="332"/>
        <w:spacing w:after="0"/>
        <w:tabs>
          <w:tab w:leader="none" w:pos="560"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Written communications pursuant to Rule 425 under the Securities Act (17 CFR 230.425)</w:t>
      </w:r>
    </w:p>
    <w:p>
      <w:pPr>
        <w:spacing w:after="0" w:line="80" w:lineRule="exact"/>
        <w:rPr>
          <w:rFonts w:ascii="MS PGothic" w:cs="MS PGothic" w:eastAsia="MS PGothic" w:hAnsi="MS PGothic"/>
          <w:sz w:val="10"/>
          <w:szCs w:val="10"/>
          <w:color w:val="auto"/>
        </w:rPr>
      </w:pPr>
    </w:p>
    <w:p>
      <w:pPr>
        <w:ind w:left="560" w:hanging="332"/>
        <w:spacing w:after="0"/>
        <w:tabs>
          <w:tab w:leader="none" w:pos="560"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Soliciting material pursuant to Rule 14a-12 under the Exchange Act (17 CFR 240.14a-12)</w:t>
      </w:r>
    </w:p>
    <w:p>
      <w:pPr>
        <w:spacing w:after="0" w:line="80" w:lineRule="exact"/>
        <w:rPr>
          <w:rFonts w:ascii="MS PGothic" w:cs="MS PGothic" w:eastAsia="MS PGothic" w:hAnsi="MS PGothic"/>
          <w:sz w:val="10"/>
          <w:szCs w:val="10"/>
          <w:color w:val="auto"/>
        </w:rPr>
      </w:pPr>
    </w:p>
    <w:p>
      <w:pPr>
        <w:ind w:left="560" w:hanging="332"/>
        <w:spacing w:after="0"/>
        <w:tabs>
          <w:tab w:leader="none" w:pos="560"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Pre-commencement communications pursuant to Rule 14d-2(b) under the Exchange Act (17 CFR 240.14d-2(b))</w:t>
      </w:r>
    </w:p>
    <w:p>
      <w:pPr>
        <w:spacing w:after="0" w:line="80" w:lineRule="exact"/>
        <w:rPr>
          <w:rFonts w:ascii="MS PGothic" w:cs="MS PGothic" w:eastAsia="MS PGothic" w:hAnsi="MS PGothic"/>
          <w:sz w:val="10"/>
          <w:szCs w:val="10"/>
          <w:color w:val="auto"/>
        </w:rPr>
      </w:pPr>
    </w:p>
    <w:p>
      <w:pPr>
        <w:ind w:left="560" w:hanging="332"/>
        <w:spacing w:after="0"/>
        <w:tabs>
          <w:tab w:leader="none" w:pos="560"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Pre-commencement communications pursuant to Rule 13e-4(c) under the Exchange Act (17 CFR 240.13e-4(c))</w:t>
      </w:r>
    </w:p>
    <w:p>
      <w:pPr>
        <w:spacing w:after="0" w:line="214"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Trading Symbol(s)</w:t>
            </w:r>
          </w:p>
        </w:tc>
        <w:tc>
          <w:tcPr>
            <w:tcW w:w="4380" w:type="dxa"/>
            <w:vAlign w:val="bottom"/>
            <w:tcBorders>
              <w:top w:val="single" w:sz="8" w:color="auto"/>
              <w:bottom w:val="single" w:sz="8" w:color="auto"/>
              <w:right w:val="single" w:sz="8" w:color="auto"/>
            </w:tcBorders>
          </w:tcPr>
          <w:p>
            <w:pPr>
              <w:jc w:val="center"/>
              <w:ind w:right="9"/>
              <w:spacing w:after="0"/>
              <w:rPr>
                <w:sz w:val="20"/>
                <w:szCs w:val="20"/>
                <w:color w:val="auto"/>
              </w:rPr>
            </w:pPr>
            <w:r>
              <w:rPr>
                <w:rFonts w:ascii="Arial" w:cs="Arial" w:eastAsia="Arial" w:hAnsi="Arial"/>
                <w:sz w:val="10"/>
                <w:szCs w:val="10"/>
                <w:b w:val="1"/>
                <w:bCs w:val="1"/>
                <w:color w:val="auto"/>
              </w:rPr>
              <w:t>Name of each exchange on which registered</w:t>
            </w:r>
          </w:p>
        </w:tc>
      </w:tr>
      <w:tr>
        <w:trPr>
          <w:trHeight w:val="12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None.</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None.</w:t>
            </w:r>
          </w:p>
        </w:tc>
      </w:tr>
    </w:tbl>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both"/>
        <w:ind w:right="40"/>
        <w:spacing w:after="0" w:line="256" w:lineRule="auto"/>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99" w:lineRule="exact"/>
        <w:rPr>
          <w:sz w:val="24"/>
          <w:szCs w:val="24"/>
          <w:color w:val="auto"/>
        </w:rPr>
      </w:pPr>
    </w:p>
    <w:p>
      <w:pPr>
        <w:jc w:val="both"/>
        <w:ind w:right="40"/>
        <w:spacing w:after="0" w:line="127"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6750050" cy="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0050" cy="50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6750050" cy="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0050" cy="5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tabs>
          <w:tab w:leader="none" w:pos="540" w:val="left"/>
        </w:tabs>
        <w:rPr>
          <w:sz w:val="20"/>
          <w:szCs w:val="20"/>
          <w:color w:val="auto"/>
        </w:rPr>
      </w:pPr>
      <w:r>
        <w:rPr>
          <w:rFonts w:ascii="Arial" w:cs="Arial" w:eastAsia="Arial" w:hAnsi="Arial"/>
          <w:sz w:val="10"/>
          <w:szCs w:val="10"/>
          <w:b w:val="1"/>
          <w:bCs w:val="1"/>
          <w:color w:val="auto"/>
        </w:rPr>
        <w:t>Item 5.07</w:t>
        <w:tab/>
        <w:t>Submission of Matters to a Vote of Security Holders</w:t>
      </w:r>
    </w:p>
    <w:p>
      <w:pPr>
        <w:spacing w:after="0" w:line="134" w:lineRule="exact"/>
        <w:rPr>
          <w:sz w:val="24"/>
          <w:szCs w:val="24"/>
          <w:color w:val="auto"/>
        </w:rPr>
      </w:pPr>
    </w:p>
    <w:p>
      <w:pPr>
        <w:jc w:val="both"/>
        <w:ind w:right="20" w:firstLine="376"/>
        <w:spacing w:after="0" w:line="258" w:lineRule="auto"/>
        <w:rPr>
          <w:sz w:val="20"/>
          <w:szCs w:val="20"/>
          <w:color w:val="auto"/>
        </w:rPr>
      </w:pPr>
      <w:r>
        <w:rPr>
          <w:rFonts w:ascii="Arial" w:cs="Arial" w:eastAsia="Arial" w:hAnsi="Arial"/>
          <w:sz w:val="10"/>
          <w:szCs w:val="10"/>
          <w:color w:val="auto"/>
        </w:rPr>
        <w:t>On May 30, 2023, Life360, Inc., (the “Company”) held its 2023 annual meeting of stockholders (the “Annual Meeting”) . Present at the Annual Meeting virtually or by proxy were the holders of 36,577,591 shares of common stock of the Company, representing approximately 55% of the 66,326,751 shares of common stock outstanding as of the close of business on April 11, 2023, the record date for the Annual Meeting, and constituting a quorum for the transaction of business.</w:t>
      </w:r>
    </w:p>
    <w:p>
      <w:pPr>
        <w:spacing w:after="0" w:line="107" w:lineRule="exact"/>
        <w:rPr>
          <w:sz w:val="24"/>
          <w:szCs w:val="24"/>
          <w:color w:val="auto"/>
        </w:rPr>
      </w:pPr>
    </w:p>
    <w:p>
      <w:pPr>
        <w:jc w:val="both"/>
        <w:ind w:right="20" w:firstLine="376"/>
        <w:spacing w:after="0" w:line="258" w:lineRule="auto"/>
        <w:rPr>
          <w:sz w:val="20"/>
          <w:szCs w:val="20"/>
          <w:color w:val="auto"/>
        </w:rPr>
      </w:pPr>
      <w:r>
        <w:rPr>
          <w:rFonts w:ascii="Arial" w:cs="Arial" w:eastAsia="Arial" w:hAnsi="Arial"/>
          <w:sz w:val="10"/>
          <w:szCs w:val="10"/>
          <w:color w:val="auto"/>
        </w:rPr>
        <w:t>At the Annual Meeting, the Company’s stockholders voted on twelve proposals, each of which is described in more detail in the Company’s definitive proxy statement on Schedule 14A filed with the U.S. Securities and Exchange Commission on April 17, 2023 (the “Proxy Statement”). The following is a brief description of each matter voted upon and the certified results, including the number of votes cast for or against each matter and, if applicable, the number of abstentions and broker non-votes with respect to each matter.</w:t>
      </w:r>
    </w:p>
    <w:p>
      <w:pPr>
        <w:spacing w:after="0" w:line="107" w:lineRule="exact"/>
        <w:rPr>
          <w:sz w:val="24"/>
          <w:szCs w:val="24"/>
          <w:color w:val="auto"/>
        </w:rPr>
      </w:pPr>
    </w:p>
    <w:p>
      <w:pPr>
        <w:ind w:left="380" w:hanging="199"/>
        <w:spacing w:after="0"/>
        <w:tabs>
          <w:tab w:leader="none" w:pos="380" w:val="left"/>
        </w:tabs>
        <w:numPr>
          <w:ilvl w:val="0"/>
          <w:numId w:val="2"/>
        </w:numPr>
        <w:rPr>
          <w:rFonts w:ascii="Arial" w:cs="Arial" w:eastAsia="Arial" w:hAnsi="Arial"/>
          <w:sz w:val="10"/>
          <w:szCs w:val="10"/>
          <w:color w:val="auto"/>
        </w:rPr>
      </w:pPr>
      <w:r>
        <w:rPr>
          <w:rFonts w:ascii="Arial" w:cs="Arial" w:eastAsia="Arial" w:hAnsi="Arial"/>
          <w:sz w:val="10"/>
          <w:szCs w:val="10"/>
          <w:color w:val="auto"/>
        </w:rPr>
        <w:t>To elect the following three Class I directors to hold office until the Company’s 2026 Annual Meeting of stockholders. The voting results were as follows:</w:t>
      </w:r>
    </w:p>
    <w:p>
      <w:pPr>
        <w:spacing w:after="0" w:line="146" w:lineRule="exact"/>
        <w:rPr>
          <w:sz w:val="24"/>
          <w:szCs w:val="24"/>
          <w:color w:val="auto"/>
        </w:rPr>
      </w:pPr>
    </w:p>
    <w:tbl>
      <w:tblPr>
        <w:tblLayout w:type="fixed"/>
        <w:tblInd w:w="360" w:type="dxa"/>
        <w:tblCellMar>
          <w:top w:w="0" w:type="dxa"/>
          <w:left w:w="0" w:type="dxa"/>
          <w:bottom w:w="0" w:type="dxa"/>
          <w:right w:w="0" w:type="dxa"/>
        </w:tblCellMar>
      </w:tblPr>
      <w:tr>
        <w:trPr>
          <w:trHeight w:val="119"/>
        </w:trPr>
        <w:tc>
          <w:tcPr>
            <w:tcW w:w="1880" w:type="dxa"/>
            <w:vAlign w:val="bottom"/>
            <w:tcBorders>
              <w:bottom w:val="single" w:sz="8" w:color="auto"/>
            </w:tcBorders>
          </w:tcPr>
          <w:p>
            <w:pPr>
              <w:ind w:left="400"/>
              <w:spacing w:after="0"/>
              <w:rPr>
                <w:sz w:val="20"/>
                <w:szCs w:val="20"/>
                <w:color w:val="auto"/>
              </w:rPr>
            </w:pPr>
            <w:r>
              <w:rPr>
                <w:rFonts w:ascii="Arial" w:cs="Arial" w:eastAsia="Arial" w:hAnsi="Arial"/>
                <w:sz w:val="9"/>
                <w:szCs w:val="9"/>
                <w:b w:val="1"/>
                <w:bCs w:val="1"/>
                <w:color w:val="auto"/>
              </w:rPr>
              <w:t>Name</w:t>
            </w:r>
          </w:p>
        </w:tc>
        <w:tc>
          <w:tcPr>
            <w:tcW w:w="80" w:type="dxa"/>
            <w:vAlign w:val="bottom"/>
            <w:tcBorders>
              <w:bottom w:val="single" w:sz="8" w:color="CCEEFF"/>
            </w:tcBorders>
          </w:tcPr>
          <w:p>
            <w:pPr>
              <w:spacing w:after="0"/>
              <w:rPr>
                <w:sz w:val="10"/>
                <w:szCs w:val="10"/>
                <w:color w:val="auto"/>
              </w:rPr>
            </w:pPr>
          </w:p>
        </w:tc>
        <w:tc>
          <w:tcPr>
            <w:tcW w:w="1980" w:type="dxa"/>
            <w:vAlign w:val="bottom"/>
            <w:tcBorders>
              <w:bottom w:val="single" w:sz="8" w:color="auto"/>
            </w:tcBorders>
          </w:tcPr>
          <w:p>
            <w:pPr>
              <w:jc w:val="right"/>
              <w:ind w:right="577"/>
              <w:spacing w:after="0"/>
              <w:rPr>
                <w:sz w:val="20"/>
                <w:szCs w:val="20"/>
                <w:color w:val="auto"/>
              </w:rPr>
            </w:pPr>
            <w:r>
              <w:rPr>
                <w:rFonts w:ascii="Arial" w:cs="Arial" w:eastAsia="Arial" w:hAnsi="Arial"/>
                <w:sz w:val="9"/>
                <w:szCs w:val="9"/>
                <w:b w:val="1"/>
                <w:bCs w:val="1"/>
                <w:color w:val="auto"/>
              </w:rPr>
              <w:t>Votes For</w:t>
            </w:r>
          </w:p>
        </w:tc>
        <w:tc>
          <w:tcPr>
            <w:tcW w:w="6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tcPr>
          <w:p>
            <w:pPr>
              <w:ind w:left="800"/>
              <w:spacing w:after="0"/>
              <w:rPr>
                <w:sz w:val="20"/>
                <w:szCs w:val="20"/>
                <w:color w:val="auto"/>
              </w:rPr>
            </w:pPr>
            <w:r>
              <w:rPr>
                <w:rFonts w:ascii="Arial" w:cs="Arial" w:eastAsia="Arial" w:hAnsi="Arial"/>
                <w:sz w:val="9"/>
                <w:szCs w:val="9"/>
                <w:b w:val="1"/>
                <w:bCs w:val="1"/>
                <w:color w:val="auto"/>
              </w:rPr>
              <w:t>Votes Against</w:t>
            </w: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ind w:left="920"/>
              <w:spacing w:after="0"/>
              <w:rPr>
                <w:sz w:val="20"/>
                <w:szCs w:val="20"/>
                <w:color w:val="auto"/>
              </w:rPr>
            </w:pPr>
            <w:r>
              <w:rPr>
                <w:rFonts w:ascii="Arial" w:cs="Arial" w:eastAsia="Arial" w:hAnsi="Arial"/>
                <w:sz w:val="9"/>
                <w:szCs w:val="9"/>
                <w:b w:val="1"/>
                <w:bCs w:val="1"/>
                <w:color w:val="auto"/>
                <w:w w:val="96"/>
              </w:rPr>
              <w:t>Abstentions</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940" w:type="dxa"/>
            <w:vAlign w:val="bottom"/>
            <w:tcBorders>
              <w:bottom w:val="single" w:sz="8" w:color="auto"/>
            </w:tcBorders>
          </w:tcPr>
          <w:p>
            <w:pPr>
              <w:jc w:val="right"/>
              <w:ind w:right="377"/>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1880" w:type="dxa"/>
            <w:vAlign w:val="bottom"/>
            <w:shd w:val="clear" w:color="auto" w:fill="CCEEFF"/>
          </w:tcPr>
          <w:p>
            <w:pPr>
              <w:ind w:left="400"/>
              <w:spacing w:after="0"/>
              <w:rPr>
                <w:sz w:val="20"/>
                <w:szCs w:val="20"/>
                <w:color w:val="auto"/>
              </w:rPr>
            </w:pPr>
            <w:r>
              <w:rPr>
                <w:rFonts w:ascii="Arial" w:cs="Arial" w:eastAsia="Arial" w:hAnsi="Arial"/>
                <w:sz w:val="10"/>
                <w:szCs w:val="10"/>
                <w:color w:val="auto"/>
              </w:rPr>
              <w:t>Mark Goines</w:t>
            </w:r>
          </w:p>
        </w:tc>
        <w:tc>
          <w:tcPr>
            <w:tcW w:w="206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34,003,792</w:t>
            </w:r>
          </w:p>
        </w:tc>
        <w:tc>
          <w:tcPr>
            <w:tcW w:w="6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80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1,320,923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1,252,876</w:t>
            </w:r>
          </w:p>
        </w:tc>
      </w:tr>
      <w:tr>
        <w:trPr>
          <w:trHeight w:val="132"/>
        </w:trPr>
        <w:tc>
          <w:tcPr>
            <w:tcW w:w="1880" w:type="dxa"/>
            <w:vAlign w:val="bottom"/>
          </w:tcPr>
          <w:p>
            <w:pPr>
              <w:ind w:left="400"/>
              <w:spacing w:after="0"/>
              <w:rPr>
                <w:sz w:val="20"/>
                <w:szCs w:val="20"/>
                <w:color w:val="auto"/>
              </w:rPr>
            </w:pPr>
            <w:r>
              <w:rPr>
                <w:rFonts w:ascii="Arial" w:cs="Arial" w:eastAsia="Arial" w:hAnsi="Arial"/>
                <w:sz w:val="10"/>
                <w:szCs w:val="10"/>
                <w:color w:val="auto"/>
              </w:rPr>
              <w:t>Alex Haro</w:t>
            </w:r>
          </w:p>
        </w:tc>
        <w:tc>
          <w:tcPr>
            <w:tcW w:w="2060" w:type="dxa"/>
            <w:vAlign w:val="bottom"/>
            <w:gridSpan w:val="2"/>
          </w:tcPr>
          <w:p>
            <w:pPr>
              <w:jc w:val="right"/>
              <w:ind w:right="17"/>
              <w:spacing w:after="0"/>
              <w:rPr>
                <w:sz w:val="20"/>
                <w:szCs w:val="20"/>
                <w:color w:val="auto"/>
              </w:rPr>
            </w:pPr>
            <w:r>
              <w:rPr>
                <w:rFonts w:ascii="Arial" w:cs="Arial" w:eastAsia="Arial" w:hAnsi="Arial"/>
                <w:sz w:val="10"/>
                <w:szCs w:val="10"/>
                <w:color w:val="auto"/>
              </w:rPr>
              <w:t>35,703,669</w:t>
            </w:r>
          </w:p>
        </w:tc>
        <w:tc>
          <w:tcPr>
            <w:tcW w:w="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0" w:type="dxa"/>
            <w:vAlign w:val="bottom"/>
            <w:gridSpan w:val="3"/>
          </w:tcPr>
          <w:p>
            <w:pPr>
              <w:ind w:left="1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45,403</w:t>
            </w:r>
          </w:p>
        </w:tc>
        <w:tc>
          <w:tcPr>
            <w:tcW w:w="2020" w:type="dxa"/>
            <w:vAlign w:val="bottom"/>
            <w:gridSpan w:val="2"/>
          </w:tcPr>
          <w:p>
            <w:pPr>
              <w:jc w:val="right"/>
              <w:spacing w:after="0"/>
              <w:rPr>
                <w:sz w:val="20"/>
                <w:szCs w:val="20"/>
                <w:color w:val="auto"/>
              </w:rPr>
            </w:pPr>
            <w:r>
              <w:rPr>
                <w:rFonts w:ascii="Arial" w:cs="Arial" w:eastAsia="Arial" w:hAnsi="Arial"/>
                <w:sz w:val="10"/>
                <w:szCs w:val="10"/>
                <w:color w:val="auto"/>
              </w:rPr>
              <w:t>828,519</w:t>
            </w:r>
          </w:p>
        </w:tc>
      </w:tr>
      <w:tr>
        <w:trPr>
          <w:trHeight w:val="134"/>
        </w:trPr>
        <w:tc>
          <w:tcPr>
            <w:tcW w:w="1880" w:type="dxa"/>
            <w:vAlign w:val="bottom"/>
            <w:shd w:val="clear" w:color="auto" w:fill="CCEEFF"/>
          </w:tcPr>
          <w:p>
            <w:pPr>
              <w:ind w:left="400"/>
              <w:spacing w:after="0"/>
              <w:rPr>
                <w:sz w:val="20"/>
                <w:szCs w:val="20"/>
                <w:color w:val="auto"/>
              </w:rPr>
            </w:pPr>
            <w:r>
              <w:rPr>
                <w:rFonts w:ascii="Arial" w:cs="Arial" w:eastAsia="Arial" w:hAnsi="Arial"/>
                <w:sz w:val="10"/>
                <w:szCs w:val="10"/>
                <w:color w:val="auto"/>
              </w:rPr>
              <w:t>Randi Zuckerberg</w:t>
            </w:r>
          </w:p>
        </w:tc>
        <w:tc>
          <w:tcPr>
            <w:tcW w:w="206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35,666,250</w:t>
            </w:r>
          </w:p>
        </w:tc>
        <w:tc>
          <w:tcPr>
            <w:tcW w:w="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82,978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828,363</w:t>
            </w:r>
          </w:p>
        </w:tc>
      </w:tr>
    </w:tbl>
    <w:p>
      <w:pPr>
        <w:spacing w:after="0" w:line="168" w:lineRule="exact"/>
        <w:rPr>
          <w:sz w:val="24"/>
          <w:szCs w:val="24"/>
          <w:color w:val="auto"/>
        </w:rPr>
      </w:pPr>
    </w:p>
    <w:p>
      <w:pPr>
        <w:ind w:left="380" w:hanging="199"/>
        <w:spacing w:after="0"/>
        <w:tabs>
          <w:tab w:leader="none" w:pos="380" w:val="left"/>
        </w:tabs>
        <w:numPr>
          <w:ilvl w:val="0"/>
          <w:numId w:val="3"/>
        </w:numPr>
        <w:rPr>
          <w:rFonts w:ascii="Arial" w:cs="Arial" w:eastAsia="Arial" w:hAnsi="Arial"/>
          <w:sz w:val="10"/>
          <w:szCs w:val="10"/>
          <w:color w:val="auto"/>
        </w:rPr>
      </w:pPr>
      <w:r>
        <w:rPr>
          <w:rFonts w:ascii="Arial" w:cs="Arial" w:eastAsia="Arial" w:hAnsi="Arial"/>
          <w:sz w:val="10"/>
          <w:szCs w:val="10"/>
          <w:color w:val="auto"/>
        </w:rPr>
        <w:t>To approve the Company’s 2011 Stock Plan, the terms of which are summarized in the Proxy Statement, for purposes of Australian Securities Exchange (“ASX”) Listing Rule 7.2, exception 13. The voting results were as follows:</w:t>
      </w:r>
    </w:p>
    <w:p>
      <w:pPr>
        <w:spacing w:after="0" w:line="146" w:lineRule="exact"/>
        <w:rPr>
          <w:sz w:val="24"/>
          <w:szCs w:val="24"/>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31,220,995</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1,490,873</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989,342</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4"/>
          <w:szCs w:val="24"/>
          <w:color w:val="auto"/>
        </w:rPr>
      </w:pPr>
    </w:p>
    <w:p>
      <w:pPr>
        <w:ind w:left="360" w:hanging="179"/>
        <w:spacing w:after="0" w:line="272" w:lineRule="auto"/>
        <w:tabs>
          <w:tab w:leader="none" w:pos="368" w:val="left"/>
        </w:tabs>
        <w:numPr>
          <w:ilvl w:val="0"/>
          <w:numId w:val="4"/>
        </w:numPr>
        <w:rPr>
          <w:rFonts w:ascii="Arial" w:cs="Arial" w:eastAsia="Arial" w:hAnsi="Arial"/>
          <w:sz w:val="10"/>
          <w:szCs w:val="10"/>
          <w:color w:val="auto"/>
        </w:rPr>
      </w:pPr>
      <w:r>
        <w:rPr>
          <w:rFonts w:ascii="Arial" w:cs="Arial" w:eastAsia="Arial" w:hAnsi="Arial"/>
          <w:sz w:val="10"/>
          <w:szCs w:val="10"/>
          <w:color w:val="auto"/>
        </w:rPr>
        <w:t>To approve the grant of 148,884 restricted stock units to acquire shares of common stock of the Company to Chris Hulls on the terms and conditions set out in the Proxy Statement, pursuant to and for the purposes of ASX Listing Rule 10.14. The voting results were as follows:</w:t>
      </w:r>
    </w:p>
    <w:p>
      <w:pPr>
        <w:spacing w:after="0" w:line="118" w:lineRule="exact"/>
        <w:rPr>
          <w:sz w:val="24"/>
          <w:szCs w:val="24"/>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17"/>
              <w:spacing w:after="0"/>
              <w:rPr>
                <w:sz w:val="20"/>
                <w:szCs w:val="20"/>
                <w:color w:val="auto"/>
              </w:rPr>
            </w:pPr>
            <w:r>
              <w:rPr>
                <w:rFonts w:ascii="Arial" w:cs="Arial" w:eastAsia="Arial" w:hAnsi="Arial"/>
                <w:sz w:val="9"/>
                <w:szCs w:val="9"/>
                <w:b w:val="1"/>
                <w:bCs w:val="1"/>
                <w:color w:val="auto"/>
              </w:rPr>
              <w:t>Votes Against</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737"/>
              <w:spacing w:after="0"/>
              <w:rPr>
                <w:sz w:val="20"/>
                <w:szCs w:val="20"/>
                <w:color w:val="auto"/>
              </w:rPr>
            </w:pPr>
            <w:r>
              <w:rPr>
                <w:rFonts w:ascii="Arial" w:cs="Arial" w:eastAsia="Arial" w:hAnsi="Arial"/>
                <w:sz w:val="9"/>
                <w:szCs w:val="9"/>
                <w:b w:val="1"/>
                <w:bCs w:val="1"/>
                <w:color w:val="auto"/>
              </w:rPr>
              <w:t>Abstentions</w:t>
            </w:r>
          </w:p>
        </w:tc>
        <w:tc>
          <w:tcPr>
            <w:tcW w:w="80" w:type="dxa"/>
            <w:vAlign w:val="bottom"/>
            <w:tcBorders>
              <w:bottom w:val="single" w:sz="8" w:color="CCEEFF"/>
            </w:tcBorders>
          </w:tcPr>
          <w:p>
            <w:pPr>
              <w:spacing w:after="0"/>
              <w:rPr>
                <w:sz w:val="10"/>
                <w:szCs w:val="10"/>
                <w:color w:val="auto"/>
              </w:rPr>
            </w:pPr>
          </w:p>
        </w:tc>
        <w:tc>
          <w:tcPr>
            <w:tcW w:w="230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15,726,474</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16,998,679</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976,057</w:t>
            </w:r>
          </w:p>
        </w:tc>
        <w:tc>
          <w:tcPr>
            <w:tcW w:w="80" w:type="dxa"/>
            <w:vAlign w:val="bottom"/>
            <w:shd w:val="clear" w:color="auto" w:fill="CCEEFF"/>
          </w:tcPr>
          <w:p>
            <w:pPr>
              <w:spacing w:after="0"/>
              <w:rPr>
                <w:sz w:val="10"/>
                <w:szCs w:val="10"/>
                <w:color w:val="auto"/>
              </w:rPr>
            </w:pPr>
          </w:p>
        </w:tc>
        <w:tc>
          <w:tcPr>
            <w:tcW w:w="2300" w:type="dxa"/>
            <w:vAlign w:val="bottom"/>
            <w:shd w:val="clear" w:color="auto" w:fill="CCEEFF"/>
          </w:tcPr>
          <w:p>
            <w:pPr>
              <w:ind w:left="2140"/>
              <w:spacing w:after="0"/>
              <w:rPr>
                <w:sz w:val="20"/>
                <w:szCs w:val="20"/>
                <w:color w:val="auto"/>
              </w:rPr>
            </w:pPr>
            <w:r>
              <w:rPr>
                <w:rFonts w:ascii="Arial" w:cs="Arial" w:eastAsia="Arial" w:hAnsi="Arial"/>
                <w:sz w:val="10"/>
                <w:szCs w:val="10"/>
                <w:color w:val="auto"/>
              </w:rPr>
              <w:t>—</w:t>
            </w:r>
          </w:p>
        </w:tc>
      </w:tr>
    </w:tbl>
    <w:p>
      <w:pPr>
        <w:spacing w:after="0" w:line="168" w:lineRule="exact"/>
        <w:rPr>
          <w:sz w:val="24"/>
          <w:szCs w:val="24"/>
          <w:color w:val="auto"/>
        </w:rPr>
      </w:pPr>
    </w:p>
    <w:p>
      <w:pPr>
        <w:ind w:left="360" w:right="200" w:hanging="179"/>
        <w:spacing w:after="0" w:line="272" w:lineRule="auto"/>
        <w:tabs>
          <w:tab w:leader="none" w:pos="368" w:val="left"/>
        </w:tabs>
        <w:numPr>
          <w:ilvl w:val="0"/>
          <w:numId w:val="5"/>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US$154,000 (at the time of the grant) to John Philip Coghlan on the terms and conditions set out in the Proxy statement, pursuant to and for the purposes of ASX Listing Rule 10.14. The voting results were as follows:</w:t>
      </w:r>
    </w:p>
    <w:p>
      <w:pPr>
        <w:spacing w:after="0" w:line="118" w:lineRule="exact"/>
        <w:rPr>
          <w:sz w:val="24"/>
          <w:szCs w:val="24"/>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30,846,935</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1,771,520</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1,082,755</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4"/>
          <w:szCs w:val="24"/>
          <w:color w:val="auto"/>
        </w:rPr>
      </w:pPr>
    </w:p>
    <w:p>
      <w:pPr>
        <w:ind w:left="360" w:right="140" w:hanging="179"/>
        <w:spacing w:after="0" w:line="272" w:lineRule="auto"/>
        <w:tabs>
          <w:tab w:leader="none" w:pos="368" w:val="left"/>
        </w:tabs>
        <w:numPr>
          <w:ilvl w:val="0"/>
          <w:numId w:val="6"/>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US$125,000 (at the time of the grant) to Brit Morin on the terms and conditions set out in the Proxy Statement, pursuant to and for the purposes of ASX Listing Rule 10.14. The voting results were as follows:</w:t>
      </w:r>
    </w:p>
    <w:p>
      <w:pPr>
        <w:spacing w:after="0" w:line="118" w:lineRule="exact"/>
        <w:rPr>
          <w:sz w:val="24"/>
          <w:szCs w:val="24"/>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30,944,823</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1,775,330</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981,057</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4"/>
          <w:szCs w:val="24"/>
          <w:color w:val="auto"/>
        </w:rPr>
      </w:pPr>
    </w:p>
    <w:p>
      <w:pPr>
        <w:ind w:left="360" w:right="480" w:hanging="179"/>
        <w:spacing w:after="0" w:line="272" w:lineRule="auto"/>
        <w:tabs>
          <w:tab w:leader="none" w:pos="368" w:val="left"/>
        </w:tabs>
        <w:numPr>
          <w:ilvl w:val="0"/>
          <w:numId w:val="7"/>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US$125,000 (at the time of the grant) to James Synge on the terms and conditions set out in the Proxy Statement, pursuant to and for the purposes of ASX Listing Rule 10.14. The voting results were as follows:</w:t>
      </w:r>
    </w:p>
    <w:p>
      <w:pPr>
        <w:spacing w:after="0" w:line="118" w:lineRule="exact"/>
        <w:rPr>
          <w:sz w:val="24"/>
          <w:szCs w:val="24"/>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30,924,481</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1,775,330</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1,481,746</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4"/>
          <w:szCs w:val="24"/>
          <w:color w:val="auto"/>
        </w:rPr>
      </w:pPr>
    </w:p>
    <w:p>
      <w:pPr>
        <w:ind w:left="360" w:right="520" w:hanging="179"/>
        <w:spacing w:after="0" w:line="272" w:lineRule="auto"/>
        <w:tabs>
          <w:tab w:leader="none" w:pos="368" w:val="left"/>
        </w:tabs>
        <w:numPr>
          <w:ilvl w:val="0"/>
          <w:numId w:val="8"/>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US$127,000 (at the time of the grant) to Mark Goines on the terms and conditions set out in the Proxy Statement, pursuant to and for the purposes of ASX Listing Rule 10.14. The voting results were as follows:</w:t>
      </w:r>
    </w:p>
    <w:p>
      <w:pPr>
        <w:sectPr>
          <w:pgSz w:w="11900" w:h="16840" w:orient="portrait"/>
          <w:cols w:equalWidth="0" w:num="1">
            <w:col w:w="10640"/>
          </w:cols>
          <w:pgMar w:left="640" w:top="1190" w:right="620" w:bottom="198" w:gutter="0" w:footer="0" w:header="0"/>
          <w:type w:val="continuous"/>
        </w:sectPr>
      </w:pPr>
    </w:p>
    <w:bookmarkStart w:id="1" w:name="page2"/>
    <w:bookmarkEnd w:id="1"/>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30,891,978</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1,776,586</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1,220,235</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0"/>
          <w:szCs w:val="20"/>
          <w:color w:val="auto"/>
        </w:rPr>
      </w:pPr>
    </w:p>
    <w:p>
      <w:pPr>
        <w:ind w:left="360" w:right="280" w:hanging="179"/>
        <w:spacing w:after="0" w:line="272" w:lineRule="auto"/>
        <w:tabs>
          <w:tab w:leader="none" w:pos="368" w:val="left"/>
        </w:tabs>
        <w:numPr>
          <w:ilvl w:val="0"/>
          <w:numId w:val="9"/>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US$135,000 (at the time of the grant) to David Wiadrowski on the terms and conditions set out in the Proxy Statement, pursuant to and for the purposes of ASX Listing Rule 10.14. The voting results were as follows:</w:t>
      </w:r>
    </w:p>
    <w:p>
      <w:pPr>
        <w:spacing w:after="0" w:line="118" w:lineRule="exact"/>
        <w:rPr>
          <w:sz w:val="20"/>
          <w:szCs w:val="20"/>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30,920,223</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1,776,430</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1,004,557</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0"/>
          <w:szCs w:val="20"/>
          <w:color w:val="auto"/>
        </w:rPr>
      </w:pPr>
    </w:p>
    <w:p>
      <w:pPr>
        <w:ind w:left="360" w:right="280" w:hanging="179"/>
        <w:spacing w:after="0" w:line="272" w:lineRule="auto"/>
        <w:tabs>
          <w:tab w:leader="none" w:pos="368" w:val="left"/>
        </w:tabs>
        <w:numPr>
          <w:ilvl w:val="0"/>
          <w:numId w:val="10"/>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US$125,500 (at the time of the grant) to Randi Zuckerberg on the terms and conditions set out in the Proxy Statement, pursuant to and for the purposes of ASX Listing Rule 10.14. The voting results were as follows:</w:t>
      </w:r>
    </w:p>
    <w:p>
      <w:pPr>
        <w:spacing w:after="0" w:line="118" w:lineRule="exact"/>
        <w:rPr>
          <w:sz w:val="20"/>
          <w:szCs w:val="20"/>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30,943,874</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1,776,430</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980,906</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0"/>
          <w:szCs w:val="20"/>
          <w:color w:val="auto"/>
        </w:rPr>
      </w:pPr>
    </w:p>
    <w:p>
      <w:pPr>
        <w:ind w:left="360" w:right="120" w:hanging="179"/>
        <w:spacing w:after="0" w:line="272" w:lineRule="auto"/>
        <w:tabs>
          <w:tab w:leader="none" w:pos="368" w:val="left"/>
        </w:tabs>
        <w:numPr>
          <w:ilvl w:val="0"/>
          <w:numId w:val="11"/>
        </w:numPr>
        <w:rPr>
          <w:rFonts w:ascii="Arial" w:cs="Arial" w:eastAsia="Arial" w:hAnsi="Arial"/>
          <w:sz w:val="10"/>
          <w:szCs w:val="10"/>
          <w:color w:val="auto"/>
        </w:rPr>
      </w:pPr>
      <w:r>
        <w:rPr>
          <w:rFonts w:ascii="Arial" w:cs="Arial" w:eastAsia="Arial" w:hAnsi="Arial"/>
          <w:sz w:val="10"/>
          <w:szCs w:val="10"/>
          <w:color w:val="auto"/>
        </w:rPr>
        <w:t>To approve the grant of restricted stock units to acquire shares of common stock of the Company equal in value to US$120,000 (at the time of the grant) to Alex Haro on the terms and conditions set out in the Proxy Statement, pursuant to and for the purposes of ASX Listing Rule 10.14. The voting results were as follows:</w:t>
      </w:r>
    </w:p>
    <w:p>
      <w:pPr>
        <w:spacing w:after="0" w:line="118" w:lineRule="exact"/>
        <w:rPr>
          <w:sz w:val="20"/>
          <w:szCs w:val="20"/>
          <w:color w:val="auto"/>
        </w:rPr>
      </w:pPr>
    </w:p>
    <w:tbl>
      <w:tblPr>
        <w:tblLayout w:type="fixed"/>
        <w:tblInd w:w="360" w:type="dxa"/>
        <w:tblCellMar>
          <w:top w:w="0" w:type="dxa"/>
          <w:left w:w="0" w:type="dxa"/>
          <w:bottom w:w="0" w:type="dxa"/>
          <w:right w:w="0" w:type="dxa"/>
        </w:tblCellMar>
      </w:tblPr>
      <w:tr>
        <w:trPr>
          <w:trHeight w:val="119"/>
        </w:trPr>
        <w:tc>
          <w:tcPr>
            <w:tcW w:w="2460" w:type="dxa"/>
            <w:vAlign w:val="bottom"/>
            <w:tcBorders>
              <w:bottom w:val="single" w:sz="8" w:color="auto"/>
            </w:tcBorders>
          </w:tcPr>
          <w:p>
            <w:pPr>
              <w:jc w:val="right"/>
              <w:ind w:right="793"/>
              <w:spacing w:after="0"/>
              <w:rPr>
                <w:sz w:val="20"/>
                <w:szCs w:val="20"/>
                <w:color w:val="auto"/>
              </w:rPr>
            </w:pPr>
            <w:r>
              <w:rPr>
                <w:rFonts w:ascii="Arial" w:cs="Arial" w:eastAsia="Arial" w:hAnsi="Arial"/>
                <w:sz w:val="9"/>
                <w:szCs w:val="9"/>
                <w:b w:val="1"/>
                <w:bCs w:val="1"/>
                <w:color w:val="auto"/>
              </w:rPr>
              <w:t>Votes For</w:t>
            </w:r>
          </w:p>
        </w:tc>
        <w:tc>
          <w:tcPr>
            <w:tcW w:w="80" w:type="dxa"/>
            <w:vAlign w:val="bottom"/>
            <w:tcBorders>
              <w:bottom w:val="single" w:sz="8" w:color="CCEEFF"/>
            </w:tcBorders>
          </w:tcPr>
          <w:p>
            <w:pPr>
              <w:spacing w:after="0"/>
              <w:rPr>
                <w:sz w:val="10"/>
                <w:szCs w:val="10"/>
                <w:color w:val="auto"/>
              </w:rPr>
            </w:pPr>
          </w:p>
        </w:tc>
        <w:tc>
          <w:tcPr>
            <w:tcW w:w="2420" w:type="dxa"/>
            <w:vAlign w:val="bottom"/>
            <w:tcBorders>
              <w:bottom w:val="single" w:sz="8" w:color="auto"/>
            </w:tcBorders>
          </w:tcPr>
          <w:p>
            <w:pPr>
              <w:jc w:val="right"/>
              <w:ind w:right="697"/>
              <w:spacing w:after="0"/>
              <w:rPr>
                <w:sz w:val="20"/>
                <w:szCs w:val="20"/>
                <w:color w:val="auto"/>
              </w:rPr>
            </w:pPr>
            <w:r>
              <w:rPr>
                <w:rFonts w:ascii="Arial" w:cs="Arial" w:eastAsia="Arial" w:hAnsi="Arial"/>
                <w:sz w:val="9"/>
                <w:szCs w:val="9"/>
                <w:b w:val="1"/>
                <w:bCs w:val="1"/>
                <w:color w:val="auto"/>
              </w:rPr>
              <w:t>Votes Against</w:t>
            </w:r>
          </w:p>
        </w:tc>
        <w:tc>
          <w:tcPr>
            <w:tcW w:w="60" w:type="dxa"/>
            <w:vAlign w:val="bottom"/>
            <w:tcBorders>
              <w:bottom w:val="single" w:sz="8" w:color="CCEEFF"/>
            </w:tcBorders>
          </w:tcPr>
          <w:p>
            <w:pPr>
              <w:spacing w:after="0"/>
              <w:rPr>
                <w:sz w:val="10"/>
                <w:szCs w:val="10"/>
                <w:color w:val="auto"/>
              </w:rPr>
            </w:pPr>
          </w:p>
        </w:tc>
        <w:tc>
          <w:tcPr>
            <w:tcW w:w="2460" w:type="dxa"/>
            <w:vAlign w:val="bottom"/>
            <w:tcBorders>
              <w:bottom w:val="single" w:sz="8" w:color="auto"/>
            </w:tcBorders>
          </w:tcPr>
          <w:p>
            <w:pPr>
              <w:jc w:val="right"/>
              <w:ind w:right="75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30,944,114</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1,776,223</w:t>
            </w:r>
          </w:p>
        </w:tc>
        <w:tc>
          <w:tcPr>
            <w:tcW w:w="252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980,873</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0"/>
          <w:szCs w:val="20"/>
          <w:color w:val="auto"/>
        </w:rPr>
      </w:pPr>
    </w:p>
    <w:p>
      <w:pPr>
        <w:ind w:left="360" w:right="360" w:hanging="179"/>
        <w:spacing w:after="0" w:line="272" w:lineRule="auto"/>
        <w:tabs>
          <w:tab w:leader="none" w:pos="368" w:val="left"/>
        </w:tabs>
        <w:numPr>
          <w:ilvl w:val="0"/>
          <w:numId w:val="12"/>
        </w:numPr>
        <w:rPr>
          <w:rFonts w:ascii="Arial" w:cs="Arial" w:eastAsia="Arial" w:hAnsi="Arial"/>
          <w:sz w:val="10"/>
          <w:szCs w:val="10"/>
          <w:color w:val="auto"/>
        </w:rPr>
      </w:pPr>
      <w:r>
        <w:rPr>
          <w:rFonts w:ascii="Arial" w:cs="Arial" w:eastAsia="Arial" w:hAnsi="Arial"/>
          <w:sz w:val="10"/>
          <w:szCs w:val="10"/>
          <w:color w:val="auto"/>
        </w:rPr>
        <w:t>To ratify the issuance of 7,936,509 CHESS Depositary Interests (“CDIs”) (equivalent to 2,645,504 shares of common stock) at an issue price of A$6.30 per CDI, on the terms and conditions set out in the Proxy Statement, pursuant to and for the purposes of ASX Listing Rule 7.4. The voting results were as follows:</w:t>
      </w:r>
    </w:p>
    <w:p>
      <w:pPr>
        <w:spacing w:after="0" w:line="118" w:lineRule="exact"/>
        <w:rPr>
          <w:sz w:val="20"/>
          <w:szCs w:val="20"/>
          <w:color w:val="auto"/>
        </w:rPr>
      </w:pPr>
    </w:p>
    <w:tbl>
      <w:tblPr>
        <w:tblLayout w:type="fixed"/>
        <w:tblInd w:w="360" w:type="dxa"/>
        <w:tblCellMar>
          <w:top w:w="0" w:type="dxa"/>
          <w:left w:w="0" w:type="dxa"/>
          <w:bottom w:w="0" w:type="dxa"/>
          <w:right w:w="0" w:type="dxa"/>
        </w:tblCellMar>
      </w:tblPr>
      <w:tr>
        <w:trPr>
          <w:trHeight w:val="119"/>
        </w:trPr>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9"/>
                <w:szCs w:val="9"/>
                <w:b w:val="1"/>
                <w:bCs w:val="1"/>
                <w:color w:val="auto"/>
              </w:rPr>
              <w:t>Votes For</w:t>
            </w:r>
          </w:p>
        </w:tc>
        <w:tc>
          <w:tcPr>
            <w:tcW w:w="60" w:type="dxa"/>
            <w:vAlign w:val="bottom"/>
            <w:tcBorders>
              <w:bottom w:val="single" w:sz="8" w:color="CCEEFF"/>
            </w:tcBorders>
          </w:tcPr>
          <w:p>
            <w:pPr>
              <w:spacing w:after="0"/>
              <w:rPr>
                <w:sz w:val="10"/>
                <w:szCs w:val="10"/>
                <w:color w:val="auto"/>
              </w:rPr>
            </w:pPr>
          </w:p>
        </w:tc>
        <w:tc>
          <w:tcPr>
            <w:tcW w:w="2400" w:type="dxa"/>
            <w:vAlign w:val="bottom"/>
            <w:tcBorders>
              <w:bottom w:val="single" w:sz="8" w:color="auto"/>
            </w:tcBorders>
          </w:tcPr>
          <w:p>
            <w:pPr>
              <w:jc w:val="right"/>
              <w:ind w:right="677"/>
              <w:spacing w:after="0"/>
              <w:rPr>
                <w:sz w:val="20"/>
                <w:szCs w:val="20"/>
                <w:color w:val="auto"/>
              </w:rPr>
            </w:pPr>
            <w:r>
              <w:rPr>
                <w:rFonts w:ascii="Arial" w:cs="Arial" w:eastAsia="Arial" w:hAnsi="Arial"/>
                <w:sz w:val="9"/>
                <w:szCs w:val="9"/>
                <w:b w:val="1"/>
                <w:bCs w:val="1"/>
                <w:color w:val="auto"/>
              </w:rPr>
              <w:t>Votes Against</w:t>
            </w:r>
          </w:p>
        </w:tc>
        <w:tc>
          <w:tcPr>
            <w:tcW w:w="80" w:type="dxa"/>
            <w:vAlign w:val="bottom"/>
            <w:tcBorders>
              <w:bottom w:val="single" w:sz="8" w:color="CCEEFF"/>
            </w:tcBorders>
          </w:tcPr>
          <w:p>
            <w:pPr>
              <w:spacing w:after="0"/>
              <w:rPr>
                <w:sz w:val="10"/>
                <w:szCs w:val="10"/>
                <w:color w:val="auto"/>
              </w:rPr>
            </w:pPr>
          </w:p>
        </w:tc>
        <w:tc>
          <w:tcPr>
            <w:tcW w:w="2440" w:type="dxa"/>
            <w:vAlign w:val="bottom"/>
            <w:tcBorders>
              <w:bottom w:val="single" w:sz="8" w:color="auto"/>
            </w:tcBorders>
          </w:tcPr>
          <w:p>
            <w:pPr>
              <w:jc w:val="right"/>
              <w:ind w:right="737"/>
              <w:spacing w:after="0"/>
              <w:rPr>
                <w:sz w:val="20"/>
                <w:szCs w:val="20"/>
                <w:color w:val="auto"/>
              </w:rPr>
            </w:pPr>
            <w:r>
              <w:rPr>
                <w:rFonts w:ascii="Arial" w:cs="Arial" w:eastAsia="Arial" w:hAnsi="Arial"/>
                <w:sz w:val="9"/>
                <w:szCs w:val="9"/>
                <w:b w:val="1"/>
                <w:bCs w:val="1"/>
                <w:color w:val="auto"/>
              </w:rPr>
              <w:t>Abstentions</w:t>
            </w:r>
          </w:p>
        </w:tc>
        <w:tc>
          <w:tcPr>
            <w:tcW w:w="80" w:type="dxa"/>
            <w:vAlign w:val="bottom"/>
            <w:tcBorders>
              <w:bottom w:val="single" w:sz="8" w:color="CCEEFF"/>
            </w:tcBorders>
          </w:tcPr>
          <w:p>
            <w:pPr>
              <w:spacing w:after="0"/>
              <w:rPr>
                <w:sz w:val="10"/>
                <w:szCs w:val="10"/>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Broker Non-Votes</w:t>
            </w:r>
          </w:p>
        </w:tc>
      </w:tr>
      <w:tr>
        <w:trPr>
          <w:trHeight w:val="121"/>
        </w:trPr>
        <w:tc>
          <w:tcPr>
            <w:tcW w:w="248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32,877,496</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391,832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3,308,263</w:t>
            </w:r>
          </w:p>
        </w:tc>
        <w:tc>
          <w:tcPr>
            <w:tcW w:w="80" w:type="dxa"/>
            <w:vAlign w:val="bottom"/>
            <w:shd w:val="clear" w:color="auto" w:fill="CCEEFF"/>
          </w:tcPr>
          <w:p>
            <w:pPr>
              <w:spacing w:after="0"/>
              <w:rPr>
                <w:sz w:val="10"/>
                <w:szCs w:val="10"/>
                <w:color w:val="auto"/>
              </w:rPr>
            </w:pPr>
          </w:p>
        </w:tc>
        <w:tc>
          <w:tcPr>
            <w:tcW w:w="2320" w:type="dxa"/>
            <w:vAlign w:val="bottom"/>
            <w:shd w:val="clear" w:color="auto" w:fill="CCEEFF"/>
          </w:tcPr>
          <w:p>
            <w:pPr>
              <w:ind w:left="2160"/>
              <w:spacing w:after="0"/>
              <w:rPr>
                <w:sz w:val="20"/>
                <w:szCs w:val="20"/>
                <w:color w:val="auto"/>
              </w:rPr>
            </w:pPr>
            <w:r>
              <w:rPr>
                <w:rFonts w:ascii="Arial" w:cs="Arial" w:eastAsia="Arial" w:hAnsi="Arial"/>
                <w:sz w:val="10"/>
                <w:szCs w:val="10"/>
                <w:color w:val="auto"/>
              </w:rPr>
              <w:t>—</w:t>
            </w:r>
          </w:p>
        </w:tc>
      </w:tr>
    </w:tbl>
    <w:p>
      <w:pPr>
        <w:spacing w:after="0" w:line="168" w:lineRule="exact"/>
        <w:rPr>
          <w:sz w:val="20"/>
          <w:szCs w:val="20"/>
          <w:color w:val="auto"/>
        </w:rPr>
      </w:pPr>
    </w:p>
    <w:p>
      <w:pPr>
        <w:ind w:left="360" w:right="160" w:hanging="179"/>
        <w:spacing w:after="0" w:line="272" w:lineRule="auto"/>
        <w:tabs>
          <w:tab w:leader="none" w:pos="368" w:val="left"/>
        </w:tabs>
        <w:numPr>
          <w:ilvl w:val="0"/>
          <w:numId w:val="13"/>
        </w:numPr>
        <w:rPr>
          <w:rFonts w:ascii="Arial" w:cs="Arial" w:eastAsia="Arial" w:hAnsi="Arial"/>
          <w:sz w:val="10"/>
          <w:szCs w:val="10"/>
          <w:color w:val="auto"/>
        </w:rPr>
      </w:pPr>
      <w:r>
        <w:rPr>
          <w:rFonts w:ascii="Arial" w:cs="Arial" w:eastAsia="Arial" w:hAnsi="Arial"/>
          <w:sz w:val="10"/>
          <w:szCs w:val="10"/>
          <w:color w:val="auto"/>
        </w:rPr>
        <w:t>To ratify the selection by the audit and risk management committee of the Company’s board of directors of Deloitte &amp; Touche, LLP as the independent registered public accounting firm of the Company for its fiscal year ending December 31, 2023. The voting results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60" w:type="dxa"/>
            <w:vAlign w:val="bottom"/>
          </w:tcPr>
          <w:p>
            <w:pPr>
              <w:spacing w:after="0"/>
              <w:rPr>
                <w:sz w:val="10"/>
                <w:szCs w:val="10"/>
                <w:color w:val="auto"/>
              </w:rPr>
            </w:pPr>
          </w:p>
        </w:tc>
        <w:tc>
          <w:tcPr>
            <w:tcW w:w="2500" w:type="dxa"/>
            <w:vAlign w:val="bottom"/>
            <w:tcBorders>
              <w:bottom w:val="single" w:sz="8" w:color="auto"/>
            </w:tcBorders>
          </w:tcPr>
          <w:p>
            <w:pPr>
              <w:jc w:val="right"/>
              <w:ind w:right="813"/>
              <w:spacing w:after="0"/>
              <w:rPr>
                <w:sz w:val="20"/>
                <w:szCs w:val="20"/>
                <w:color w:val="auto"/>
              </w:rPr>
            </w:pPr>
            <w:r>
              <w:rPr>
                <w:rFonts w:ascii="Arial" w:cs="Arial" w:eastAsia="Arial" w:hAnsi="Arial"/>
                <w:sz w:val="9"/>
                <w:szCs w:val="9"/>
                <w:b w:val="1"/>
                <w:bCs w:val="1"/>
                <w:color w:val="auto"/>
              </w:rPr>
              <w:t>Votes For</w:t>
            </w:r>
          </w:p>
        </w:tc>
        <w:tc>
          <w:tcPr>
            <w:tcW w:w="60" w:type="dxa"/>
            <w:vAlign w:val="bottom"/>
            <w:tcBorders>
              <w:bottom w:val="single" w:sz="8" w:color="CCEEFF"/>
            </w:tcBorders>
          </w:tcPr>
          <w:p>
            <w:pPr>
              <w:spacing w:after="0"/>
              <w:rPr>
                <w:sz w:val="10"/>
                <w:szCs w:val="10"/>
                <w:color w:val="auto"/>
              </w:rPr>
            </w:pPr>
          </w:p>
        </w:tc>
        <w:tc>
          <w:tcPr>
            <w:tcW w:w="2340" w:type="dxa"/>
            <w:vAlign w:val="bottom"/>
            <w:tcBorders>
              <w:bottom w:val="single" w:sz="8" w:color="auto"/>
            </w:tcBorders>
          </w:tcPr>
          <w:p>
            <w:pPr>
              <w:jc w:val="right"/>
              <w:ind w:right="657"/>
              <w:spacing w:after="0"/>
              <w:rPr>
                <w:sz w:val="20"/>
                <w:szCs w:val="20"/>
                <w:color w:val="auto"/>
              </w:rPr>
            </w:pPr>
            <w:r>
              <w:rPr>
                <w:rFonts w:ascii="Arial" w:cs="Arial" w:eastAsia="Arial" w:hAnsi="Arial"/>
                <w:sz w:val="9"/>
                <w:szCs w:val="9"/>
                <w:b w:val="1"/>
                <w:bCs w:val="1"/>
                <w:color w:val="auto"/>
              </w:rPr>
              <w:t>Votes Against</w:t>
            </w:r>
          </w:p>
        </w:tc>
        <w:tc>
          <w:tcPr>
            <w:tcW w:w="80" w:type="dxa"/>
            <w:vAlign w:val="bottom"/>
            <w:tcBorders>
              <w:bottom w:val="single" w:sz="8" w:color="CCEEFF"/>
            </w:tcBorders>
          </w:tcPr>
          <w:p>
            <w:pPr>
              <w:spacing w:after="0"/>
              <w:rPr>
                <w:sz w:val="10"/>
                <w:szCs w:val="10"/>
                <w:color w:val="auto"/>
              </w:rPr>
            </w:pPr>
          </w:p>
        </w:tc>
        <w:tc>
          <w:tcPr>
            <w:tcW w:w="2480" w:type="dxa"/>
            <w:vAlign w:val="bottom"/>
            <w:tcBorders>
              <w:bottom w:val="single" w:sz="8" w:color="auto"/>
            </w:tcBorders>
          </w:tcPr>
          <w:p>
            <w:pPr>
              <w:jc w:val="right"/>
              <w:ind w:right="777"/>
              <w:spacing w:after="0"/>
              <w:rPr>
                <w:sz w:val="20"/>
                <w:szCs w:val="20"/>
                <w:color w:val="auto"/>
              </w:rPr>
            </w:pPr>
            <w:r>
              <w:rPr>
                <w:rFonts w:ascii="Arial" w:cs="Arial" w:eastAsia="Arial" w:hAnsi="Arial"/>
                <w:sz w:val="9"/>
                <w:szCs w:val="9"/>
                <w:b w:val="1"/>
                <w:bCs w:val="1"/>
                <w:color w:val="auto"/>
              </w:rPr>
              <w:t>Abstentions</w:t>
            </w:r>
          </w:p>
        </w:tc>
        <w:tc>
          <w:tcPr>
            <w:tcW w:w="60" w:type="dxa"/>
            <w:vAlign w:val="bottom"/>
            <w:tcBorders>
              <w:bottom w:val="single" w:sz="8" w:color="CCEEFF"/>
            </w:tcBorders>
          </w:tcPr>
          <w:p>
            <w:pPr>
              <w:spacing w:after="0"/>
              <w:rPr>
                <w:sz w:val="10"/>
                <w:szCs w:val="10"/>
                <w:color w:val="auto"/>
              </w:rPr>
            </w:pPr>
          </w:p>
        </w:tc>
        <w:tc>
          <w:tcPr>
            <w:tcW w:w="2340" w:type="dxa"/>
            <w:vAlign w:val="bottom"/>
            <w:tcBorders>
              <w:bottom w:val="single" w:sz="8" w:color="auto"/>
            </w:tcBorders>
          </w:tcPr>
          <w:p>
            <w:pPr>
              <w:ind w:left="1000"/>
              <w:spacing w:after="0"/>
              <w:rPr>
                <w:sz w:val="20"/>
                <w:szCs w:val="20"/>
                <w:color w:val="auto"/>
              </w:rPr>
            </w:pPr>
            <w:r>
              <w:rPr>
                <w:rFonts w:ascii="Arial" w:cs="Arial" w:eastAsia="Arial" w:hAnsi="Arial"/>
                <w:sz w:val="9"/>
                <w:szCs w:val="9"/>
                <w:b w:val="1"/>
                <w:bCs w:val="1"/>
                <w:color w:val="auto"/>
              </w:rPr>
              <w:t>Broker Non-Votes</w:t>
            </w:r>
          </w:p>
        </w:tc>
        <w:tc>
          <w:tcPr>
            <w:tcW w:w="400" w:type="dxa"/>
            <w:vAlign w:val="bottom"/>
          </w:tcPr>
          <w:p>
            <w:pPr>
              <w:spacing w:after="0"/>
              <w:rPr>
                <w:sz w:val="10"/>
                <w:szCs w:val="10"/>
                <w:color w:val="auto"/>
              </w:rPr>
            </w:pPr>
          </w:p>
        </w:tc>
      </w:tr>
      <w:tr>
        <w:trPr>
          <w:trHeight w:val="121"/>
        </w:trPr>
        <w:tc>
          <w:tcPr>
            <w:tcW w:w="360" w:type="dxa"/>
            <w:vAlign w:val="bottom"/>
          </w:tcPr>
          <w:p>
            <w:pPr>
              <w:spacing w:after="0"/>
              <w:rPr>
                <w:sz w:val="10"/>
                <w:szCs w:val="10"/>
                <w:color w:val="auto"/>
              </w:rPr>
            </w:pPr>
          </w:p>
        </w:tc>
        <w:tc>
          <w:tcPr>
            <w:tcW w:w="25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35,562,425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7,544</w:t>
            </w:r>
          </w:p>
        </w:tc>
        <w:tc>
          <w:tcPr>
            <w:tcW w:w="256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rPr>
              <w:t>1,007,622</w:t>
            </w:r>
          </w:p>
        </w:tc>
        <w:tc>
          <w:tcPr>
            <w:tcW w:w="60" w:type="dxa"/>
            <w:vAlign w:val="bottom"/>
            <w:shd w:val="clear" w:color="auto" w:fill="CCEEFF"/>
          </w:tcPr>
          <w:p>
            <w:pPr>
              <w:spacing w:after="0"/>
              <w:rPr>
                <w:sz w:val="10"/>
                <w:szCs w:val="10"/>
                <w:color w:val="auto"/>
              </w:rPr>
            </w:pPr>
          </w:p>
        </w:tc>
        <w:tc>
          <w:tcPr>
            <w:tcW w:w="2340" w:type="dxa"/>
            <w:vAlign w:val="bottom"/>
            <w:shd w:val="clear" w:color="auto" w:fill="CCEEFF"/>
          </w:tcPr>
          <w:p>
            <w:pPr>
              <w:ind w:left="218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0"/>
                <w:szCs w:val="10"/>
                <w:color w:val="auto"/>
              </w:rPr>
            </w:pPr>
          </w:p>
        </w:tc>
      </w:tr>
      <w:tr>
        <w:trPr>
          <w:trHeight w:val="862"/>
        </w:trPr>
        <w:tc>
          <w:tcPr>
            <w:tcW w:w="36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3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4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3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6775450"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5450" cy="35560"/>
                    </a:xfrm>
                    <a:prstGeom prst="rect">
                      <a:avLst/>
                    </a:prstGeom>
                    <a:noFill/>
                  </pic:spPr>
                </pic:pic>
              </a:graphicData>
            </a:graphic>
          </wp:anchor>
        </w:drawing>
      </w:r>
    </w:p>
    <w:p>
      <w:pPr>
        <w:sectPr>
          <w:pgSz w:w="11900" w:h="16840" w:orient="portrait"/>
          <w:cols w:equalWidth="0" w:num="1">
            <w:col w:w="10620"/>
          </w:cols>
          <w:pgMar w:left="640" w:top="583" w:right="640" w:bottom="1440" w:gutter="0" w:footer="0" w:header="0"/>
        </w:sectPr>
      </w:pPr>
    </w:p>
    <w:bookmarkStart w:id="2" w:name="page3"/>
    <w:bookmarkEnd w:id="2"/>
    <w:p>
      <w:pPr>
        <w:spacing w:after="0"/>
        <w:tabs>
          <w:tab w:leader="none" w:pos="540" w:val="left"/>
        </w:tabs>
        <w:rPr>
          <w:sz w:val="20"/>
          <w:szCs w:val="20"/>
          <w:color w:val="auto"/>
        </w:rPr>
      </w:pPr>
      <w:r>
        <w:rPr>
          <w:rFonts w:ascii="Arial" w:cs="Arial" w:eastAsia="Arial" w:hAnsi="Arial"/>
          <w:sz w:val="10"/>
          <w:szCs w:val="10"/>
          <w:b w:val="1"/>
          <w:bCs w:val="1"/>
          <w:color w:val="auto"/>
        </w:rPr>
        <w:t>Item 7.01</w:t>
        <w:tab/>
        <w:t>Regulation FD Disclosure</w:t>
      </w:r>
    </w:p>
    <w:p>
      <w:pPr>
        <w:spacing w:after="0" w:line="134" w:lineRule="exact"/>
        <w:rPr>
          <w:sz w:val="20"/>
          <w:szCs w:val="20"/>
          <w:color w:val="auto"/>
        </w:rPr>
      </w:pPr>
    </w:p>
    <w:p>
      <w:pPr>
        <w:jc w:val="both"/>
        <w:ind w:firstLine="376"/>
        <w:spacing w:after="0" w:line="272" w:lineRule="auto"/>
        <w:rPr>
          <w:sz w:val="20"/>
          <w:szCs w:val="20"/>
          <w:color w:val="auto"/>
        </w:rPr>
      </w:pPr>
      <w:r>
        <w:rPr>
          <w:rFonts w:ascii="Arial" w:cs="Arial" w:eastAsia="Arial" w:hAnsi="Arial"/>
          <w:sz w:val="10"/>
          <w:szCs w:val="10"/>
          <w:color w:val="auto"/>
        </w:rPr>
        <w:t>We are furnishing this Item 7.01 of this Current Report on Form 8-K in connection with the disclosure of information, in the form of the textual information from a PowerPoint presentation given during the Annual Meeting. Copies of the PowerPoint presentation and script used for the Annual Meeting are furnished as Exhibit 99.1 and Exhibit 99.2, respectively, to this Current Report on Form 8-K.</w:t>
      </w:r>
    </w:p>
    <w:p>
      <w:pPr>
        <w:spacing w:after="0" w:line="100" w:lineRule="exact"/>
        <w:rPr>
          <w:sz w:val="20"/>
          <w:szCs w:val="20"/>
          <w:color w:val="auto"/>
        </w:rPr>
      </w:pPr>
    </w:p>
    <w:p>
      <w:pPr>
        <w:jc w:val="both"/>
        <w:ind w:firstLine="376"/>
        <w:spacing w:after="0" w:line="258" w:lineRule="auto"/>
        <w:rPr>
          <w:sz w:val="20"/>
          <w:szCs w:val="20"/>
          <w:color w:val="auto"/>
        </w:rPr>
      </w:pPr>
      <w:r>
        <w:rPr>
          <w:rFonts w:ascii="Arial" w:cs="Arial" w:eastAsia="Arial" w:hAnsi="Arial"/>
          <w:sz w:val="10"/>
          <w:szCs w:val="10"/>
          <w:color w:val="auto"/>
        </w:rPr>
        <w:t>The information in this Item 7.01 of this Current Report on Form 8-K (including Exhibits 99.1 and 99.2)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0"/>
          <w:szCs w:val="10"/>
          <w:color w:val="auto"/>
        </w:rPr>
        <w:t>The text included with this Item 7.01 of this Current Report on Form 8-K will be available on our website located at www.life360.com, although we reserve the right to discontinue that availability at any time.</w:t>
      </w: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Item 9.01 Financial Statements and Exhibits.</w:t>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740" w:type="dxa"/>
            <w:vAlign w:val="bottom"/>
            <w:gridSpan w:val="2"/>
          </w:tcPr>
          <w:p>
            <w:pPr>
              <w:spacing w:after="0"/>
              <w:rPr>
                <w:sz w:val="20"/>
                <w:szCs w:val="20"/>
                <w:color w:val="auto"/>
              </w:rPr>
            </w:pPr>
            <w:r>
              <w:rPr>
                <w:rFonts w:ascii="Arial" w:cs="Arial" w:eastAsia="Arial" w:hAnsi="Arial"/>
                <w:sz w:val="9"/>
                <w:szCs w:val="9"/>
                <w:b w:val="1"/>
                <w:bCs w:val="1"/>
                <w:color w:val="auto"/>
              </w:rPr>
              <w:t>Exhibit No.</w:t>
            </w:r>
          </w:p>
        </w:tc>
        <w:tc>
          <w:tcPr>
            <w:tcW w:w="5200" w:type="dxa"/>
            <w:vAlign w:val="bottom"/>
            <w:gridSpan w:val="4"/>
          </w:tcPr>
          <w:p>
            <w:pPr>
              <w:ind w:left="280"/>
              <w:spacing w:after="0"/>
              <w:rPr>
                <w:sz w:val="20"/>
                <w:szCs w:val="20"/>
                <w:color w:val="auto"/>
              </w:rPr>
            </w:pPr>
            <w:r>
              <w:rPr>
                <w:rFonts w:ascii="Arial" w:cs="Arial" w:eastAsia="Arial" w:hAnsi="Arial"/>
                <w:sz w:val="9"/>
                <w:szCs w:val="9"/>
                <w:b w:val="1"/>
                <w:bCs w:val="1"/>
                <w:color w:val="auto"/>
              </w:rPr>
              <w:t>Description</w:t>
            </w:r>
          </w:p>
        </w:tc>
      </w:tr>
      <w:tr>
        <w:trPr>
          <w:trHeight w:val="140"/>
        </w:trPr>
        <w:tc>
          <w:tcPr>
            <w:tcW w:w="200" w:type="dxa"/>
            <w:vAlign w:val="bottom"/>
          </w:tcPr>
          <w:p>
            <w:pPr>
              <w:spacing w:after="0"/>
              <w:rPr>
                <w:rFonts w:ascii="Arial" w:cs="Arial" w:eastAsia="Arial" w:hAnsi="Arial"/>
                <w:sz w:val="10"/>
                <w:szCs w:val="10"/>
                <w:color w:val="0000FF"/>
                <w:w w:val="92"/>
              </w:rPr>
            </w:pPr>
            <w:hyperlink w:anchor="page1">
              <w:r>
                <w:rPr>
                  <w:rFonts w:ascii="Arial" w:cs="Arial" w:eastAsia="Arial" w:hAnsi="Arial"/>
                  <w:sz w:val="10"/>
                  <w:szCs w:val="10"/>
                  <w:color w:val="0000FF"/>
                  <w:w w:val="92"/>
                </w:rPr>
                <w:t>99.</w:t>
              </w:r>
              <w:r>
                <w:rPr>
                  <w:rFonts w:ascii="Arial" w:cs="Arial" w:eastAsia="Arial" w:hAnsi="Arial"/>
                  <w:sz w:val="10"/>
                  <w:szCs w:val="10"/>
                  <w:u w:val="single" w:color="auto"/>
                  <w:color w:val="0000FF"/>
                  <w:w w:val="92"/>
                </w:rPr>
                <w:t>1</w:t>
              </w:r>
            </w:hyperlink>
          </w:p>
        </w:tc>
        <w:tc>
          <w:tcPr>
            <w:tcW w:w="540" w:type="dxa"/>
            <w:vAlign w:val="bottom"/>
          </w:tcPr>
          <w:p>
            <w:pPr>
              <w:spacing w:after="0"/>
              <w:rPr>
                <w:sz w:val="12"/>
                <w:szCs w:val="12"/>
                <w:color w:val="auto"/>
              </w:rPr>
            </w:pPr>
          </w:p>
        </w:tc>
        <w:tc>
          <w:tcPr>
            <w:tcW w:w="5200" w:type="dxa"/>
            <w:vAlign w:val="bottom"/>
            <w:gridSpan w:val="4"/>
          </w:tcPr>
          <w:p>
            <w:pPr>
              <w:ind w:left="280"/>
              <w:spacing w:after="0"/>
              <w:rPr>
                <w:rFonts w:ascii="Arial" w:cs="Arial" w:eastAsia="Arial" w:hAnsi="Arial"/>
                <w:sz w:val="10"/>
                <w:szCs w:val="10"/>
                <w:color w:val="0000FF"/>
              </w:rPr>
            </w:pPr>
            <w:hyperlink w:anchor="page1">
              <w:r>
                <w:rPr>
                  <w:rFonts w:ascii="Arial" w:cs="Arial" w:eastAsia="Arial" w:hAnsi="Arial"/>
                  <w:sz w:val="10"/>
                  <w:szCs w:val="10"/>
                  <w:color w:val="0000FF"/>
                </w:rPr>
                <w:t>Life360, Inc. Annual Meeting Presentation</w:t>
              </w:r>
            </w:hyperlink>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44"/>
        </w:trPr>
        <w:tc>
          <w:tcPr>
            <w:tcW w:w="200" w:type="dxa"/>
            <w:vAlign w:val="bottom"/>
          </w:tcPr>
          <w:p>
            <w:pPr>
              <w:spacing w:after="0"/>
              <w:rPr>
                <w:rFonts w:ascii="Arial" w:cs="Arial" w:eastAsia="Arial" w:hAnsi="Arial"/>
                <w:sz w:val="10"/>
                <w:szCs w:val="10"/>
                <w:color w:val="0000FF"/>
                <w:w w:val="92"/>
              </w:rPr>
            </w:pPr>
            <w:hyperlink w:anchor="page1">
              <w:r>
                <w:rPr>
                  <w:rFonts w:ascii="Arial" w:cs="Arial" w:eastAsia="Arial" w:hAnsi="Arial"/>
                  <w:sz w:val="10"/>
                  <w:szCs w:val="10"/>
                  <w:color w:val="0000FF"/>
                  <w:w w:val="92"/>
                </w:rPr>
                <w:t>99.</w:t>
              </w:r>
              <w:r>
                <w:rPr>
                  <w:rFonts w:ascii="Arial" w:cs="Arial" w:eastAsia="Arial" w:hAnsi="Arial"/>
                  <w:sz w:val="10"/>
                  <w:szCs w:val="10"/>
                  <w:u w:val="single" w:color="auto"/>
                  <w:color w:val="0000FF"/>
                  <w:w w:val="92"/>
                </w:rPr>
                <w:t>2</w:t>
              </w:r>
            </w:hyperlink>
          </w:p>
        </w:tc>
        <w:tc>
          <w:tcPr>
            <w:tcW w:w="540" w:type="dxa"/>
            <w:vAlign w:val="bottom"/>
          </w:tcPr>
          <w:p>
            <w:pPr>
              <w:spacing w:after="0"/>
              <w:rPr>
                <w:sz w:val="12"/>
                <w:szCs w:val="12"/>
                <w:color w:val="auto"/>
              </w:rPr>
            </w:pPr>
          </w:p>
        </w:tc>
        <w:tc>
          <w:tcPr>
            <w:tcW w:w="5200" w:type="dxa"/>
            <w:vAlign w:val="bottom"/>
            <w:gridSpan w:val="4"/>
          </w:tcPr>
          <w:p>
            <w:pPr>
              <w:ind w:left="280"/>
              <w:spacing w:after="0"/>
              <w:rPr>
                <w:rFonts w:ascii="Arial" w:cs="Arial" w:eastAsia="Arial" w:hAnsi="Arial"/>
                <w:sz w:val="10"/>
                <w:szCs w:val="10"/>
                <w:color w:val="0000FF"/>
              </w:rPr>
            </w:pPr>
            <w:hyperlink w:anchor="page1">
              <w:r>
                <w:rPr>
                  <w:rFonts w:ascii="Arial" w:cs="Arial" w:eastAsia="Arial" w:hAnsi="Arial"/>
                  <w:sz w:val="10"/>
                  <w:szCs w:val="10"/>
                  <w:color w:val="0000FF"/>
                </w:rPr>
                <w:t>Life360, Inc. Annual Meeting Script</w:t>
              </w:r>
            </w:hyperlink>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67"/>
        </w:trPr>
        <w:tc>
          <w:tcPr>
            <w:tcW w:w="200" w:type="dxa"/>
            <w:vAlign w:val="bottom"/>
          </w:tcPr>
          <w:p>
            <w:pPr>
              <w:spacing w:after="0"/>
              <w:rPr>
                <w:sz w:val="20"/>
                <w:szCs w:val="20"/>
                <w:color w:val="auto"/>
              </w:rPr>
            </w:pPr>
            <w:r>
              <w:rPr>
                <w:rFonts w:ascii="Arial" w:cs="Arial" w:eastAsia="Arial" w:hAnsi="Arial"/>
                <w:sz w:val="10"/>
                <w:szCs w:val="10"/>
                <w:color w:val="auto"/>
              </w:rPr>
              <w:t>104</w:t>
            </w:r>
          </w:p>
        </w:tc>
        <w:tc>
          <w:tcPr>
            <w:tcW w:w="540" w:type="dxa"/>
            <w:vAlign w:val="bottom"/>
          </w:tcPr>
          <w:p>
            <w:pPr>
              <w:spacing w:after="0"/>
              <w:rPr>
                <w:sz w:val="14"/>
                <w:szCs w:val="14"/>
                <w:color w:val="auto"/>
              </w:rPr>
            </w:pPr>
          </w:p>
        </w:tc>
        <w:tc>
          <w:tcPr>
            <w:tcW w:w="5200" w:type="dxa"/>
            <w:vAlign w:val="bottom"/>
            <w:gridSpan w:val="4"/>
          </w:tcPr>
          <w:p>
            <w:pPr>
              <w:ind w:left="280"/>
              <w:spacing w:after="0"/>
              <w:rPr>
                <w:sz w:val="20"/>
                <w:szCs w:val="20"/>
                <w:color w:val="auto"/>
              </w:rPr>
            </w:pPr>
            <w:r>
              <w:rPr>
                <w:rFonts w:ascii="Arial" w:cs="Arial" w:eastAsia="Arial" w:hAnsi="Arial"/>
                <w:sz w:val="10"/>
                <w:szCs w:val="10"/>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SIGNATURES</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10"/>
          <w:szCs w:val="10"/>
          <w:b w:val="1"/>
          <w:bCs w:val="1"/>
          <w:color w:val="auto"/>
        </w:rPr>
        <w:t>LIFE360, INC.</w:t>
      </w:r>
    </w:p>
    <w:p>
      <w:pPr>
        <w:spacing w:after="0" w:line="165" w:lineRule="exact"/>
        <w:rPr>
          <w:sz w:val="20"/>
          <w:szCs w:val="20"/>
          <w:color w:val="auto"/>
        </w:rPr>
      </w:pPr>
    </w:p>
    <w:p>
      <w:pPr>
        <w:spacing w:after="0"/>
        <w:tabs>
          <w:tab w:leader="none" w:pos="940" w:val="left"/>
          <w:tab w:leader="none" w:pos="4880" w:val="left"/>
          <w:tab w:leader="none" w:pos="5440" w:val="left"/>
        </w:tabs>
        <w:rPr>
          <w:sz w:val="20"/>
          <w:szCs w:val="20"/>
          <w:color w:val="auto"/>
        </w:rPr>
      </w:pPr>
      <w:r>
        <w:rPr>
          <w:rFonts w:ascii="Arial" w:cs="Arial" w:eastAsia="Arial" w:hAnsi="Arial"/>
          <w:sz w:val="10"/>
          <w:szCs w:val="10"/>
          <w:color w:val="auto"/>
        </w:rPr>
        <w:t>Dated:</w:t>
      </w:r>
      <w:r>
        <w:rPr>
          <w:sz w:val="20"/>
          <w:szCs w:val="20"/>
          <w:color w:val="auto"/>
        </w:rPr>
        <w:tab/>
      </w:r>
      <w:r>
        <w:rPr>
          <w:rFonts w:ascii="Arial" w:cs="Arial" w:eastAsia="Arial" w:hAnsi="Arial"/>
          <w:sz w:val="10"/>
          <w:szCs w:val="10"/>
          <w:color w:val="auto"/>
        </w:rPr>
        <w:t>June 1, 2023</w:t>
      </w:r>
      <w:r>
        <w:rPr>
          <w:sz w:val="20"/>
          <w:szCs w:val="20"/>
          <w:color w:val="auto"/>
        </w:rPr>
        <w:tab/>
      </w:r>
      <w:r>
        <w:rPr>
          <w:rFonts w:ascii="Arial" w:cs="Arial" w:eastAsia="Arial" w:hAnsi="Arial"/>
          <w:sz w:val="10"/>
          <w:szCs w:val="10"/>
          <w:color w:val="auto"/>
        </w:rPr>
        <w:t>By:</w:t>
      </w:r>
      <w:r>
        <w:rPr>
          <w:sz w:val="20"/>
          <w:szCs w:val="20"/>
          <w:color w:val="auto"/>
        </w:rPr>
        <w:tab/>
      </w:r>
      <w:r>
        <w:rPr>
          <w:rFonts w:ascii="Arial" w:cs="Arial" w:eastAsia="Arial" w:hAnsi="Arial"/>
          <w:sz w:val="10"/>
          <w:szCs w:val="10"/>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8890</wp:posOffset>
            </wp:positionV>
            <wp:extent cx="3282950" cy="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82950" cy="5080"/>
                    </a:xfrm>
                    <a:prstGeom prst="rect">
                      <a:avLst/>
                    </a:prstGeom>
                    <a:noFill/>
                  </pic:spPr>
                </pic:pic>
              </a:graphicData>
            </a:graphic>
          </wp:anchor>
        </w:drawing>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0"/>
          <w:szCs w:val="10"/>
          <w:color w:val="auto"/>
        </w:rPr>
        <w:t>Russell Burke</w:t>
      </w:r>
    </w:p>
    <w:p>
      <w:pPr>
        <w:spacing w:after="0" w:line="65" w:lineRule="exact"/>
        <w:rPr>
          <w:sz w:val="20"/>
          <w:szCs w:val="20"/>
          <w:color w:val="auto"/>
        </w:rPr>
      </w:pPr>
    </w:p>
    <w:p>
      <w:pPr>
        <w:ind w:left="5460"/>
        <w:spacing w:after="0"/>
        <w:rPr>
          <w:sz w:val="20"/>
          <w:szCs w:val="20"/>
          <w:color w:val="auto"/>
        </w:rPr>
      </w:pPr>
      <w:r>
        <w:rPr>
          <w:rFonts w:ascii="Arial" w:cs="Arial" w:eastAsia="Arial" w:hAnsi="Arial"/>
          <w:sz w:val="10"/>
          <w:szCs w:val="10"/>
          <w:color w:val="auto"/>
        </w:rPr>
        <w:t>Chief Financial Officer</w:t>
      </w:r>
    </w:p>
    <w:p>
      <w:pPr>
        <w:sectPr>
          <w:pgSz w:w="11900" w:h="16840" w:orient="portrait"/>
          <w:cols w:equalWidth="0" w:num="1">
            <w:col w:w="10620"/>
          </w:cols>
          <w:pgMar w:left="640" w:top="1029" w:right="6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521335</wp:posOffset>
            </wp:positionV>
            <wp:extent cx="6789420" cy="2954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64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9420" cy="29648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64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9420" cy="29648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401955</wp:posOffset>
            </wp:positionH>
            <wp:positionV relativeFrom="page">
              <wp:posOffset>615315</wp:posOffset>
            </wp:positionV>
            <wp:extent cx="6789420" cy="2954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89420" cy="295465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1376680</wp:posOffset>
            </wp:positionH>
            <wp:positionV relativeFrom="page">
              <wp:posOffset>521335</wp:posOffset>
            </wp:positionV>
            <wp:extent cx="4794885" cy="6899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94885"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1376680</wp:posOffset>
            </wp:positionH>
            <wp:positionV relativeFrom="page">
              <wp:posOffset>615315</wp:posOffset>
            </wp:positionV>
            <wp:extent cx="4794885" cy="6899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94885"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1376680</wp:posOffset>
            </wp:positionH>
            <wp:positionV relativeFrom="page">
              <wp:posOffset>615315</wp:posOffset>
            </wp:positionV>
            <wp:extent cx="4794885" cy="6899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94885"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1376680</wp:posOffset>
            </wp:positionH>
            <wp:positionV relativeFrom="page">
              <wp:posOffset>615315</wp:posOffset>
            </wp:positionV>
            <wp:extent cx="4794885" cy="6899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94885" cy="689927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1376680</wp:posOffset>
            </wp:positionH>
            <wp:positionV relativeFrom="page">
              <wp:posOffset>615315</wp:posOffset>
            </wp:positionV>
            <wp:extent cx="4794885" cy="6889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94885" cy="68891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rPr>
          <w:sz w:val="20"/>
          <w:szCs w:val="20"/>
          <w:color w:val="auto"/>
        </w:rPr>
      </w:pPr>
    </w:p>
    <w:p>
      <w:pPr>
        <w:sectPr>
          <w:pgSz w:w="11900" w:h="16840" w:orient="portrait"/>
          <w:cols w:equalWidth="1" w:num="1" w:space="0"/>
          <w:pgMar w:left="1440" w:top="1440" w:right="1440" w:bottom="875" w:gutter="0" w:footer="0" w:header="0"/>
        </w:sectPr>
      </w:pPr>
    </w:p>
    <w:bookmarkStart w:id="27" w:name="page28"/>
    <w:bookmarkEnd w:id="2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6"/>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1."/>
      <w:numFmt w:val="decimal"/>
      <w:start w:val="10"/>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2023-06-02T18:18:46Z</dcterms:created>
  <dcterms:modified xsi:type="dcterms:W3CDTF">2023-06-02T18:18:46Z</dcterms:modified>
</cp:coreProperties>
</file>