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Antonoff Lauren</w:t>
              </w:r>
            </w:hyperlink>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Life360,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LIF</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tcBorders>
              <w:top w:val="single" w:sz="8" w:color="0000EE"/>
            </w:tcBorders>
          </w:tcPr>
          <w:p>
            <w:pPr>
              <w:spacing w:after="0"/>
              <w:rPr>
                <w:sz w:val="5"/>
                <w:szCs w:val="5"/>
                <w:color w:val="auto"/>
              </w:rPr>
            </w:pPr>
          </w:p>
        </w:tc>
        <w:tc>
          <w:tcPr>
            <w:tcW w:w="2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660" w:type="dxa"/>
            <w:vAlign w:val="bottom"/>
            <w:tcBorders>
              <w:top w:val="single" w:sz="8" w:color="0000EE"/>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164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264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0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LIFE360, INC.</w:t>
            </w:r>
          </w:p>
        </w:tc>
        <w:tc>
          <w:tcPr>
            <w:tcW w:w="1640" w:type="dxa"/>
            <w:vAlign w:val="bottom"/>
          </w:tcPr>
          <w:p>
            <w:pPr>
              <w:spacing w:after="0"/>
              <w:rPr>
                <w:sz w:val="19"/>
                <w:szCs w:val="19"/>
                <w:color w:val="auto"/>
              </w:rPr>
            </w:pPr>
          </w:p>
        </w:tc>
        <w:tc>
          <w:tcPr>
            <w:tcW w:w="126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12/04/2025</w:t>
            </w:r>
          </w:p>
        </w:tc>
        <w:tc>
          <w:tcPr>
            <w:tcW w:w="2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2000" w:type="dxa"/>
            <w:vAlign w:val="bottom"/>
            <w:gridSpan w:val="3"/>
            <w:vMerge w:val="continue"/>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6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1900 SOUTH NORFOLK STREET, SUITE 310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32"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p>
      <w:pPr>
        <w:spacing w:after="0" w:line="213"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SAN MATEO</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94403</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12/04/2025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19,442</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76.244</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305,385</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sold by the Reporting Person to cover tax withholding obligations in connection with the vesting and settlement of previously reported restricted stock units ("RSUs"). The sale was to satisfy tax withholding obligations to be funded by a "sell-to-cover" transaction and does not represent a discretionary transaction by the Reporting Person.</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183,374 RSUs previously granted, each of which represents a contingent right to receive one share of the Issuer's common stock upon vesting.</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Allison Chang, Attorney-</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12/08/2025</w:t>
            </w: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42029" TargetMode="External"/><Relationship Id="rId14"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2025-12-08T16:28:02Z</dcterms:created>
  <dcterms:modified xsi:type="dcterms:W3CDTF">2025-12-08T16:28:02Z</dcterms:modified>
</cp:coreProperties>
</file>