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5786.xml.htm"/>
      <w:bookmarkStart w:id="1" w:name="kswkform4_17873457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Synge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752"/>
        <w:gridCol w:w="119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12,203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13.35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203,224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21,769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8.19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224,993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04/29/2027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21,769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05/20/2028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4,600 RSUs,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common stock and the number of shares of common stock underlying Chess Depositary Interests ("CDIs") as converted on a 1:3 common stock to CDI ratio. The CDIs are traded on the Australian Securities Exchange (the "ASX") and are held by CHESS Depositary Nominees Pty, Limited, a subsidiary of ASX Limited, the company that operates the ASX.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Sood,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2661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698</Words>
  <Characters>3734</Characters>
  <CharactersWithSpaces>4330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