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0699544.xml.htm"/>
      <w:bookmarkStart w:id="1" w:name="kswkform4_17406995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Antonoff Lauren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295,236</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42.88</w:t>
            </w:r>
            <w:r>
              <w:rPr>
                <w:rFonts w:ascii="Times;serif" w:hAnsi="Times;serif"/>
                <w:color w:val="008000"/>
                <w:position w:val="7"/>
                <w:sz w:val="16"/>
                <w:sz w:val="20"/>
                <w:shd w:fill="FFFFFF" w:val="clear"/>
              </w:rPr>
              <w:t>(4)</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293,769</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November 27,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$41.675 to $42.46,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211,672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$42.69 to $43.36,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Chang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form4poaforla.htm"/>
      <w:bookmarkStart w:id="3" w:name="ksform4poaforl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EX-24 Power of Attorney Know all by these presents, that the undersigned hereby makes, constitutes and appoints each of Allison Chang, Jay Sood, Cici Sepehri, and Linh Pham, or either of them signing individually, and with full power of substitution and re-substitution, the undersigned’s true and lawful attorneys-in-fact and agents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a Form ID (including any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 (2) prepare, execute, and submit for and on behalf of the undersigned, in the undersigned’s capacity as an officer, director and/or greater than 10% stockholder of Life360, Inc. (the “Company”), to the SEC, the Company, and/or any national securities exchange on which the Company’s securities are listed or any similar authority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(including any amendments thereto); (3) do and perform any and all acts for and on behalf of the undersigned which may be necessary or desirable to complete and execute any such Forms 3, 4 or 5, Schedules 13D and 13G, and Forms 144 (including any amendments thereto) and timely file such forms with the SEC, the Company and/or any national securities exchange on which the Company’s securities are listed or similar authority; (4)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and (5) 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EX-24 that such Attorney-in-Fact, or such Attorney-in-Fact’s substitute or substitutes, shall lawfully do or cause to be done by virtue of this Power of Attorney and the rights and powers herein granted. The undersigned acknowledges that: (1) this Power of Attorney authorizes, but does not require, the Attorney-in-Fact to act in his or her discretion on information provided to such Attorney-in-Fact without independent verification of such information; (2) any documents prepared or executed by the Attorney-in-Fact on behalf of the undersigned pursuant to this Power of Attorney will be in such form and will contain such information as the Attorney- in-Fact, in his or her discretion, deems necessary or desirable; (3)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(4) the foregoing Attorneys-in-Fact, in serving such capacity at the request of the undersigned, are not assuming, nor is the Company assuming, any of the undersigned’s responsibilities to comply with Sections 13 or 16 of the Exchange Act, including, without limitation, the reporting requirements under Section 13 or Section 16 of the Exchange Act. This Power of Attorney shall remain in full force and effect until the earliest to occur of (a) the undersigned is no longer required to file Forms 3, 4 and 5 or Schedules 13D or 13G or Forms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This Power of Attorney revokes all previous powers of attorney with respect to the subject matter of this Power of Attorney. The undersigned has caused this Power of Attorney to be executed as of February 27, 2025. By: /s/ Lauren Antonoff Name: Lauren Antonoff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202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1686</Words>
  <Characters>8968</Characters>
  <CharactersWithSpaces>10590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form4poaforla</dc:title>
</cp:coreProperties>
</file>