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32" w:lineRule="exact"/>
        <w:rPr>
          <w:sz w:val="24"/>
          <w:szCs w:val="24"/>
          <w:color w:val="auto"/>
        </w:rPr>
      </w:pPr>
    </w:p>
    <w:p>
      <w:pPr>
        <w:ind w:left="4160" w:right="1900" w:hanging="4134"/>
        <w:spacing w:after="0" w:line="349" w:lineRule="auto"/>
        <w:tabs>
          <w:tab w:leader="none" w:pos="54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6" w:lineRule="exact"/>
        <w:rPr>
          <w:sz w:val="24"/>
          <w:szCs w:val="24"/>
          <w:color w:val="auto"/>
        </w:rPr>
      </w:pPr>
    </w:p>
    <w:p>
      <w:pPr>
        <w:ind w:left="3640" w:right="1600" w:hanging="3614"/>
        <w:spacing w:after="0" w:line="552" w:lineRule="auto"/>
        <w:tabs>
          <w:tab w:leader="none" w:pos="47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000-56424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Life360,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1380" w:type="dxa"/>
        <w:tblCellMar>
          <w:top w:w="0" w:type="dxa"/>
          <w:left w:w="0" w:type="dxa"/>
          <w:bottom w:w="0" w:type="dxa"/>
          <w:right w:w="0" w:type="dxa"/>
        </w:tblCellMar>
      </w:tblP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c>
          <w:tcPr>
            <w:tcW w:w="3100" w:type="dxa"/>
            <w:vAlign w:val="bottom"/>
          </w:tcPr>
          <w:p>
            <w:pPr>
              <w:spacing w:after="0"/>
              <w:rPr>
                <w:sz w:val="24"/>
                <w:szCs w:val="24"/>
                <w:color w:val="auto"/>
              </w:rPr>
            </w:pPr>
          </w:p>
        </w:tc>
      </w:tr>
      <w:tr>
        <w:trPr>
          <w:trHeight w:val="26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San Mateo, CA</w:t>
            </w:r>
          </w:p>
        </w:tc>
        <w:tc>
          <w:tcPr>
            <w:tcW w:w="3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94403</w:t>
            </w:r>
          </w:p>
        </w:tc>
      </w:tr>
      <w:tr>
        <w:trPr>
          <w:trHeight w:val="248"/>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w:t>
      </w:r>
      <w:r>
        <w:rPr>
          <w:rFonts w:ascii="Times New Roman" w:cs="Times New Roman" w:eastAsia="Times New Roman" w:hAnsi="Times New Roman"/>
          <w:sz w:val="18"/>
          <w:szCs w:val="18"/>
          <w:color w:val="auto"/>
        </w:rPr>
        <w:t>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484-5244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 xml:space="preserve">Former Address: </w:t>
      </w:r>
      <w:r>
        <w:rPr>
          <w:rFonts w:ascii="Times New Roman" w:cs="Times New Roman" w:eastAsia="Times New Roman" w:hAnsi="Times New Roman"/>
          <w:sz w:val="18"/>
          <w:szCs w:val="18"/>
          <w:color w:val="auto"/>
        </w:rPr>
        <w:t>539 Bryant Street, Suite 402, San Francisco, CA 94107</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 as amended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None.</w:t>
            </w:r>
          </w:p>
        </w:tc>
        <w:tc>
          <w:tcPr>
            <w:tcW w:w="2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None.</w:t>
            </w:r>
          </w:p>
        </w:tc>
        <w:tc>
          <w:tcPr>
            <w:tcW w:w="1880" w:type="dxa"/>
            <w:vAlign w:val="bottom"/>
            <w:tcBorders>
              <w:bottom w:val="single" w:sz="8" w:color="auto"/>
              <w:right w:val="single" w:sz="8" w:color="auto"/>
            </w:tcBorders>
          </w:tcPr>
          <w:p>
            <w:pPr>
              <w:spacing w:after="0"/>
              <w:rPr>
                <w:sz w:val="19"/>
                <w:szCs w:val="19"/>
                <w:color w:val="auto"/>
              </w:rPr>
            </w:pPr>
          </w:p>
        </w:tc>
      </w:tr>
      <w:tr>
        <w:trPr>
          <w:trHeight w:val="480"/>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Common Stock, par value $0.001 per share</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32"/>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Yes</w:t>
            </w:r>
          </w:p>
        </w:tc>
        <w:tc>
          <w:tcPr>
            <w:tcW w:w="320" w:type="dxa"/>
            <w:vAlign w:val="bottom"/>
          </w:tcPr>
          <w:p>
            <w:pPr>
              <w:jc w:val="center"/>
              <w:spacing w:after="0"/>
              <w:rPr>
                <w:sz w:val="20"/>
                <w:szCs w:val="20"/>
                <w:color w:val="auto"/>
              </w:rPr>
            </w:pPr>
            <w:r>
              <w:rPr>
                <w:rFonts w:ascii="Wingdings" w:cs="Wingdings" w:eastAsia="Wingdings" w:hAnsi="Wingdings"/>
                <w:sz w:val="18"/>
                <w:szCs w:val="18"/>
                <w:b w:val="1"/>
                <w:bCs w:val="1"/>
                <w:color w:val="auto"/>
              </w:rPr>
              <w:t>o</w:t>
            </w:r>
          </w:p>
        </w:tc>
        <w:tc>
          <w:tcPr>
            <w:tcW w:w="1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tc>
      </w:tr>
      <w:tr>
        <w:trPr>
          <w:trHeight w:val="37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w:t>
            </w:r>
          </w:p>
        </w:tc>
        <w:tc>
          <w:tcPr>
            <w:tcW w:w="420" w:type="dxa"/>
            <w:vAlign w:val="bottom"/>
          </w:tcPr>
          <w:p>
            <w:pPr>
              <w:ind w:left="80"/>
              <w:spacing w:after="0"/>
              <w:rPr>
                <w:sz w:val="20"/>
                <w:szCs w:val="20"/>
                <w:color w:val="auto"/>
              </w:rPr>
            </w:pPr>
            <w:r>
              <w:rPr>
                <w:rFonts w:ascii="Wingdings" w:cs="Wingdings" w:eastAsia="Wingdings" w:hAnsi="Wingdings"/>
                <w:sz w:val="18"/>
                <w:szCs w:val="18"/>
                <w:b w:val="1"/>
                <w:bCs w:val="1"/>
                <w:color w:val="auto"/>
              </w:rPr>
              <w:t>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80" w:type="dxa"/>
            <w:vAlign w:val="bottom"/>
          </w:tcPr>
          <w:p>
            <w:pPr>
              <w:ind w:left="40"/>
              <w:spacing w:after="0"/>
              <w:rPr>
                <w:sz w:val="20"/>
                <w:szCs w:val="20"/>
                <w:color w:val="auto"/>
              </w:rPr>
            </w:pPr>
            <w:r>
              <w:rPr>
                <w:rFonts w:ascii="Wingdings" w:cs="Wingdings" w:eastAsia="Wingdings" w:hAnsi="Wingdings"/>
                <w:sz w:val="18"/>
                <w:szCs w:val="18"/>
                <w:b w:val="1"/>
                <w:bCs w:val="1"/>
                <w:color w:val="auto"/>
              </w:rPr>
              <w:t>x</w:t>
            </w:r>
          </w:p>
        </w:tc>
      </w:tr>
    </w:tbl>
    <w:p>
      <w:pPr>
        <w:spacing w:after="0" w:line="40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87" w:orient="portrait"/>
          <w:cols w:equalWidth="0" w:num="1">
            <w:col w:w="11240"/>
          </w:cols>
          <w:pgMar w:left="320" w:top="1334" w:right="339" w:bottom="0" w:gutter="0" w:footer="0" w:header="0"/>
        </w:sectPr>
      </w:pPr>
    </w:p>
    <w:p>
      <w:pPr>
        <w:spacing w:after="0" w:line="176" w:lineRule="exact"/>
        <w:rPr>
          <w:sz w:val="24"/>
          <w:szCs w:val="24"/>
          <w:color w:val="auto"/>
        </w:rPr>
      </w:pPr>
    </w:p>
    <w:p>
      <w:pPr>
        <w:ind w:left="20"/>
        <w:spacing w:after="0" w:line="268"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30"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18" w:lineRule="exact"/>
        <w:rPr>
          <w:sz w:val="24"/>
          <w:szCs w:val="24"/>
          <w:color w:val="auto"/>
        </w:rPr>
      </w:pPr>
    </w:p>
    <w:p>
      <w:pPr>
        <w:sectPr>
          <w:pgSz w:w="11900" w:h="16887" w:orient="portrait"/>
          <w:cols w:equalWidth="0" w:num="5">
            <w:col w:w="1640" w:space="520"/>
            <w:col w:w="180" w:space="40"/>
            <w:col w:w="1460" w:space="720"/>
            <w:col w:w="2100" w:space="720"/>
            <w:col w:w="3860"/>
          </w:cols>
          <w:pgMar w:left="320" w:top="1334"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15" w:lineRule="exact"/>
        <w:rPr>
          <w:sz w:val="24"/>
          <w:szCs w:val="24"/>
          <w:color w:val="auto"/>
        </w:rPr>
      </w:pPr>
    </w:p>
    <w:p>
      <w:pPr>
        <w:sectPr>
          <w:pgSz w:w="11900" w:h="16887" w:orient="portrait"/>
          <w:cols w:equalWidth="0" w:num="2">
            <w:col w:w="2000" w:space="160"/>
            <w:col w:w="9080"/>
          </w:cols>
          <w:pgMar w:left="320" w:top="1334" w:right="339" w:bottom="0" w:gutter="0" w:footer="0" w:header="0"/>
          <w:type w:val="continuous"/>
        </w:sectPr>
      </w:pPr>
    </w:p>
    <w:p>
      <w:pPr>
        <w:spacing w:after="0" w:line="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87" w:orient="portrait"/>
          <w:cols w:equalWidth="0" w:num="1">
            <w:col w:w="11240"/>
          </w:cols>
          <w:pgMar w:left="320" w:top="1334" w:right="339" w:bottom="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w:t>
      </w:r>
      <w:r>
        <w:rPr>
          <w:rFonts w:ascii="Times New Roman" w:cs="Times New Roman" w:eastAsia="Times New Roman" w:hAnsi="Times New Roman"/>
          <w:sz w:val="14"/>
          <w:szCs w:val="14"/>
          <w:color w:val="auto"/>
        </w:rPr>
        <w:t>t.</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o</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89" w:lineRule="exact"/>
        <w:rPr>
          <w:sz w:val="20"/>
          <w:szCs w:val="20"/>
          <w:color w:val="auto"/>
        </w:rPr>
      </w:pPr>
    </w:p>
    <w:p>
      <w:pPr>
        <w:spacing w:after="0"/>
        <w:tabs>
          <w:tab w:leader="none" w:pos="8380" w:val="left"/>
          <w:tab w:leader="none" w:pos="91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was $322 million, based on the closing price per share of the Registrant’s common stock on the Australian Securities Exchange (“ASX”) and the daily exchange rate as reported by Tullett Prebon for conversion of Australian dollars into U.S. dollars on June 30, 2022.</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10, 2023, the registrant had 66,267,307 shares of common stock, par value $0.001 per share, including shares underlying all issued and outstanding Chess Depositary Interests (“CDIs”), outstanding.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definitive proxy statement for the 2023 Annual Meeting of Stockholders of the Registrant (the “Proxy Statement”), are incorporated by reference into Part III of this Annual Report on Form 10-K. The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286"/>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9"/>
          </w:tcPr>
          <w:p>
            <w:pPr>
              <w:jc w:val="center"/>
              <w:ind w:right="4120"/>
              <w:spacing w:after="0"/>
              <w:rPr>
                <w:sz w:val="20"/>
                <w:szCs w:val="20"/>
                <w:color w:val="auto"/>
              </w:rPr>
            </w:pPr>
            <w:r>
              <w:rPr>
                <w:rFonts w:ascii="Times New Roman" w:cs="Times New Roman" w:eastAsia="Times New Roman" w:hAnsi="Times New Roman"/>
                <w:sz w:val="22"/>
                <w:szCs w:val="22"/>
                <w:b w:val="1"/>
                <w:bCs w:val="1"/>
                <w:color w:val="auto"/>
                <w:w w:val="98"/>
              </w:rPr>
              <w:t>Life360, Inc.</w:t>
            </w:r>
          </w:p>
        </w:tc>
        <w:tc>
          <w:tcPr>
            <w:tcW w:w="74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60" w:type="dxa"/>
            <w:vAlign w:val="bottom"/>
            <w:gridSpan w:val="18"/>
          </w:tcPr>
          <w:p>
            <w:pPr>
              <w:jc w:val="center"/>
              <w:ind w:right="1700"/>
              <w:spacing w:after="0"/>
              <w:rPr>
                <w:sz w:val="20"/>
                <w:szCs w:val="20"/>
                <w:color w:val="auto"/>
              </w:rPr>
            </w:pPr>
            <w:r>
              <w:rPr>
                <w:rFonts w:ascii="Times New Roman" w:cs="Times New Roman" w:eastAsia="Times New Roman" w:hAnsi="Times New Roman"/>
                <w:sz w:val="22"/>
                <w:szCs w:val="22"/>
                <w:b w:val="1"/>
                <w:bCs w:val="1"/>
                <w:color w:val="auto"/>
                <w:w w:val="97"/>
              </w:rPr>
              <w:t>Annual Report on Form 10-K for the Year Ended December 31, 2022</w:t>
            </w:r>
          </w:p>
        </w:tc>
        <w:tc>
          <w:tcPr>
            <w:tcW w:w="74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0" w:type="dxa"/>
            <w:vAlign w:val="bottom"/>
            <w:gridSpan w:val="10"/>
          </w:tcPr>
          <w:p>
            <w:pPr>
              <w:jc w:val="center"/>
              <w:ind w:right="394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740" w:type="dxa"/>
            <w:vAlign w:val="bottom"/>
          </w:tcPr>
          <w:p>
            <w:pPr>
              <w:spacing w:after="0"/>
              <w:rPr>
                <w:sz w:val="24"/>
                <w:szCs w:val="24"/>
                <w:color w:val="auto"/>
              </w:rPr>
            </w:pPr>
          </w:p>
        </w:tc>
      </w:tr>
      <w:tr>
        <w:trPr>
          <w:trHeight w:val="29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5"/>
        </w:trPr>
        <w:tc>
          <w:tcPr>
            <w:tcW w:w="10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07"/>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9"/>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0" w:type="dxa"/>
            <w:vAlign w:val="bottom"/>
          </w:tcPr>
          <w:p>
            <w:pPr>
              <w:spacing w:after="0"/>
              <w:rPr>
                <w:sz w:val="24"/>
                <w:szCs w:val="24"/>
                <w:color w:val="auto"/>
              </w:rPr>
            </w:pPr>
          </w:p>
        </w:tc>
      </w:tr>
      <w:tr>
        <w:trPr>
          <w:trHeight w:val="243"/>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8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800" w:type="dxa"/>
            <w:vAlign w:val="bottom"/>
          </w:tcPr>
          <w:p>
            <w:pPr>
              <w:spacing w:after="0"/>
              <w:rPr>
                <w:sz w:val="18"/>
                <w:szCs w:val="18"/>
                <w:color w:val="auto"/>
              </w:rPr>
            </w:pP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920" w:type="dxa"/>
            <w:vAlign w:val="bottom"/>
            <w:gridSpan w:val="12"/>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507"/>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9"/>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740" w:type="dxa"/>
            <w:vAlign w:val="bottom"/>
          </w:tcPr>
          <w:p>
            <w:pPr>
              <w:spacing w:after="0"/>
              <w:rPr>
                <w:sz w:val="24"/>
                <w:szCs w:val="24"/>
                <w:color w:val="auto"/>
              </w:rPr>
            </w:pPr>
          </w:p>
        </w:tc>
      </w:tr>
      <w:tr>
        <w:trPr>
          <w:trHeight w:val="243"/>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820" w:type="dxa"/>
            <w:vAlign w:val="bottom"/>
            <w:gridSpan w:val="2"/>
          </w:tcPr>
          <w:p>
            <w:pPr>
              <w:spacing w:after="0"/>
              <w:rPr>
                <w:sz w:val="18"/>
                <w:szCs w:val="18"/>
                <w:color w:val="auto"/>
              </w:rPr>
            </w:pP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8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800" w:type="dxa"/>
            <w:vAlign w:val="bottom"/>
          </w:tcPr>
          <w:p>
            <w:pPr>
              <w:spacing w:after="0"/>
              <w:rPr>
                <w:sz w:val="18"/>
                <w:szCs w:val="18"/>
                <w:color w:val="auto"/>
              </w:rPr>
            </w:pPr>
          </w:p>
        </w:tc>
        <w:tc>
          <w:tcPr>
            <w:tcW w:w="43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60" w:type="dxa"/>
            <w:vAlign w:val="bottom"/>
            <w:gridSpan w:val="7"/>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800" w:type="dxa"/>
            <w:vAlign w:val="bottom"/>
          </w:tcPr>
          <w:p>
            <w:pPr>
              <w:spacing w:after="0"/>
              <w:rPr>
                <w:sz w:val="18"/>
                <w:szCs w:val="18"/>
                <w:color w:val="auto"/>
              </w:rPr>
            </w:pPr>
          </w:p>
        </w:tc>
        <w:tc>
          <w:tcPr>
            <w:tcW w:w="1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140" w:type="dxa"/>
            <w:vAlign w:val="bottom"/>
            <w:gridSpan w:val="13"/>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9"/>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9B.</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9C.</w:t>
            </w: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507"/>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6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800" w:type="dxa"/>
            <w:vAlign w:val="bottom"/>
          </w:tcPr>
          <w:p>
            <w:pPr>
              <w:spacing w:after="0"/>
              <w:rPr>
                <w:sz w:val="21"/>
                <w:szCs w:val="21"/>
                <w:color w:val="auto"/>
              </w:rPr>
            </w:pPr>
          </w:p>
        </w:tc>
        <w:tc>
          <w:tcPr>
            <w:tcW w:w="4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8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8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800" w:type="dxa"/>
            <w:vAlign w:val="bottom"/>
          </w:tcPr>
          <w:p>
            <w:pPr>
              <w:spacing w:after="0"/>
              <w:rPr>
                <w:sz w:val="18"/>
                <w:szCs w:val="18"/>
                <w:color w:val="auto"/>
              </w:rPr>
            </w:pPr>
          </w:p>
        </w:tc>
        <w:tc>
          <w:tcPr>
            <w:tcW w:w="72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800" w:type="dxa"/>
            <w:vAlign w:val="bottom"/>
          </w:tcPr>
          <w:p>
            <w:pPr>
              <w:spacing w:after="0"/>
              <w:rPr>
                <w:sz w:val="18"/>
                <w:szCs w:val="18"/>
                <w:color w:val="auto"/>
              </w:rPr>
            </w:pPr>
          </w:p>
        </w:tc>
        <w:tc>
          <w:tcPr>
            <w:tcW w:w="5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20" w:type="dxa"/>
            <w:vAlign w:val="bottom"/>
            <w:gridSpan w:val="5"/>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507"/>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9"/>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740" w:type="dxa"/>
            <w:vAlign w:val="bottom"/>
          </w:tcPr>
          <w:p>
            <w:pPr>
              <w:spacing w:after="0"/>
              <w:rPr>
                <w:sz w:val="24"/>
                <w:szCs w:val="24"/>
                <w:color w:val="auto"/>
              </w:rPr>
            </w:pPr>
          </w:p>
        </w:tc>
      </w:tr>
      <w:tr>
        <w:trPr>
          <w:trHeight w:val="243"/>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800" w:type="dxa"/>
            <w:vAlign w:val="bottom"/>
          </w:tcPr>
          <w:p>
            <w:pPr>
              <w:spacing w:after="0"/>
              <w:rPr>
                <w:sz w:val="21"/>
                <w:szCs w:val="21"/>
                <w:color w:val="auto"/>
              </w:rPr>
            </w:pPr>
          </w:p>
        </w:tc>
        <w:tc>
          <w:tcPr>
            <w:tcW w:w="3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00" w:type="dxa"/>
            <w:vAlign w:val="bottom"/>
            <w:gridSpan w:val="10"/>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8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3"/>
          </w:tcPr>
          <w:p>
            <w:pPr>
              <w:spacing w:after="0"/>
              <w:rPr>
                <w:sz w:val="18"/>
                <w:szCs w:val="18"/>
                <w:color w:val="auto"/>
              </w:rPr>
            </w:pPr>
          </w:p>
        </w:tc>
        <w:tc>
          <w:tcPr>
            <w:tcW w:w="7420" w:type="dxa"/>
            <w:vAlign w:val="bottom"/>
            <w:gridSpan w:val="16"/>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3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Annual Report on Form 10-K are the property of Life360, Inc. All other trademarks, trade names and service marks appearing in this Annual Report on Form 10-K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that are based on our management’s beliefs and assumptions and on information currently available to our management. Some of the statements under “Risk Factors,” “Management’s Discussion and Analysis of Financial Condition and Results of Operations,” “Business” and elsewhere in this Annual Report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as of the date of this Annual Report and our projections of the future, about which we cannot be certain. Forward-looking statements in this Annual Report include, but are not limited to, statements about:</w:t>
      </w:r>
    </w:p>
    <w:p>
      <w:pPr>
        <w:spacing w:after="0" w:line="183" w:lineRule="exact"/>
        <w:rPr>
          <w:sz w:val="20"/>
          <w:szCs w:val="20"/>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penetrate our existing member base, maintain and expand our member base and increase monetization of our member base;</w:t>
      </w:r>
    </w:p>
    <w:p>
      <w:pPr>
        <w:spacing w:after="0" w:line="63"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financial performance, including our expectations regarding our revenue, cost of revenue, and operating expenses, and our ability to achieve or maintain future profitability;</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 in our industry;</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and business plan and our ability to effectively manage our growth and meet future capital requirements;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and the significance of our global opportunity;</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developments, and challenges in our industry, business and in the markets in which we operate;</w:t>
      </w:r>
    </w:p>
    <w:p>
      <w:pPr>
        <w:spacing w:after="0" w:line="63"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Tile, Inc. (“Tile”) and Jio, Inc. (“Jiobit”), and to expand and diversify our operations through strategic acquisitions and partnerships;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location sharing services, tracking products and digital subscription services;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needs or develop new products and services or enhance existing products and services to meet those needs;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our products and services;</w:t>
      </w:r>
    </w:p>
    <w:p>
      <w:pPr>
        <w:spacing w:after="0" w:line="63"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manufacture our hardware products on reasonable terms, including our ability to continue our relationships with Jabil, Inc. (“Jabil”) on terms similar to our current agreement with Jabil, or at all;</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monetization features and improve on existing features;</w:t>
      </w:r>
    </w:p>
    <w:p>
      <w:pPr>
        <w:spacing w:after="0" w:line="63"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uncertainties with respect to the legal system in the People’s Republic of China (the “PRC”) and in Malaysia, where our primary manufacturer’s facilities are located, and of disruption in the supply chain from Malaysia and the PRC;</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on our results of operations;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 economic downturn or economic uncertainty on consumer discretionary spending and demand for our products and services;</w:t>
      </w:r>
    </w:p>
    <w:p>
      <w:pPr>
        <w:spacing w:after="0" w:line="63"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 including with respect to data privacy and security, consumer protection, location sharing, item tracking, targeting and children’s privacy protections;</w:t>
      </w:r>
    </w:p>
    <w:p>
      <w:pPr>
        <w:spacing w:after="0" w:line="1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skilled personnel, including key members of senior management;</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 and</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succeed in our core mission of simplifying safety for families through ESG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You should refer to the “Item 1A. Risk Factors” 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Annual Report.</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Life360 is a leading technology platform used to locate the people, pets and things that matter most to families. Life360 has created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acquired Jiobit and Tile in September 2021 and January 2022, respectively, to create a comprehensive cross-platform location tracking solution for people, pets and things. Jiobit is a leading platform-agnostic wearable location device for young children, pets and seniors and Tile is a leading cross platform brand in finding objects. The suite of Life360 product and service offerings, including the Life360, Tile and Jiobit mobile applications, and related third-party services (the “Life360 Service”), is system and device agnostic, allowing our products and services to work seamlessly for families, regardless of the different platforms and devices that each family member may elect to use.</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revenue is primarily generated from the sale of subscriptions and hardware tracking devices to access our services across our three brands - Life360, Tile and Jiobit. In addition, a portion of our revenue for the years ended December 31, 2022, 2021, and 2020 was generated indirectly and is categorized as other revenue on our Consolidated Statements of Operations and Comprehensive Loss. Indirect revenue includes the sale of data insights from our member base and the sale of third-party products and services, including through targeted ads within our platform. For example, we generate revenue through the display of auto insurance products within the Life360 Platform.</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years ended December 31, 2022, 2021, and 2020 Life360 generated:</w:t>
      </w:r>
    </w:p>
    <w:p>
      <w:pPr>
        <w:spacing w:after="0" w:line="63" w:lineRule="exact"/>
        <w:rPr>
          <w:sz w:val="20"/>
          <w:szCs w:val="20"/>
          <w:color w:val="auto"/>
        </w:rPr>
      </w:pPr>
    </w:p>
    <w:p>
      <w:pPr>
        <w:ind w:left="740" w:hanging="327"/>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$228.3 million, $112.6 million, and $80.7 million respectively; and</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$91.6 million, $33.6 million, and $16.3 million,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plan to grow members in new and existing markets, increase monetization of our member base, and pursue disciplined expansion in new use cases, including entering new verticals. We also plan to remain a trusted brand and indispensable safety membership for families by continuing to offer a suite of safety services that span every life stage of the family.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members are our best acquisition engine, and we believe that word-of-mouth referrals will continue to drive strong new member growth for Life360. We plan to drive further market penetration through increased investments in marketing and brand awareness, member acquisition initiatives, and the provision of new features in new and existing markets. Our primary strategy for subscriber conversion is to continue to invest in our product offering, provide the highest levels of member service and deepen our engagement with our member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Life360 Subscription Offerings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Life360 mobile application operates under a “freemium” model where the core offering is available to users at no charge. In addition, three paid membership subscription options are available for users looking for a wider variety of features, such as additional safety features for the everyday family: Life360 Silver, Life360 Gold, and Life360 Platinum, which offer users a comprehensive suite of premium safety services. Pricing for the paid memberships of the Life360 Platform currently ranges from $7.99 per month for Life360 Silver to $24.99 per month for Life360 Platinum.</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Memberships are available in the United States and Canada. Outside of these two markets, Life360 offers the free membership and a single paid membership option, which is priced at $4.99 per month in local currency equivalent and offers place alerts, location history and individual driver reports.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Life360 Platform</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currently offer four key product features that combined make up the Life360 Platform: (i) location coordination and safety, (ii) driving safety, (iii) digital safety, and (iv) emergency assistance. Each of these features keeps members connected to the important people in their lives by organizing them into groups (“Circles”). A member selects who to invite to their Circle and what information a Circle, or any individual member within that Circle, receives.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Location coordination and safety features include real-time location, location history and smart notifications such as location-specific alerts, driving alerts, crash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Tile Product Line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Tile branded hardware tracking devices come in various shapes, sizes and price points for different use cases. The Tile network leverages the Life360 member base, generating even higher confidence that we can locate lost devices of Tile customers. Tile devices are sold through online and brick and mortar retail channels as well as directly via Tile.com. Single Tile devices’ recommended retail prices range from $14.99 to $34.99 with additional bundles at higher price points. Tile devices are also available internationally at locally relevant prices.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Tile Subscription Offerings</w:t>
      </w:r>
    </w:p>
    <w:p>
      <w:pPr>
        <w:spacing w:after="0" w:line="1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Tile mobile application offers a free service as well as two paid subscription options: Premium and Premium Protect, which offers additional services such as warranties and item reimbursement.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Jiobit Product Line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Jiobit product line offers wearable location devices for young children, pets, and seniors. Currently, Jiobit is offered exclusively in the United States via online retailers and brick and mortar retail channels. Customers purchase a Jiobit device at the current retail price of $129.99 and a monthly subscription to access Jiobit location tracking services.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Jiobit Subscription Offerings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Jiobit device requires a monthly subscription plan to stay connected to the Jiobit services. Subscription prices vary based on the duration of the contract and range from $8.99 per month with a two-year commitment to $14.99 per month with no commitment. Monthly contracts offer features such as location history, SOS notifications, and access to the Jiobit desktop portal. Paid subscriptions are available for either $8.99 per month or $14.99 per month, depending on the subscription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help families stay connected and safe, we have developed a scalable mobile-first technology platform that supports our business while protecting our operational integrity, security and performance. Highlights of our technology platform include a robust location engine design, scalable and modern technology infrastructure, and seamless third-party integration.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Location Engine Design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designed an end-to-end location technology solution that allows us to deliver real-time location-based experiences and includes functionality such as storage, processing and communication of events, locations, drives, maps, places, networking and visualization of device characteristics for people, pets and things.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utilize third-party services for our backend platform and infrastructure to connect to our apps and custom hardware devices. Using these services grants us access to a highly distributed, scalable, reliable and secure architecture for global delivery.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Integration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extend the features and functionality of our platform, we integrate third-party software into our products where applicable. Our platform seamlessly integrates with our partnership offerings with several software-as-a-service vendors. This enhances our offerings with capabilities and features such as contextual auto insurance ads, identity theft protection, data breach alerts, and voice service integrations. The Tile finding network, which allows Tile users to locate their devices via the Tile app, has been integrated into the Life360 Platform. This integration allows members and Circles to keep track of their things and connect with each other through one seamless Life360 Platform.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our industry is becoming increasingly competitive,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Culture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Life360’s core values are designed to create a culture that supports our vision of an ambitious, professionally driven organization that can simplify safety so families can live fully:</w:t>
      </w:r>
    </w:p>
    <w:p>
      <w:pPr>
        <w:spacing w:after="0" w:line="50" w:lineRule="exact"/>
        <w:rPr>
          <w:sz w:val="20"/>
          <w:szCs w:val="20"/>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 a Good Person. </w:t>
      </w:r>
      <w:r>
        <w:rPr>
          <w:rFonts w:ascii="Times New Roman" w:cs="Times New Roman" w:eastAsia="Times New Roman" w:hAnsi="Times New Roman"/>
          <w:sz w:val="18"/>
          <w:szCs w:val="18"/>
          <w:color w:val="auto"/>
        </w:rPr>
        <w:t>Everyone at Life360 respects each other and maintains a high level of integrity.</w:t>
      </w:r>
    </w:p>
    <w:p>
      <w:pPr>
        <w:spacing w:after="0" w:line="63" w:lineRule="exact"/>
        <w:rPr>
          <w:rFonts w:ascii="Times New Roman" w:cs="Times New Roman" w:eastAsia="Times New Roman" w:hAnsi="Times New Roman"/>
          <w:sz w:val="18"/>
          <w:szCs w:val="18"/>
          <w:color w:val="auto"/>
        </w:rPr>
      </w:pPr>
    </w:p>
    <w:p>
      <w:pPr>
        <w:ind w:left="740" w:right="20" w:hanging="327"/>
        <w:spacing w:after="0" w:line="281"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 Direct with Respect. </w:t>
      </w:r>
      <w:r>
        <w:rPr>
          <w:rFonts w:ascii="Times New Roman" w:cs="Times New Roman" w:eastAsia="Times New Roman" w:hAnsi="Times New Roman"/>
          <w:sz w:val="18"/>
          <w:szCs w:val="18"/>
          <w:color w:val="auto"/>
        </w:rPr>
        <w:t>We communicate directly, even when it’s hard. This is always done in support of the other person’s development,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intentionally inclusive and always respectful.</w:t>
      </w:r>
    </w:p>
    <w:p>
      <w:pPr>
        <w:spacing w:after="0" w:line="1" w:lineRule="exact"/>
        <w:rPr>
          <w:rFonts w:ascii="Times New Roman" w:cs="Times New Roman" w:eastAsia="Times New Roman" w:hAnsi="Times New Roman"/>
          <w:sz w:val="18"/>
          <w:szCs w:val="18"/>
          <w:color w:val="auto"/>
        </w:rPr>
      </w:pPr>
    </w:p>
    <w:p>
      <w:pPr>
        <w:ind w:left="740" w:right="40" w:hanging="327"/>
        <w:spacing w:after="0" w:line="286" w:lineRule="auto"/>
        <w:tabs>
          <w:tab w:leader="none" w:pos="7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Members Over Metrics. </w:t>
      </w:r>
      <w:r>
        <w:rPr>
          <w:rFonts w:ascii="Times New Roman" w:cs="Times New Roman" w:eastAsia="Times New Roman" w:hAnsi="Times New Roman"/>
          <w:sz w:val="18"/>
          <w:szCs w:val="18"/>
          <w:color w:val="auto"/>
        </w:rPr>
        <w:t>We value metrics and use them to influence strategy and measure results, but at our core we always focus on building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exceptional experience for families.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0" w:right="180" w:hanging="327"/>
        <w:spacing w:after="0" w:line="286"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Intensity, High Impact. </w:t>
      </w:r>
      <w:r>
        <w:rPr>
          <w:rFonts w:ascii="Times New Roman" w:cs="Times New Roman" w:eastAsia="Times New Roman" w:hAnsi="Times New Roman"/>
          <w:sz w:val="18"/>
          <w:szCs w:val="18"/>
          <w:color w:val="auto"/>
        </w:rPr>
        <w:t>We do whatever it takes to get the job done. We are in a fast moving and competitive environment and we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is in it to win it.</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2022, we had approximately 400 full-time employees and approximately 200 contractors, all of whom have the flexibility to work remotely or out of our San Mateo and Chicago offices. Life360 aims to provide a work environment in which all of our people can excel regardless of race, religion, age, disability, gender, sexual preference or marital status. Our Diversity Policy reflects a strong commitment to diversity, and a recognition of the value of attracting people with different backgrounds, knowledge, experience and abilities. We believe that diversity contributes to our business success, and benefits all of our stakeholders. As of December 31, 2022, approximately 37% of Life360 employees were female and 49% were people of color. We are committed to implementing further initiatives to increase the diversity of our workforce.</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view the quality of our products and services as our key long-term strategic differentiator, and as such, we are committed to providing continuous learning and development opportunities for our people. We provide peer training, including our standing Thursday “deep-dives” where our people can learn from the expertise of their colleagues. We also provide full day and full week-long courses in “best practices” and broad and specialist business training to further promote personal and professional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core mission is the social good of simplifying safety for families through ESG initiatives based on four key areas: people, environment, community and governance.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different ideas, perspectives and backgrounds create a stronger and more creative work environment that delivers better results. Together, we continue to build an inclusive culture that encourages, supports, and celebrates the diverse voices of our employees. This fuels our innovation and connects us closer to our customers and the communities we serve. We strive to create a workplace that reflects the communities we serve and where everyone feels empowered to bring their authentic best selves to work. Our workplace culture is supported by a range of policies adopted by our Board of Directors (our “Board”) that reflect our beliefs, including a Diversity Policy.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recognize that climate change will have an increasingly significant impact on all aspects of society. In 2021, we committed to quantifying the environmental footprint of our business operations by measuring the following emissions: direct greenhouse emissions that occur from sources that are controlled or owned by us (“Scope 1 Emissions”), indirect greenhouse emissions associated with the purchase of electricity, steam, heat or cooling (“Scope 2 Emissions”) and results of activities from assets not owned or controlled by us, but that indirectly impact our value chain (“Scope 3 Emissions”). By quantifying our impact, we will be able to implement an emission reduction plan that targets the greatest contributors to our carbon footprint.</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achieved carbon neutrality across Scope 1, 2, and 3 Emissions for calendar years 2021 and 2020. We are in the process of finalizing the reporting of Scope 1, 2 and 3 Emissions for the 2022 calendar year. We achieved a carbon neutral status for the 2021 and 2020 calendar years by purchasing EcoAustralia credits that blend InfraVest Guanyin Wind carbon credits with Mount Sandy Conservation biodiversity protection units. By purchasing EcoAustralia credits, we neutralize our emissions and promote conservation partnerships between traditional landowners and non-indigenous Australians. Carbon neutral is a term used to describe when the greenhouse gas emissions released into the atmosphere by an organization over a certain time period, for example, calendar year, are negated through the purchase and retirement of carbon offsets.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aim to simplify safety so families can live fully. Our products and services deliver peace of mind and safety in the online and physical worlds. Additionally, we engage in community outreach by supporting and matching employee contributions to three non-profit organizations committed to supporting families: the Make-a-Wish Foundation, the American Society for the Prevention of Cruelty to Animals and Team Rubicon.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committed to robust governance frameworks and responsible business practices to ensure the financial sustainability of the Company for all stakeholders including shareholders, employees, customers and suppliers. We have established a disciplined process to identify, assess and analyze risk, and ensure appropriate risk monitoring and reporting.</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2021 and 2020 calendar year ESG reports are available at https://investors.life360.com/investor-relations, which is provided for reference only and is not incorporated by reference into this Annual Report on Form 10-K. Our 2022 calendar year ESG report will be available on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invest substantial resources in research and development to enhance our customer offerings and competitiveness. 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Our research and development expenses were $102.5 million, $51.0 million and $39.6 million for the years ended December 31, 2022, 2021, and 2020, respectively. We intend to continue to significantly invest in research and development to bring new customer experiences and devices to market and expand our platform capabilities.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Logistics and Fulfillment</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outsource the manufacturing of our Tile and Jiobit products to our contract manufacturer,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 and suppliers. In order to mitigate risks associated with a single supply source, and to ensure we can scale our manufacturing base as we continue to expand, we routinely evaluate new partners, manufacturers and suppliers.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Tile entered into a manufacturing agreement with Jabil on March 8, 2017, for an initial term of five years. Under our agreement with Jabil, Jabil manufactures our products using design specifications, quality assurance programs, and standards that we establish. We additionally grant Jabil a non-exclusive, royalty-free, non-transferable right and license to use certain Tile intellectual property as it relates to Jabil’s obligations under the agreement. We pay for and own the majority of tooling and other equipment specifically required to manufacture our products. We have purchase commitments based on our purchase orders and demand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agreement with Jabil expired in March 2022. We are currently in the process of renewing our agreement. Jabil has provided us with written confirmation of its intention to continue our relationship on the same terms as our original manufacturing agreement, and to enter into a new agreement with us on similar terms.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developed and acquired patent assets to protect our proprietary technology.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as of December 31, 2022, we owned a trademark portfolio comprising U.S. registered trademarks including our primary mark “Life360” and various versions of the Life360 logo, in addition to other Life360 word marks and logos, as well as registered and pending trademarks for our “Tile” and “Jiobit” marks in the United States and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use on our website and in our vendor terms and conditions. For information regarding risks related to our intellectual property, please see “Risk Factors—Risks Related to Our Technology and Intellectual Property.”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Life360 subscriptions have historically experienced member and subscription growth seasonality in the third quarter of each calendar year, which includes the return to school for many of our members. Hardware sales have historically experienced revenue seasonality in the fourth quarter of each calendar year, which includes the important selling periods in November (Black Friday and Cyber Monday) and December (Christmas and Hanukkah) in large part due to seasonal holiday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leased real estate space under non-cancellable operating lease agreements in San Francisco, San Diego and San Mateo, California and Chicago, Illinois. As of December 31, 2022, the Company had terminated the operating lease agreements in San Francisco and San Diego, California and relocated its corporate headquarters to San Mateo, California. Our offices in San Mateo and Chicago generally accommodate principal, development, engineering, marketing and administrative activities.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Company is subject to many U.S. federal and state and foreign laws and regulations that involve matters central to our business. These include laws and regulations that relate to data privacy,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 constantly evolving and being tested in courts and by regulators and may be interpreted, applied, created, or amended, in a manner that could harm our business. Additionally,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additional information, see the section entitled “Risk Factors—Risks Related to Legal Matters and Our Regulatory Environment.”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Data Privacy and Security</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process personal or other sensitive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Telephone Consumer Protection Act of 1991 (“TCPA”), the Children’s Online Privacy Protection Act of 1998 (“COPPA”), the Controlling the Assault of Non-Solicited Pornography And Marketing Act of 2003 (“CAN-SPAM”), the California Consumer Privacy Act of 2018 (“CCPA”), the European Union’s General Data Protection Regulation 2016/679 (“EU GDPR”), the EU GDPR as it forms part of United Kingdom (“UK”) law by virtue of section 3 of the European Union (Withdrawal) Act 2018 (“UK GDPR”), the Age Appropriate Design Code enacted by the UK Information Commissioner’s Office, the Privacy and Electronic Communications Directive 2002/58/EC on Privacy and Electronic Communications (the “ePrivacy Directive”), and the Payment Card Industry Data Security Standard (“PCI DSS”). Several states within the United States have enacted or proposed data privacy laws. For example,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19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to third parties). Also, the CCPA provides for civil penalties and a private right of action for data breaches which may include an award of statutory damages. In addition, the California Privacy Rights Act of 2020 (“CPRA”), effective January 1, 2023, expands the CCPA. For example, the CPRA gives California residents the ability to limit use of certain sensitive personal data, establishes restrictions on personal data retention, expands the types of data breaches that are subject to the CCPA’s private right of action, and establishes a new California Privacy Protection Agency to implement and enforce the new law.</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European Economic Area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laws and regulations to which we are or may become subject and about the risks to our business associated with such laws and regulations, see the section entitled “Risk Factors—Risks Related to Privacy and Cybersecurity.”</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Available Information</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website address is www.life360.com. We make available on our website, free of charge, our Annual Reports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The SEC maintains a website that contains reports, proxy and information statements and other information regarding our filings at www.sec.gov.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and public webcasts. These items are available at investors.life360.com under “Results and reports”.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information found on our website is not incorporated by reference into this Annual Report on Form 10-K or any other report we file with or furnish to the SEC.</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Jurisdiction of Incorporation</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is incorporated in the State of Delaware, United States of America, and is a registered foreign entity in Australia. As a foreign Company registered in Australia, the Company is subject to different reporting and regulatory regimes than Australian companies.</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Delaware Law, Certificate of Incorporation and Bylaws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a foreign Company registered in Australia, the Company is not subject to Chapters 6, 6A, 6B and 6C of the Corporations Act dealing with the acquisition of shares (including substantial shareholdings and takeovers).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Under the provisions of Delaware General Corporation Law (“DGCL”), shares are freely transferable and subject to restrictions imposed by the U.S. federal or state securities laws, by the Company’s certificate of incorporation, as amended (“Amended and Restated Certificate of Incorporation”) or bylaws (“Bylaws”), or by an agreement signed with the holders of the shares at issuance. The Company’s Amended and Restated Certificate of Incorporation and Bylaws do not impose any specific restrictions on transfer. However, provisions of the DGCL,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Board may consider inadequate and encourage persons seeking to acquire control of the Company to first negotiate with the Board.</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believes that the benefits of increased protection of its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Life360’s CDIs are issued in reliance on the exemption from registration contained in Regulation S of the U.S. Securities Act of 1933 (the “Securities Act”) for offers of securities which are made outside the U.S. Accordingly, the CDIs, have not been, and will not be, registered under the Securities Act or the laws of any state or other jurisdiction in the U.S. As a result of relying on the exemption pursuant to Regulation S,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ASX to any person other than a U.S. person who is not a QIB. Hedging transactions with regard to the CDIs may only be conducted in accordance with the Securities Act.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p>
    <w:p>
      <w:pPr>
        <w:spacing w:after="0" w:line="18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740" w:right="180" w:hanging="327"/>
        <w:spacing w:after="0" w:line="298" w:lineRule="auto"/>
        <w:tabs>
          <w:tab w:leader="none" w:pos="7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monetize members through subscription plans, our business, financial condition and results of operations may be harmed.</w:t>
      </w:r>
    </w:p>
    <w:p>
      <w:pPr>
        <w:spacing w:after="0" w:line="63" w:lineRule="exact"/>
        <w:rPr>
          <w:rFonts w:ascii="Times New Roman" w:cs="Times New Roman" w:eastAsia="Times New Roman" w:hAnsi="Times New Roman"/>
          <w:sz w:val="18"/>
          <w:szCs w:val="18"/>
          <w:color w:val="auto"/>
        </w:rPr>
      </w:pPr>
    </w:p>
    <w:p>
      <w:pPr>
        <w:ind w:left="740" w:right="14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the value and reputation of our brands, our ability to expand our member base and maintain our relationships with partners and other key service providers may be impaired</w:t>
      </w:r>
    </w:p>
    <w:p>
      <w:pPr>
        <w:spacing w:after="0" w:line="1" w:lineRule="exact"/>
        <w:rPr>
          <w:rFonts w:ascii="Times New Roman" w:cs="Times New Roman" w:eastAsia="Times New Roman" w:hAnsi="Times New Roman"/>
          <w:sz w:val="18"/>
          <w:szCs w:val="18"/>
          <w:color w:val="auto"/>
        </w:rPr>
      </w:pPr>
    </w:p>
    <w:p>
      <w:pPr>
        <w:jc w:val="both"/>
        <w:ind w:left="740" w:right="20" w:hanging="327"/>
        <w:spacing w:after="0" w:line="26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change our pricing models to compete successfully.</w:t>
      </w:r>
    </w:p>
    <w:p>
      <w:pPr>
        <w:spacing w:after="0" w:line="63" w:lineRule="exact"/>
        <w:rPr>
          <w:rFonts w:ascii="Times New Roman" w:cs="Times New Roman" w:eastAsia="Times New Roman" w:hAnsi="Times New Roman"/>
          <w:sz w:val="18"/>
          <w:szCs w:val="18"/>
          <w:color w:val="auto"/>
        </w:rPr>
      </w:pPr>
    </w:p>
    <w:p>
      <w:pPr>
        <w:ind w:left="740" w:right="36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offerings is evolving, and our future success depends on the growth of this market and our ability to anticipate and satisfy consumer preferences in a timely manner.</w:t>
      </w:r>
    </w:p>
    <w:p>
      <w:pPr>
        <w:spacing w:after="0" w:line="1" w:lineRule="exact"/>
        <w:rPr>
          <w:rFonts w:ascii="Times New Roman" w:cs="Times New Roman" w:eastAsia="Times New Roman" w:hAnsi="Times New Roman"/>
          <w:sz w:val="18"/>
          <w:szCs w:val="18"/>
          <w:color w:val="auto"/>
        </w:rPr>
      </w:pPr>
    </w:p>
    <w:p>
      <w:pPr>
        <w:ind w:left="740" w:right="5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existing brands, products and services, or the introduction of new brands, products or services, could fail to attract or retain members or generate revenue and profits.</w:t>
      </w:r>
    </w:p>
    <w:p>
      <w:pPr>
        <w:spacing w:after="0" w:line="1" w:lineRule="exact"/>
        <w:rPr>
          <w:rFonts w:ascii="Times New Roman" w:cs="Times New Roman" w:eastAsia="Times New Roman" w:hAnsi="Times New Roman"/>
          <w:sz w:val="18"/>
          <w:szCs w:val="18"/>
          <w:color w:val="auto"/>
        </w:rPr>
      </w:pPr>
    </w:p>
    <w:p>
      <w:pPr>
        <w:ind w:left="740" w:right="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publicity could damage our brands and reputation and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actions by certain of our members could be attributed to us and cause damage to our brands.</w:t>
      </w:r>
    </w:p>
    <w:p>
      <w:pPr>
        <w:spacing w:after="0" w:line="63" w:lineRule="exact"/>
        <w:rPr>
          <w:rFonts w:ascii="Times New Roman" w:cs="Times New Roman" w:eastAsia="Times New Roman" w:hAnsi="Times New Roman"/>
          <w:sz w:val="18"/>
          <w:szCs w:val="18"/>
          <w:color w:val="auto"/>
        </w:rPr>
      </w:pPr>
    </w:p>
    <w:p>
      <w:pPr>
        <w:ind w:left="740" w:right="60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accurately forecast demand for our products and services and to adequately manage our product inventory.</w:t>
      </w:r>
    </w:p>
    <w:p>
      <w:pPr>
        <w:spacing w:after="0" w:line="1" w:lineRule="exact"/>
        <w:rPr>
          <w:rFonts w:ascii="Times New Roman" w:cs="Times New Roman" w:eastAsia="Times New Roman" w:hAnsi="Times New Roman"/>
          <w:sz w:val="18"/>
          <w:szCs w:val="18"/>
          <w:color w:val="auto"/>
        </w:rPr>
      </w:pPr>
    </w:p>
    <w:p>
      <w:pPr>
        <w:ind w:left="740" w:right="2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right="20" w:hanging="327"/>
        <w:spacing w:after="0" w:line="26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17" w:lineRule="exact"/>
        <w:rPr>
          <w:rFonts w:ascii="Times New Roman" w:cs="Times New Roman" w:eastAsia="Times New Roman" w:hAnsi="Times New Roman"/>
          <w:sz w:val="18"/>
          <w:szCs w:val="18"/>
          <w:color w:val="auto"/>
        </w:rPr>
      </w:pPr>
    </w:p>
    <w:p>
      <w:pPr>
        <w:ind w:left="740" w:right="56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retailers and distributors to sell and market our hardware products, and our failure to maintain and further develop our sales channels could harm our business.</w:t>
      </w:r>
    </w:p>
    <w:p>
      <w:pPr>
        <w:spacing w:after="0" w:line="1" w:lineRule="exact"/>
        <w:rPr>
          <w:rFonts w:ascii="Times New Roman" w:cs="Times New Roman" w:eastAsia="Times New Roman" w:hAnsi="Times New Roman"/>
          <w:sz w:val="18"/>
          <w:szCs w:val="18"/>
          <w:color w:val="auto"/>
        </w:rPr>
      </w:pPr>
    </w:p>
    <w:p>
      <w:pPr>
        <w:ind w:left="740" w:right="32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manufacturers, and fulfillment partners for our smart trackers. A loss of any of these partners could negatively affect our business.</w:t>
      </w:r>
    </w:p>
    <w:p>
      <w:pPr>
        <w:spacing w:after="0" w:line="1"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1" w:lineRule="exact"/>
        <w:rPr>
          <w:rFonts w:ascii="Times New Roman" w:cs="Times New Roman" w:eastAsia="Times New Roman" w:hAnsi="Times New Roman"/>
          <w:sz w:val="18"/>
          <w:szCs w:val="18"/>
          <w:color w:val="auto"/>
        </w:rPr>
      </w:pPr>
    </w:p>
    <w:p>
      <w:pPr>
        <w:ind w:left="740" w:right="180" w:hanging="327"/>
        <w:spacing w:after="0" w:line="281"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coordinate the worldwide manufacturing and distribution of our products, we could lose sales, which could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right="80" w:hanging="327"/>
        <w:spacing w:after="0" w:line="266"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right="14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 w:lineRule="exact"/>
        <w:rPr>
          <w:rFonts w:ascii="Times New Roman" w:cs="Times New Roman" w:eastAsia="Times New Roman" w:hAnsi="Times New Roman"/>
          <w:sz w:val="18"/>
          <w:szCs w:val="18"/>
          <w:color w:val="auto"/>
        </w:rPr>
      </w:pPr>
    </w:p>
    <w:p>
      <w:pPr>
        <w:ind w:left="740" w:right="4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continuing efforts of our executive officers and other key employees and our ability to attract and retain highly skilled personnel and senior management.</w:t>
      </w:r>
    </w:p>
    <w:p>
      <w:pPr>
        <w:spacing w:after="0" w:line="1" w:lineRule="exact"/>
        <w:rPr>
          <w:rFonts w:ascii="Times New Roman" w:cs="Times New Roman" w:eastAsia="Times New Roman" w:hAnsi="Times New Roman"/>
          <w:sz w:val="18"/>
          <w:szCs w:val="18"/>
          <w:color w:val="auto"/>
        </w:rPr>
      </w:pPr>
    </w:p>
    <w:p>
      <w:pPr>
        <w:ind w:left="740" w:right="34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key data partners, and any termination of our agreements with such partners could have a material adverse effect on our revenues,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includes expanding in international markets which requires significant resources and management attention.</w:t>
      </w:r>
    </w:p>
    <w:p>
      <w:pPr>
        <w:spacing w:after="0" w:line="63" w:lineRule="exact"/>
        <w:rPr>
          <w:rFonts w:ascii="Times New Roman" w:cs="Times New Roman" w:eastAsia="Times New Roman" w:hAnsi="Times New Roman"/>
          <w:sz w:val="18"/>
          <w:szCs w:val="18"/>
          <w:color w:val="auto"/>
        </w:rPr>
      </w:pPr>
    </w:p>
    <w:p>
      <w:pPr>
        <w:ind w:left="740" w:right="70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new business strategies and acquisitions could disrupt our ongoing business, present risks not originally contemplated and materially adversely affect our business, reputation, results of operations and financial condition.</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operating history of our new brands, products and services makes it difficult to evaluate our current business and future prospects.</w:t>
      </w:r>
    </w:p>
    <w:p>
      <w:pPr>
        <w:spacing w:after="0" w:line="63" w:lineRule="exact"/>
        <w:rPr>
          <w:rFonts w:ascii="Times New Roman" w:cs="Times New Roman" w:eastAsia="Times New Roman" w:hAnsi="Times New Roman"/>
          <w:sz w:val="18"/>
          <w:szCs w:val="18"/>
          <w:color w:val="auto"/>
        </w:rPr>
      </w:pPr>
    </w:p>
    <w:p>
      <w:pPr>
        <w:ind w:left="740" w:right="20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in recent years and have limited operating experience at our current scale of operations. If we are unable to manage our growth effectively, our brands, company culture and financial performance may suffer.</w:t>
      </w:r>
    </w:p>
    <w:p>
      <w:pPr>
        <w:spacing w:after="0" w:line="1" w:lineRule="exact"/>
        <w:rPr>
          <w:rFonts w:ascii="Times New Roman" w:cs="Times New Roman" w:eastAsia="Times New Roman" w:hAnsi="Times New Roman"/>
          <w:sz w:val="18"/>
          <w:szCs w:val="18"/>
          <w:color w:val="auto"/>
        </w:rPr>
      </w:pPr>
    </w:p>
    <w:p>
      <w:pPr>
        <w:ind w:left="740" w:right="240" w:hanging="327"/>
        <w:spacing w:after="0" w:line="298" w:lineRule="auto"/>
        <w:tabs>
          <w:tab w:leader="none" w:pos="7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ind w:left="740" w:right="620" w:hanging="327"/>
        <w:spacing w:after="0" w:line="281" w:lineRule="auto"/>
        <w:tabs>
          <w:tab w:leader="none" w:pos="73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 economic downturn or economic uncertainty may adversely affect consumer discretionary spending and demand for our products and services.</w:t>
      </w:r>
    </w:p>
    <w:p>
      <w:pPr>
        <w:spacing w:after="0" w:line="1"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operating margins may decline as a result of increasing product costs and inflationary pressures.</w:t>
      </w:r>
    </w:p>
    <w:p>
      <w:pPr>
        <w:spacing w:after="0" w:line="63" w:lineRule="exact"/>
        <w:rPr>
          <w:rFonts w:ascii="Times New Roman" w:cs="Times New Roman" w:eastAsia="Times New Roman" w:hAnsi="Times New Roman"/>
          <w:sz w:val="18"/>
          <w:szCs w:val="18"/>
          <w:color w:val="231F20"/>
        </w:rPr>
      </w:pPr>
    </w:p>
    <w:p>
      <w:pPr>
        <w:ind w:left="740" w:right="60" w:hanging="327"/>
        <w:spacing w:after="0" w:line="26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laws and regulations concerning data privacy, security, consumer protection, advertising, tracking, targeting and the protection of minors could result in regulatory investigations, claims (including class action or similar lawsuits), monetary penalties, changes to our business practices, reputational damage, increased cost of operations, or declines in user growth or engagement, or otherwise materially and adversely harm our business, financial condition and results of operations.</w:t>
      </w:r>
    </w:p>
    <w:p>
      <w:pPr>
        <w:spacing w:after="0" w:line="17" w:lineRule="exact"/>
        <w:rPr>
          <w:rFonts w:ascii="Times New Roman" w:cs="Times New Roman" w:eastAsia="Times New Roman" w:hAnsi="Times New Roman"/>
          <w:sz w:val="18"/>
          <w:szCs w:val="18"/>
          <w:color w:val="auto"/>
        </w:rPr>
      </w:pPr>
    </w:p>
    <w:p>
      <w:pPr>
        <w:ind w:left="740" w:right="6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online websites, applications and services are subject to various laws, regulations and other requirements relating to unfair and deceptive practices, the protection of minors, stalking and surveillance, and notice and consent obligations, which, if violated, could subject us to an increased risk of litigation and regulatory actions.</w:t>
      </w:r>
    </w:p>
    <w:p>
      <w:pPr>
        <w:spacing w:after="0" w:line="13"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policies and other obligations related to data privacy and security. Our actual or perceived failure to comply with such obligations could lead to adverse business consequences.</w:t>
      </w:r>
    </w:p>
    <w:p>
      <w:pPr>
        <w:spacing w:after="0" w:line="1" w:lineRule="exact"/>
        <w:rPr>
          <w:rFonts w:ascii="Times New Roman" w:cs="Times New Roman" w:eastAsia="Times New Roman" w:hAnsi="Times New Roman"/>
          <w:sz w:val="18"/>
          <w:szCs w:val="18"/>
          <w:color w:val="auto"/>
        </w:rPr>
      </w:pPr>
    </w:p>
    <w:p>
      <w:pPr>
        <w:ind w:left="740" w:right="50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w:t>
      </w:r>
    </w:p>
    <w:p>
      <w:pPr>
        <w:spacing w:after="0" w:line="1" w:lineRule="exact"/>
        <w:rPr>
          <w:rFonts w:ascii="Times New Roman" w:cs="Times New Roman" w:eastAsia="Times New Roman" w:hAnsi="Times New Roman"/>
          <w:sz w:val="18"/>
          <w:szCs w:val="18"/>
          <w:color w:val="auto"/>
        </w:rPr>
      </w:pPr>
    </w:p>
    <w:p>
      <w:pPr>
        <w:ind w:left="740" w:right="58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third-party systems and infrastructures and on the continued and unimpeded access to our products and services on the internet.</w:t>
      </w:r>
    </w:p>
    <w:p>
      <w:pPr>
        <w:spacing w:after="0" w:line="1" w:lineRule="exact"/>
        <w:rPr>
          <w:rFonts w:ascii="Times New Roman" w:cs="Times New Roman" w:eastAsia="Times New Roman" w:hAnsi="Times New Roman"/>
          <w:sz w:val="18"/>
          <w:szCs w:val="18"/>
          <w:color w:val="auto"/>
        </w:rPr>
      </w:pPr>
    </w:p>
    <w:p>
      <w:pPr>
        <w:ind w:left="740" w:right="30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 w:lineRule="exact"/>
        <w:rPr>
          <w:rFonts w:ascii="Times New Roman" w:cs="Times New Roman" w:eastAsia="Times New Roman" w:hAnsi="Times New Roman"/>
          <w:sz w:val="18"/>
          <w:szCs w:val="18"/>
          <w:color w:val="auto"/>
        </w:rPr>
      </w:pPr>
    </w:p>
    <w:p>
      <w:pPr>
        <w:ind w:left="740" w:right="180" w:hanging="327"/>
        <w:spacing w:after="0" w:line="281"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protect and maintain our intellectual property rights or prevent third parties from making unauthorized use of such rights.</w:t>
      </w:r>
    </w:p>
    <w:p>
      <w:pPr>
        <w:spacing w:after="0" w:line="1" w:lineRule="exact"/>
        <w:rPr>
          <w:rFonts w:ascii="Times New Roman" w:cs="Times New Roman" w:eastAsia="Times New Roman" w:hAnsi="Times New Roman"/>
          <w:sz w:val="18"/>
          <w:szCs w:val="18"/>
          <w:color w:val="auto"/>
        </w:rPr>
      </w:pPr>
    </w:p>
    <w:p>
      <w:pPr>
        <w:ind w:left="740" w:right="24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spacing w:after="0" w:line="13" w:lineRule="exact"/>
        <w:rPr>
          <w:rFonts w:ascii="Times New Roman" w:cs="Times New Roman" w:eastAsia="Times New Roman" w:hAnsi="Times New Roman"/>
          <w:sz w:val="18"/>
          <w:szCs w:val="18"/>
          <w:color w:val="auto"/>
        </w:rPr>
      </w:pPr>
    </w:p>
    <w:p>
      <w:pPr>
        <w:jc w:val="both"/>
        <w:ind w:left="740" w:right="280" w:hanging="327"/>
        <w:spacing w:after="0" w:line="266"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pacing w:after="0" w:line="1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CDIs has been, and common stock may be, volatile, which could cause the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right="60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as a result of which we may not be able to accurately or timely report our financial condition or results of operations, which may adversely affect our business and the price of our common stock and CDIs.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increasingly engage with other competitive products or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behavior on any of our apps or with respect to any of our products or services changes, including decreases in the frequency of their use;</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lose confidence in the quality or usefulness of our products or services or have concerns related to safety, security, privacy, well-being or other factors;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are no longer willing to pay for subscriptions or in-app hardware purchases;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feel that their experience is diminished as a result of the decisions we make with respect to the frequency, prominence, format, size and quality of ads that we display;</w:t>
      </w:r>
    </w:p>
    <w:p>
      <w:pPr>
        <w:spacing w:after="0" w:line="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13"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features, products or services that members find engaging, or if we introduce new products or services, or make changes to existing products and services that are not favorably received;</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1"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members and increase engagement are unsuccessful or discontinued, whether as a result of actions by us, third parties or otherwise;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initiatives that may enable greater use of our products and services, including low-cost or discounted data plans, are discontinued;</w:t>
      </w:r>
    </w:p>
    <w:p>
      <w:pPr>
        <w:spacing w:after="0" w:line="6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children and minors under age 16 and their devices, privacy, security, or advertising;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detect or combat inappropriate, fraudulent, criminal or abusive activity on our platform;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adequate customer service to members, marketers or other partners;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protect our brands or reputation;</w:t>
      </w:r>
    </w:p>
    <w:p>
      <w:pPr>
        <w:spacing w:after="0" w:line="6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are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children and minors under age 16 and their devices;</w:t>
      </w:r>
    </w:p>
    <w:p>
      <w:pPr>
        <w:spacing w:after="0" w:line="1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decreased engagement with our products and services as a result of internet shutdowns or other actions by governments that affect the accessibility of our products and services in any of our markets;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8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changes mandated or necessitated by legislation, regulatory authorities or litigation that adversely affect our products, services, members or partners;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are subject to foreign currency fluctuation risks.</w:t>
      </w:r>
    </w:p>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monetize members through subscription plans, our business, financial condition and results of operations may be harmed.</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Life360 operates under a “freemium” model in which the Life360 app is available to members at no charge, while Memberships with additional features are available via a paid monthly or annual subscription. Actual or perceived reduction in the functionality, quality, reliability and cost-effectiveness of our subscription plans could impact our ability to retain and grow paid subscriptions, and failure to provide successful enhancements and new features that grow paid subscriptions may have a material adverse impact on our business, financial condition and results of operations.</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spacing w:after="0" w:line="185"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one of our third-party platform providers (each a “Channel Partner”) introduced AirTag™, a tracker that uses ultra-wideband technology to allow members to track and find items through our Channel Partner’s Find My® app, an iOS location sharing app developed by our Channel Partner for iOS devices, to allow approved users to access the GPS location of the users’ devices.</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children and minors under age 16 and their devices. See “Item 1. Business - Competition” for additional information about our direct and indirect competitors.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Potential competitors may also include operators of mobile operating systems and app stores. These mobile platform competitors could use strong or dominant positions in one or more markets, and access to existing large pools of potential users and personal information regarding those users, to gain competitive advantages over us.</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need to change our pricing models to compete successfully.</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intense competition we face in the family safety, location-based services and item tracking technology markets, in addition to general economic and business conditions, including inflation and rising interest rates, can result in downward pressure on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Additionally, if we increase prices for our products and services, demand for our solutions could decline as members adopt less expensive competing products and services, and our market share could suffer. If we do not adapt our pricing models to reflect changes in customer use of our products and services or changes in customer demand, our revenues could decrease.</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17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market for our offerings is evolving, and our future success depends on the growth of this market and our ability to anticipate and satisfy consumer preferences in a timely manner.</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is a risk that we will not be able to grow our member base outside of the United States in a way that provides the scale required to offer the full functionality of the Life360 Service to a particular geography, or to a scale that will enable us to generate indirect revenue.</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to our existing brands, products and services, or the introduction of new brands, products or services, could fail to attract or retain members or generate revenue and profits.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187"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7"/>
          <w:szCs w:val="17"/>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media coverage and publicity could damage our brands and reputation and materially adversely affect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authorities or proceeding relating to the privacy or security of member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recently, which could impact member retention, growth, engagement and conversion as well as increase regulatory scrutiny of our actions or decisions regarding member privacy, encryption, content, contributors, advertising and other issues, which may materially adversely affect our reputation and brands.</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Inappropriate actions by certain of our members could be attributed to us and cause damage to our brands.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the Life360 Service,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reputation of our brands may also be materially adversely affected by the actions of our members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Additionally, while our policies attempt to address illegal, offensive or inappropriate use of our products, we cannot control how our members engage on our products. These safeguards may not be sufficient to avoid harm to our reputation and brands, especially if such hostile, offensive or inappropriate use is well-publicized.</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could be harmed if we are unable to accurately forecast demand for our products and services and to adequately manage our product inventory.</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and business closures and other actions taken to combat COVID-19 and other pandemics and epidemics or as a result of current events. An inability to correctly forecast the success of a particular product or service could harm our business.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on a limited basis and are not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pacing w:after="0" w:line="18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market and distribute our products and services (including the Life360 app, Tile app and Jiobit app) through third-party publishers and distribution channels. Our mobile applications are almost exclusively accessed through our Channel Partners.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1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the standard policies and terms of service of these third-party platforms, which generally govern the promotion, distribution, content, and operation of applications on such platforms. Each platform provider (each a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our Channel Partners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retailers and distributors to sell and market our hardware products, and our failure to maintain and further develop our sales channels could harm our business.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18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2022, Amazon.com accounted for approximately 13% of our total revenue. The Company had no significant retail distributors during the fiscal years ended December 31, 2021 or December 31, 2020.</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a limited number of suppliers, manufacturers, and fulfillment partners for our smart trackers. A loss of any of these partners could negatively affect our business.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rely on a limited number of suppliers to manufacture and transport our smart trackers, including in some cases only a single supplier for some of our products and components. We outsource the manufacturing of our Tile and Jiobit devices to one contract manufacturer, using our design specifications. Jiobit also utilizes other contract manufacturers for additional accessory production. To ensure the quality of our products, we conduct routine product audits.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also work with third-party fulfillment partners that package and deliver our products to multiple locations worldwide, which allows us to reduce order fulfillment time, reduce shipping costs, and improve inventory flexibility. Our reliance on a limited number of manufacturers and fulfillment partners for each of our smart trackers increases our risk since we do not currently have alternative or replacement manufacturers beyond these key parties. In the event of interruption from any of our manufacturers or fulfillment partners, we may not be able to increase capacity from other sources or develop alternate or secondary sources without incurring material additional costs and substantial delays. Furthermore, our primary manufacturer’s facilities are located in the PRC and Malaysia. Thus, our business could be adversely affected if one or more of our suppliers is impacted by a natural disaster, political, social or economic instability, such as the Russian invasion of Ukraine, bank failures, changing foreign regulations, labor unrest, pandemics, including unknown and unforeseen consequences of emerging variants of the COVID-19 pandemic, or any other interruption at a particular location.</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fulfillment partners could have an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15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231F20"/>
        </w:rPr>
        <w:t>We have limited control over our suppliers, manufacturers, fulfillment partners and inflation in costs, which subjects us to risks, including, among others:</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satisfy demand for our smart trackers;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timing and product reliability;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monitor the manufacturing process and components used in our smart trackers;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develop comprehensive manufacturing specifications that take into account any materials shortages or substitutions;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the manufacturing capability of our third-party manufacturers;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manufacturing defects;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significant supplier, manufacturer, or fulfillment partner to perform its obligations to us for technical, market, or other reasons;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additional supplier, manufacturer, or fulfillment partner relationships if we experience difficulties with our existing suppliers, manufacturers, or fulfillment partners;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components;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6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the jurisdictions where our suppliers, manufacturers, and fulfillment partners are located including as a result of global supply chain issues;</w:t>
      </w:r>
    </w:p>
    <w:p>
      <w:pPr>
        <w:spacing w:after="0" w:line="1"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warranties and indemnities on components supplied to our manufacturers or performance by our partners.</w:t>
      </w:r>
    </w:p>
    <w:p>
      <w:pPr>
        <w:spacing w:after="0" w:line="22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w:t>
      </w:r>
    </w:p>
    <w:p>
      <w:pPr>
        <w:spacing w:after="0" w:line="1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especially during seasons of peak demand, could cause us to experience a significant disruption in our ability to produce and deliver our products and services to our customers.</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do not successfully coordinate the worldwide manufacturing and distribution of our products, we could lose sales, which could materially adversely affect our business,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our products being manufactured in the PRC and Malaysia, we are reliant on third parties to get our products to distributors around the world. Transportation costs, fuel costs, labor unrest, political unrest, natural disasters, regional or global pandemics, including emerging variants of COVID-19 and consequences thereof,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primary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primary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primary manufacturer to operate and may increase its costs. If our primary manufacturer incurs increased costs, it may attempt to pass such costs on to us. Any such increased expenses or disruptions to the operations of our primary manufacturer could adversely impact our results of operations, as well as our ability to deliver our products to our members in a timely manner and to meet demand for our smart trackers.</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primary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primary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spacing w:after="0" w:line="18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Additionally, disruption in our supply chain from our primary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For example, the facilities in Malaysia could be temporarily closed or operated at substantially reduced levels due to a COVID-19-related lockdown.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2022, international members represented over 36% of our total Monthly Active Users (“MAUs”) and accounted for approximately 8% of revenue. 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6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compliance challenges caused by distance, language, and cultural differences;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and differing labor regulations for contractors and certain Tile employees working internationally;</w:t>
      </w:r>
    </w:p>
    <w:p>
      <w:pPr>
        <w:spacing w:after="0" w:line="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among countries and back to the United States, as well as costs associated with repatriating funds to the United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adverse tax laws and consequences;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due to different requirements and processes set out in different laws and regulatory environments, particularly in the case of privacy, data security intermediary liability, and consumer protection;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environments that favor local businesses or local knowledge of such environments;</w:t>
      </w:r>
    </w:p>
    <w:p>
      <w:pPr>
        <w:spacing w:after="0" w:line="63" w:lineRule="exact"/>
        <w:rPr>
          <w:rFonts w:ascii="Times New Roman" w:cs="Times New Roman" w:eastAsia="Times New Roman" w:hAnsi="Times New Roman"/>
          <w:sz w:val="18"/>
          <w:szCs w:val="18"/>
          <w:color w:val="auto"/>
        </w:rPr>
      </w:pPr>
    </w:p>
    <w:p>
      <w:pPr>
        <w:ind w:left="660" w:right="20" w:hanging="328"/>
        <w:spacing w:after="0" w:line="298"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international data hosting platforms and other third-party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usage and/or penetration of internet connected consumer electronic devices;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social or economic instability (such as the Russian invasion of Ukraine or bank failures);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legal systems less developed or less predictable than those in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political unrest, terrorism, war, pandemics and epidemics or the threat of any of these events (such as COVID-19); and</w:t>
      </w:r>
    </w:p>
    <w:p>
      <w:pPr>
        <w:spacing w:after="0" w:line="6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violation of any export and import laws, anti-bribery or anti-corruption laws, anti-money laundering rules or other rules or regulations applicable to our business, including but not limited to the Foreign Corrupt Practices Act of 1977, as amended.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 risks described above could adversely affect our international operations, which could in turn adversely affect our business, financial condition and results of operations.</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key Data Partners, and any termination of our agreements with such Data Partners could have a material adverse effect on our revenues, business, financial condition and results of operations.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indirect revenue from key partners through the sale of data insights derived from the personal data we collect from our members. This revenue represented approximately 10%, 17% and 20% of our revenue for the years ended December 31, 2022, 2021, and 2020, respectively. Termination of agreements with key partners may adversely impact our future financial performance.</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January 2022, Life360 announced a new partnership agreement with a key data partner (“Data Partner”), a provider of anonymized aggregated analytics for the retail ecosystem. As part of this partnership, the Data Partner will provide data processing and analytics services to Life360 and will have the right to commercialize solely aggregated data insights. This partnership marked the beginning of Life360’s exit from its legacy data sales model and transition to commercialize solely aggregated data, while still providing members the option to opt out of even aggregated data sales. There is a risk that demand for this aggregated data will decrease, which could adversely impact our ability to renew the agreement upon the expiration of the initial term. There is also a risk that the supply of aggregated data by other parties will increase which may adversely impact our ability to continue to generate revenue from the sale of aggregated data at the end of the current contract term. In addition, under limited circumstances where we may terminate the agreement before the end of the term, we could be liable for termination payments ranging from $5 million to $10 million. In addition, we have agreed to pay the Data Partner liquidated damages in the amount of $20 million if we fail to timely cure a breach of the exclusivity requirements under the agreement.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future success depends on the continuing efforts of our executive officers and other key employees and our ability to attract and retain highly skilled personnel and senior management.</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 that does not align with our values, our reputation could be materially adversely affected. See “—</w:t>
      </w:r>
      <w:r>
        <w:rPr>
          <w:rFonts w:ascii="Arial" w:cs="Arial" w:eastAsia="Arial" w:hAnsi="Arial"/>
          <w:sz w:val="21"/>
          <w:szCs w:val="21"/>
          <w:color w:val="auto"/>
        </w:rPr>
        <w:t>###</w:t>
      </w:r>
      <w:r>
        <w:rPr>
          <w:rFonts w:ascii="Times New Roman" w:cs="Times New Roman" w:eastAsia="Times New Roman" w:hAnsi="Times New Roman"/>
          <w:sz w:val="18"/>
          <w:szCs w:val="18"/>
          <w:color w:val="231F20"/>
        </w:rPr>
        <w:t>”</w:t>
      </w:r>
    </w:p>
    <w:p>
      <w:pPr>
        <w:spacing w:after="0" w:line="21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employees, consultants, third-party providers, partners and competitors could engage in misconduct that materially adversely affects us.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employees, consultants, third-party providers, partners and competitors could engage in misconduct, including the misuse of data and intentional failures to comply with applicable laws and regulations (including those related to cybersecurity and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consultants, third-party providers, partners or competitors could seriously harm our business or reputation. See “—</w:t>
      </w:r>
      <w:r>
        <w:rPr>
          <w:rFonts w:ascii="Arial" w:cs="Arial" w:eastAsia="Arial" w:hAnsi="Arial"/>
          <w:sz w:val="21"/>
          <w:szCs w:val="21"/>
          <w:color w:val="auto"/>
        </w:rPr>
        <w:t>###</w:t>
      </w:r>
      <w:r>
        <w:rPr>
          <w:rFonts w:ascii="Times New Roman" w:cs="Times New Roman" w:eastAsia="Times New Roman" w:hAnsi="Times New Roman"/>
          <w:sz w:val="18"/>
          <w:szCs w:val="18"/>
          <w:color w:val="auto"/>
        </w:rPr>
        <w:t>” and “</w:t>
      </w:r>
      <w:r>
        <w:rPr>
          <w:rFonts w:ascii="Arial" w:cs="Arial" w:eastAsia="Arial" w:hAnsi="Arial"/>
          <w:sz w:val="21"/>
          <w:szCs w:val="21"/>
          <w:color w:val="auto"/>
        </w:rPr>
        <w:t>###</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offer high-quality customer support, our customer satisfaction may suffer, and it may have a negative impact on our business and reputation.</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cannot maintain our corporate culture as we grow, our business may be harmed.</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in new business strategies and acquisitions could disrupt our ongoing business, present risks not originally contemplated and materially adversely affect our business, reputation, results of operations and financial condition.</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invested, and in the future may invest, in new business strategies or acquisitions. Such endeavors may involve significant risks and uncertainties, including distraction of management from current operations, greater-than-expected liabilities and expenses, economic, political, legal and regulatory challenges associated with operating in new businesses, regions or countries, inadequate return on capital, potential impairment of tangible and intangible assets, and significant write-offs. Investment and acquisition transactions are exposed to additional risks, including failing to obtain required regulatory approvals on a timely basis or at all, or the imposition of onerous conditions that could delay or prevent us from completing a transaction or otherwise limit our ability to fully realize the anticipated benefits of a transaction. These new ventures are inherently risky and may not be successful. The failure of any significant investment could materially adversely affect our business, reputation, results of operations and financial condition.</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recently completed acquisitions of Jiobit and Tile present numerous risks that may affect our ability to realize the anticipated strategic and financial goals from the acquisitions.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Risks we may face in connection with our acquisitions and integrations of Jiobit and Tile include, among others:</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we expect to receive from the transactions, including anticipated synergies;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Jiobit’s or Tile’s technologies and lines of business or retaining key personnel from Jiobit or Tile;</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spacing w:after="0" w:line="13"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adversely impacted by (i) claims or liabilities related to Jiobit’s or Tile’s business including, among others,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spacing w:after="0" w:line="2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Tile and Jiobit products is outsourced to a single manufacturer and if the contract is terminated or not renewed, we would be required to enter into a new agreement with another manufacturer that may not be available on reasonable terms, potentially resulting in new and unexpected operational complexities and costs;</w:t>
      </w:r>
    </w:p>
    <w:p>
      <w:pPr>
        <w:spacing w:after="0" w:line="1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existing agreements with Jiobit and Tile partners and alternative partnerships may not be available on reasonable terms, or at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managing hardware inventories, including tracking movements, supply chain, and associated costs of managing hardware inventories; and</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financial condition and results of operations. See “— Investment in new business strategies and acquisitions could disrupt our ongoing business, present risks not originally contemplated and materially adversely affect our business, reputation, results of operations and financial condition.”</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user metrics and other estimates are subject to inherent challenges in measurement, and real or perceived inaccuracies in those metrics may negatively affect our reputation and our business.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regularly review metrics, including MAUs, Paying Circles (defined below), subscription fees paid by Paying Circles for Life360 Memberships, Average Revenue per Paying Circle (“ARPPC”), Tile subscriptions and Jiobit subscriptions to evaluate growth trends, measure our performance, and make strategic decisions.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and services are used across large populations globally.</w:t>
      </w:r>
    </w:p>
    <w:p>
      <w:pPr>
        <w:spacing w:after="0" w:line="19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litigation, and our business, financial condition and results of operations could be materially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had operating losses each year since our inception and we may not achieve or maintain profitability in the future.</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limited operating history of our new brands, products and services makes it difficult to evaluate our current business and future prospects.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6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1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insurance coverage may be inadequate to cover future claims or losses.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COVID-19 pandemic or the outbreak of any infectious disease in the United States or worldwide has adversely affected, and could continue to adversely affect, our business.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another pandemic, epidemic, or outbreak of an infectious disease occurs in the United States or worldwide or if there are new or unforeseen consequences or effects of COVID-19, our business may be harmed. The global spread of COVID-19 has caused general business disruption worldwide since January 2020, creating significant volatility, uncertainty, and economic disruption. We have experienced, and continue to experience, effects of the COVID-19 pandemic, which include switching to operating as a remote-first company with plans to continue as such indefinitely. The extent to which the COVID-19 pandemic, or the outbreak of another infectious disease, ultimately impacts our business cannot be predicted and depends on a number of factors that are constantly evolving, including the emergence of new variants and the availability of effective vaccines.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public health epidemic or pandemic, including COVID-19, poses the risk that Life360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For example, in response to COVID-19, we took several precautions that may have adversely impacted employee productivity, such as temporarily imposing travel restrictions, and temporarily closing office locations.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As of March 10, 2023, we had cash and cash equivalents of approximately $95.1 million, including $75.4 million in shares of money market mutual funds managed by Morgan Stanley, Blackrock and Western Asset, for which SVB acted as custodian, and $6.1 million in deposits with SVB.</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Although a joint statement by the U.S. Department of the Treasury, the Board of Governors of the Federal Reserve System (the “Federal Reserve Board”) and the FDIC on March 12, 2023 stated that all depositors of SVB would have access to all of their funds on the following business day and we and other depositors with SVB did, in fact, receive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While we have not experienced any losses in our accounts with SVB, the recent failure of SVB exposed us to significant credit risk prior to the completion by the FDIC of the resolution of SVB in a manner that fully protected all depositors. We are in the process of transferring our accounts to one or more alternate depository institutions, the financial position of which management believes does not expose our company to significant credit risk or jeopardize our liquidity. However,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while it is not possible at this time to predict the extent of the impact that the failure of SVB or any other financial institution or the high market volatility and instability of the banking sector could have on the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Unstable market and economic conditions may adversely affect consumer discretionary spending and demand for our products and services.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over the past several months, including declines in consumer confidence, concerns about declines in economic growth and a potential recession, bank failures, increases in the rate of inflation, increases in borrowing rates, the availability and cost of consumer credit and credit availability, and uncertainty about economic stability, including most recently in connection with actions undertaken by the U.S. Federal Reserve Board to address inflation, the ongoing Russian invasion of Ukraine, the continuing effects of the COVID-19 pandemic and supply chain disruptions. Our general business strategy may be adversely affected by any such economic downturn, volatile business environment or continued unpredictable and unstable market conditions.</w:t>
      </w:r>
    </w:p>
    <w:p>
      <w:pPr>
        <w:spacing w:after="0" w:line="18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affected by seasonality.</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Life360 has historically experienced member and subscription growth seasonality in the third quarter of each calendar year, which includes the return to school for many of our members. Hardware sales have historically experienced revenue seasonality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spacing w:after="0" w:line="6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is a risk that members may not engage with the lead generation offering at the scale necessary for potential advertising partners to spend any of their advertising budget on the lead generation offering. There is a risk that advertisers will not utilize the lead generation offering. A failure to grow the lead generation offering may have a material adverse impact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operating margins may decline as a result of increasing product costs and inflationary pressures.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require additional capital to support business growth and objectives, and this capital might not be available to us on reasonable terms, if at all, and may result in stockholder dilution.</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In addition, we may not be able to access a portion of our existing cash, cash equivalents and investments due to market conditions. For example, on March 10, 2023 and March 12,2023, the FDIC took control and was appointed receiver of SVB and Signature Bank, respectively.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adversely impact our ability to meet our operating expenses, result in breaches of our contractual obligations or result in significant disruptions to our business, any of which could have a material adverse effect on our business and financial condition.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accounting method for our outstanding convertible notes, embedded derivatives and other similar financial instruments could have a material effect on our reported financial results.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outstanding convertible notes, Embedded Derivatives (defined below) and other similar financial instruments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 In addition, we may be required to make cash payments upon the termination of any of these derivative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Annual Report on Form 10-K. We base our estimates on short duration historical experience and on various other assumptions that we believe to be reasonable under the circumstances, as provided in the section titled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delay recognition of some of our revenue, which may harm our financial results in any given period.</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are subject to foreign currency fluctuation risks.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(for example via hedging strategies),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Cybersecurity</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CPRA, operative on January 1, 2023, expands the CCPA’s requirements, including applying to personal data of business representatives and employees and establishing a new regulatory agency to implement and enforce the law. Other states, such as Virginia and Colorado, have also passed comprehensive privacy laws, and similar laws are being considered in several other states, as well as at the federal and local levels. These developments may further complicate compliance efforts and may increase legal risk and compliance costs for us and the third parties upon whom we rely.</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Federal, state and local privacy and consumer protection laws also govern specific technologies that we employ or how we market to, and otherwise communicate with, our members. For example, the CAN-SPAM and the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(“FTC”) or fines of up to $1,500 per violation imposed through private litigation or by state authorities. We also use parental consent and identity verification technologies that may subject us to state and local biometric privacy laws. For example, the Illinois Biometric Information Privacy Act (“BIPA”), regulates the collection, use, safeguarding, and storage of biometric information. The TCPA and BIPA provide for substantial penalties and statutory damages and have generated significant class action activity. The cost of litigating and settling claims that we have violated the TCPA, BIPA or similar laws could be significant.</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also subject to the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$46,517 per violation as well as injunctive and equitable relief for violations. Although we strive to ensure that our business and mobile applications are compliant with applicable COPPA obligations, these requirements may be modified, interpreted, or applied in new manners that we may be unable to anticipate or prepare for appropriately. Additionally, laws and regulations that apply to children’s data have been adopted in recent years, including the EU GDPR and the UK GDPR, the CCPA, the Age Appropriate Design Code enacted by the United Kingdom’s Information Commissioner’s Office, and California’s Age-Appropriate Design Code Act, which takes effect July 1, 2024.</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spacing w:after="0" w:line="17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European legislative proposals and present laws and regulations – other than the EU and UK GDPR – apply to cookies and similar tracking technologies, electronic communications, and marketing. In the EU and the UK, regulators are increasingly focusing on compliance with requirements related to the behavioral, interest-based, or tailored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marketing activities, divert the attention of our technology personnel, adversely affect our margins, and subject us to liabilities.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spacing w:after="0" w:line="1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 our business relies significantly on our ability to accept credit or debit card payments. Such payments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in the past received inquiries and/or been subject to investigations, proceedings, orders, or various government inquiries regarding our data privacy and security practices and processing.</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may process proprietary, confidential, and sensitive data (such as precise geolocation data and information relating to children and minors under 16 and their devices),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in 2021, we were one of many of Codecov’s customers that were impacted by a supply-chain attack on Codecov’s servers, which resulted in unauthorized access to and copying of certain of our source code repositories. Based on the contents of those repositories, we do not believe such unauthorized access and copying resulted in the exposure of our material intellectual property or any customer data, or had any impact on our own products or services.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in part, on the integrity of third-party systems and infrastructures and on continued and unimpeded access to our products and services on the internet.</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our Channel Partners.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1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under our warranty program agreement with Cover Genius Warranty Services, LLC (“Cover Genius”), Cover Genius administers warranties and service contracts on behalf of Tile. If the Cover Genius contract was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1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9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depends, in part, on the integrity of our information technology systems and infrastructures and on our ability to enhance, expand and adapt these systems and infrastructures in a timely and cost-effective manner.</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such as the COVID-19 pandemic,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fail to adequately obtain, protect and maintain our intellectual property rights or prevent third parties from making unauthorized use of such rights.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spacing w:after="0" w:line="18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19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9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8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19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189"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use of “open source” software could subject our proprietary software to general release, adversely affect our ability to sell our products and services and subject us to possible litigation.</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19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Matters and Our Regulatory Environment</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1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Federal Communications Commission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18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European Union is also reviewing the regulation of digital services, and has introduced the Digital Services Act, a package of legislation intended to update the liability and safety rules for digital platforms, products, and services, which could negatively impact the scope of the limited immunity provided by the E-Commerce Directive.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fail to comply with laws regulating subscriptions and auto-payment renewals, which could have a material adverse effect on our business, reputation,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certain federal and state laws that govern the ability of users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litigation judgments or settlements resulting from legal proceedings in which we may be involved could have a material adverse effect on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are, or may in the future become, subject to litigation and various legal proceedings,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losses to offset future taxable income may be subject to certain limitations.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2022, we have approximately $252.2 million and $119.4 million of federal and state net operating loss carryforwards, respectively, available to offset future taxable income which, if not utilized, will begin to expire in varying amounts in 2027.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taxation related risks in multiple jurisdictions.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Moreover, the U.S. government may enact significant changes to the taxation of business entities including, among others, the imposition of minimum taxes or surtaxes on certain types of income. Furthermore, if the U.S. or other foreign tax authorities change applicable tax laws, our overall taxes could increase, and our business, financial condition and results of operations may be adversely impacted.</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Actions by governments to restrict access to Life360 in their countries, or that otherwise impair our ability to sell advertising in their countries, could substantially harm our business, financial condition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Life360 Service,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the Life360 Service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190"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additional tariffs on Chinese-origin goods are imposed, related countermeasures are taken by the PRC, or we experience supply chain transformation setbacks, it could have an adverse impact on our business, financial condition and results of operations.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export and import controls and economic sanction laws that could subject us to liability and impair our ability to compete in international markets.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CDIs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market price of our CDIs has been, and common stock may be, volatile, which could cause the value of our common stock to decline.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trading price of our CDIs on the ASX has been volatile, and even if a trading market for our common stock develops, the market price of our common stock may be highly volatile and could be subject to wide fluctuations. In addition, the trading volume in our CDIs and common stock if a market develops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if a market develops, regardless of our actual operating performance, including:</w:t>
      </w:r>
    </w:p>
    <w:p>
      <w:pPr>
        <w:spacing w:after="0" w:line="7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press releases, announcements and filings with the SEC and ASX;</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prices and trading volumes of technology;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political conditions, financial markets, and/or the technology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and/or changes in their recommendations and estimates of our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prices and trading volumes of our CDIs on the ASX;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Additionally, our securities may in the future trade on more than one stock exchange and this may result in price variations between the markets and volatility in our stock price. Our CDIs are currently listed on the ASX and we may list our common stock on a U.S. securities exchange in the future. Trading in our common stock and CDIs therefore may take place in different currencies (U.S. dollars on the U.S. securities exchange and Australian dollars on the ASX),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a U.S. securities exchange. Such arbitrage activities could cause our stock price in the market with the higher value to decrease to the price set by the market with the lower value and could also lead to significant volatility in the price of our common stock or CDIs.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and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would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common stock may never be listed on a major U.S. stock exchange.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common stock is not currently traded on any U.S. securities exchange. No market may ever develop for our common stock, or if developed, may not be sustained in the future. The holders of our shares of common stock and persons who desire to purchase them in any trading market that might develop in the future should be aware that there might be significant state law restrictions upon the ability of investors to resell our shares. Accordingly, even if we are successful in having the shares available for trading on the over-the-counter markets, investors should consider any secondary market for our common shares to be a limited 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not able to maintain sufficient cash funds, we may cease trading on the ASX.</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ASX listing and associated Australian regulatory requirements, and may in the future determine to concurrently list our shares on a U.S. securities exchange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Australia generally or to the same extent, or vice versa.</w:t>
      </w:r>
    </w:p>
    <w:p>
      <w:pPr>
        <w:spacing w:after="0" w:line="1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the listing and regulatory requirements of the ASX may limit our ability to take certain actions typically performed by a U.S. company. For example, the ASX Listing Rules limit the amount of equity securities that a listed company can issue without the approval of its stockholders over any 12 month period to 15% of the outstanding share capital on issue at the start of the period, unless an exception applies. Failure to obtain this approval may make it more difficult for us to issue equity securities in the future at a time and at a price that we deem appropriate. ASX rules also require stockholder approval for the granting of options and restricted stock units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1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2001 (Cth) of Australia, which may include the need to obtain stockholder approval to do so.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 common stock, the ASX Listing Rules may limit our ability to issue equity securities, either as a counter-measure to the takeover bid or to fund operations.</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of our charter documents and Delaware law may inhibit a takeover, which could limit the price investors might be willing to pay in the future for our common stock.</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not previously been required to comply with the rules of the SEC implementing Section 404 of the Sarbanes-Oxley Act of 2002 (the “Sarbanes-Oxley Act”), including the obligation for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not required to make our first annual assessment of our internal control over financial reporting pursuant to Section 404 of the Sarbanes-Oxley Act until 2023, the year following our first annual report required to be filed with the SEC. Pursuant to the Jumpstart our Business Startups Act of 2012 (the “JOBS Act”), our independent registered public accounting firm is not required to attest to the effectiveness of our internal control over financial reporting until the later of the year following our first annual report required to be filed with the SEC or the date we are no longer an emerging growth company. Accordingly, our internal control over financial reporting does not currently meet all of the standards contemplated by Section 404 of the Sarbanes-Oxley Act that we may eventually be required to meet. We will establish formal procedures, policies, processes and practices related to financial reporting and to the identification of key financial reporting risks, assessment of their potential impact and linkage of those risks to specific areas and activities within our organization.</w:t>
      </w:r>
    </w:p>
    <w:p>
      <w:pPr>
        <w:spacing w:after="0" w:line="8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Although we have not done a full assessment of our internal control over financial reporting pursuant to Section 404 of the Sarbanes-Oxley Act as disclosed in Part II, Item 9A, “Controls and Procedures” of this Annual Report, in connection with the audit of our consolidated financial statements for the year ended December 31, 2022, our management identified a material weakness related to management’s risk assessment process over information technology general controls (ITGCs), the design and implementation of ITGCs, including certain controls over logical access, segregation of duties and change management, and certain process level controls including information used in the execution of those controls that impacted our financial reporting processes. The material weakness did not result in any identified misstatements in the financial statements, and there were no changes to previously issued financial results. However, the material weakness creates a reasonable possibility that a material misstatement to our consolidated financial statements would not be prevented or detected on a timely basis. Although we are taking certain measures to remediate the material weakness described above, we can give no assurance that our efforts will be successful, or that additional material weaknesses will not be identified in the future. We may also conclude that additional measures may be required to remediate the material weakness, which may necessitate additional implementation and evaluation time. If the steps we take do not remediate the material weakness in a timely manner, or if we fail to implement and maintain effective internal control over financial reporting, there could be errors in our annual or interim consolidated financial statements that could result in a restatement of our financial statements, and could cause us to fail to meet our reporting obligations. As a further result, our access to capital markets and perceptions of our creditworthiness could be adversely affected, any of which could diminish investor confidence in us and cause a decline in the price of our common stock and CDIs.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The forum selection clause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The exclusive forum provision does not apply to any actions brought to enforce a duty or liability created by the Securities Act, as amended, the Exchange Act or any other claim for which the U.S. federal courts have exclusive jurisdiction.</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as defined under the federal securities laws.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(“Section 404(b)”), an extended transition period provided in the Securities Act for complying with new or revised accounting standards, and reduced disclosure obligations regarding executive compensation. As a result, our stockholders may not have access to certain information that they may deem important.</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our first sale of shares of our common stock pursuant to an effective registration statement under the Securities Act, (ii) the last day of the fiscal year in which we have total annual gross revenues of at least $1.235 billion, (iii) the date on which we have issued more than $1.0 billion in non-convertible debt during the prior three-year period, and (iv) the date on which we are deemed to be a large accelerated filer, which means the market value of our common stock that is held by non-affiliates exceeds $700 million as of the prior December 31st.</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delay adopting new or revised accounting standards until those standards apply to private companies. We have elected to use the extended transition period under the JOBS Act. Accordingly, our consolidated financial statements may not be comparable to the financial statements of reporting companies that comply with such new or revised accounting standards.</w:t>
      </w:r>
    </w:p>
    <w:p>
      <w:pPr>
        <w:spacing w:after="0" w:line="17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If we fail to maintain effective internal controls over financial reporting, our ability to produce timely and accurate financial information or comply with Section 404(b) could be impaired, which could have a material adverse effect on our business and stock price. Upon becoming a reporting company, we will be required to comply with Section 404(b), which will require management to certify financial and other information in our quarterly and annual reports and provide an annual management report on the effectiveness of our internal control over financial reporting commencing with our second annual report after the effectiveness of our Form 10. In addition, under Section 404(b) our independent registered public accounting firm will also need to attest to the effectiveness of our internal control over financial reporting in the future to the extent that we are no longer an emerging growth company or a smaller reporting company. To achieve compliance with Section 404(b)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of the Sarbanes-Oxley Act.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failure to achieve and maintain an effective internal control environment could have a material adverse effect on our business, financial condition and results of operations. In the event that we are not able to demonstrate compliance with Section 404 of the Sarbanes-Oxley Act, or if our internal control over financial reporting is perceived as inadequate or it is perceived that we are unable to produce timely or accurate consolidated financial statements, we could become subject to investigations by the SEC or other regulatory agencies, which could require addition financial and management resources.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reporting company, we are subject to additional reporting requirements of the Exchange Act, the Sarbanes-Oxley Act.</w:t>
      </w:r>
    </w:p>
    <w:p>
      <w:pPr>
        <w:spacing w:after="0" w:line="221"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U.S. reporting company, we incur significant legal, accounting, reporting, and other expenses that we have not previously incurred, including costs associated with the SEC reporting company requirements. We also have incurred, and will continue to incur, costs associated with compliance with the rules and regulations of the SEC, the Sarbanes-Oxley Act, and the Dodd-Frank Wall Street Reform and Consumer Protection Act, and various other costs of a reporting company. Registration under the Exchange Act requires the filing of ongoing annual, quarterly, and current reports on Forms 10-K, 10-Q and 8-K, respectively.</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These SEC reports are in addition to the periodic filings required by the ASX Listing Rules. In 2022, the ASX granted us a waiver of certain ASX Listing Rules to permit us to file our annual, quarterly, and current reports on Forms 10-K, 10-Q and 8-K, respectively, in place of ASX annual, half-year and quarterly filings. In the absence of the waiver, we would be required to make annual, half-year and quarterly filings with the ASX in addition to the SEC periodic reports.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a Delaware corporation, we must also ensure continued compliance with the Delaware law and, as we will be listed on the ASX and registered as a foreign company in Australia, we will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or other exchange on which our securities may be traded.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required to delay recognition of some of our revenue, which may harm our financial results in any given period.</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Severe weather, natural disasters, global pandemics, acts of war or terrorism, theft, civil unrest, government expropriation or other external events could have significant effects on our business.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Severe weather and natural disasters, including hurricanes, tornados, earthquakes, fires, droughts and floods, acts of war or terrorism (such as the recent escalation in regional conflicts exemplified by Russia’s invasion of Ukraine), epidemics and global pandemics (such as the outbreak of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January 2023, we moved our corporate headquarters from San Francisco, California to San Mateo, California, where we lease approximately 16,738 square feet of space under a lease that expires on October 31, 2023. Our corporate headquarters currently accommodates our principal, development, engineering, marketing and administrative activities. We also maintain office space in Chicago, Illinois.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88"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color w:val="auto"/>
        </w:rPr>
        <w:t xml:space="preserve">The information set forth under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Commitments and Contingencies” in the notes to the consolidated financial statements under the caption “Litigation”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9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Australian Securities Exchange under the symbol “360” on May 10, 2019. Prior to that time, there was no public market for our common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10, 2023, there were approximately 474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 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performance graph shows a comparison of the change in the cumulative total return for our common stock, the S&amp;P 500 Index, and the ASX 200 Index between June 30, 2019, the first quarter end after our common stock commenced trading on the Australian Securities Exchange on May 10, 2019, and December 31, 2022.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3500" cy="2940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presented within the graph above is presented in USD. The USD value of our common stock is equivalent to the CDI value (the AUD value of our common stock traded on the Australian Securities Exchange) multiplied by 3 (CDI conversion ratio) and then multiplied by the applicable foreign currency exchange rate between the USD and the AUD for the applicable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November 20, 2022 (November 21, 2022 in Australia), we entered into an underwriting agreement, whereby we agreed to issue 2,645,503 shares of our common stock in the form of 7,936,509 new CDIs (with each CDI representing one-third of a share of our common stock, par value $0.001 per share) to institutional investors (the “Placement”). We received aggregate gross proceeds of approximately $33 million and paid aggregate underwriting commissions of approximately $0.9 million in connection with the Placement. The Placement was fully underwritten by Bell Potter Securities Limited. MST Financial Services Pty Ltd acted as Co-Lead Manager. The issuance of the CDIs in the Placement was made in reliance upon the exemption from registration contained in Regulation S of the Securities Act.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(MD&amp;A) should be read in conjunction with our consolidated financial statements, related notes and other financial information appearing elsewhere in this Annual Report on Form 10-K. In addition to historical consolidated financial information, the following discussion contains forward-looking statements that involve risks and uncertainties. Our actual results could differ materially from those discussed in the forward-looking statements as a result of a variety of factors, including but not limited to those discussed in “Risk Factors” and “Forward-Looking Statements” in this Annual Report on Form 10-K.</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discussion of our financial condition and results of operations for the year ended December 31, 2022 compared to the year ended December 31, 2021 is presented below. A discussion of our financial condition and results of operations for the year ended December 31, 2021 compared to the year ended December 31, 2020 is included under “Management’s Discussion and Analysis of Financial Condition and Results of Operations” within our Form 10.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Life360 is a leading technology platform used to locate the people, pets and things that matter most to families. Life360 is creating a new category at the intersection of family, technology, and safety to help keep families connected and safe. The Company’s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 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years ended December 31, 2022 and 2021, Life360 generated:</w:t>
      </w:r>
    </w:p>
    <w:p>
      <w:pPr>
        <w:spacing w:after="0" w:line="117"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$228.3 million and $112.6 million, respectively, representing year-over-year growth of 103%;</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$153.3 million and $86.6 million, respectively, representing year-over-year growth of 77%;</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$47.9 million and $1.0 million, respectively, representing year-over-year growth of 4,930%;</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$27.1 million and $25.1 million, respectively, representing year-over-year growth of 8%;</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$148.6 million and $89.9 million, respectively, representing year-over-year growth of 65%;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$91.6 million and $33.6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COVID-19 pandemic had an initial impact on our operations and financial performance, as we saw decreased engagement and member growth in the early phase of the pandemic. To adapt to the COVID-19 impact, we paused the majority of paid user acquisition spend and implemented other expense management initiatives. Once past the early phase of COVID-19, we saw a resumption of rapid growth and we experienced two successive quarters of record Paying Circle additions in the second half of 2021. Paying circles have continued to increase each quarter through December 31, 2022. The extent of the impact of the COVID-19 pandemic on our operational and financial performance going forward will depend on future developments, including the duration and spread of the outbreak, new information about additional variants, the availability and efficacy of vaccine, additional or renewed actions by government authorities and private businesses to contain the pandemic or respond to its impact and altered consumer behavior, impact on our customers and our sales cycles, impact on our business operations, impact on our customer, employee or industry events, and effect on our vendors and other business partners, all of which are uncertain and cannot be predicted. Such developments have had and may continue to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by management in the preparation of the consolidated financial statements and determined there were no material adverse impacts for the year ended December 31, 2022. As events related to COVID-19 continue to evolve, our assumptions and estimates may change materially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we focus on growing our customers and revenue, and achieving profitability while investing for the future and managing risk, expenses and capital, the following factors and others identified in the section of this Annual Report on Form 10-K titled “Risk Factors” have been important to our business and we expect them to impact our operations in future periods:</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Ability to Retain Trusted Brand</w:t>
      </w:r>
      <w:r>
        <w:rPr>
          <w:rFonts w:ascii="Times New Roman" w:cs="Times New Roman" w:eastAsia="Times New Roman" w:hAnsi="Times New Roman"/>
          <w:sz w:val="18"/>
          <w:szCs w:val="18"/>
          <w:color w:val="auto"/>
        </w:rPr>
        <w:t>. We strongly believe in our vision to become the indispensable safety membership for families, with a suite of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span every life stage of the family. Our business model and future success are dependent on the value and reputation of the Life360, Jiobit and Tile brands. Our brand is trusted by approximately 49 million members as of December 31, 2022, and because we know the value of trust is immeasurable, we will continue to work tirelessly to ensure that we provide useful, reliable, trustworthy and innovative products and services.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Attract, Retain and Convert Members</w:t>
      </w:r>
      <w:r>
        <w:rPr>
          <w:rFonts w:ascii="Times New Roman" w:cs="Times New Roman" w:eastAsia="Times New Roman" w:hAnsi="Times New Roman"/>
          <w:sz w:val="18"/>
          <w:szCs w:val="18"/>
          <w:color w:val="auto"/>
        </w:rPr>
        <w:t>. Our business model is based on attracting new members to our platform, converting free members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retaining and expanding subscriptions over time. Our continued success depends in part on our ability to offer compelling new products and features to our members, and to continue providing a quality user experience to retain paying subscribers. We will also seek to increase brand awareness and customer adoption of our platform through various programs and digital and broad-scale advertising.</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Maintaining Efficient Member Acquisition</w:t>
      </w:r>
      <w:r>
        <w:rPr>
          <w:rFonts w:ascii="Times New Roman" w:cs="Times New Roman" w:eastAsia="Times New Roman" w:hAnsi="Times New Roman"/>
          <w:sz w:val="18"/>
          <w:szCs w:val="18"/>
          <w:color w:val="auto"/>
        </w:rPr>
        <w:t>. Our investment in developing effective services and devices creates an efficient member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which drives strong unit economics. Our member acquisition model is complemented by our word-of-mouth and freemium models.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Ability to Attract New and Repeat Purchasers of Our Hardware Tracking Devices. </w:t>
      </w:r>
      <w:r>
        <w:rPr>
          <w:rFonts w:ascii="Times New Roman" w:cs="Times New Roman" w:eastAsia="Times New Roman" w:hAnsi="Times New Roman"/>
          <w:sz w:val="18"/>
          <w:szCs w:val="18"/>
          <w:color w:val="auto"/>
        </w:rPr>
        <w:t>Attracting new and repeat purchasers depends on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and release compelling smart trackers and market them effectively. Additionally we face increasing competition from better funded global companies. We pioneered the finding category and we continue to invest in the development of hardware products assessing new and existing technologies with a priority on providing a great member finding experience.</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Growth in Average Revenue Per Paying Circle</w:t>
      </w:r>
      <w:r>
        <w:rPr>
          <w:rFonts w:ascii="Times New Roman" w:cs="Times New Roman" w:eastAsia="Times New Roman" w:hAnsi="Times New Roman"/>
          <w:sz w:val="18"/>
          <w:szCs w:val="18"/>
          <w:color w:val="auto"/>
        </w:rPr>
        <w:t>. Our business model is dependent upon our ability to grow and maintain a large member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growing the number of Paying Circles. We have a sophisticated understanding of our members, and as a result, the services we provide are core to families and hard to switch.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Expanding the Offerings on Our Platform</w:t>
      </w:r>
      <w:r>
        <w:rPr>
          <w:rFonts w:ascii="Times New Roman" w:cs="Times New Roman" w:eastAsia="Times New Roman" w:hAnsi="Times New Roman"/>
          <w:sz w:val="18"/>
          <w:szCs w:val="18"/>
          <w:color w:val="auto"/>
        </w:rPr>
        <w:t>. We are continually evaluating new product offerings that are aligned with our core competencies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allows subscribers to track family members and pets wearing Jiobit devices via GPS-enabled trackers on the Jiobit app. We will continue to invest in and launch products where we see opportunities to grow our platform.</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Attracting and Retaining Talent</w:t>
      </w:r>
      <w:r>
        <w:rPr>
          <w:rFonts w:ascii="Times New Roman" w:cs="Times New Roman" w:eastAsia="Times New Roman" w:hAnsi="Times New Roman"/>
          <w:sz w:val="18"/>
          <w:szCs w:val="18"/>
          <w:color w:val="auto"/>
        </w:rPr>
        <w:t>. We compete for talent in the technology industry. Our business relies on the ability to attract and retain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engineers, data scientists, designers and software developers. As of December 31, 2022, we had approximately 600 employees and contractors. Our core values are aimed at simplifying safety for families and we believe there are people who want to work at a values-driven company like Life360. We believe that our ability to recruit talent is aided by our reputation.</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We experience seasonality in our user growth, engagement, Paying Circles growth and monetization on our platform. Life360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experienced member and subscription growth seasonality in the third quarter of each calendar year, which includes the return to school for many of our members. Hardware sales have historically experienced revenue seasonality in the fourth quarter of each calendar year, which includes the important selling periods in November (Black Friday and Cyber Monday) and December (Christmas and Hanukkah) in large part due to seasonal holiday demand. As the majority of revenue is generated within the United States,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We believe our global opportunity is significant, and to address this opportunity, we intend to continue to invest in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efforts and infrastructure and personnel to support our international expansion, including undertaking initiatives such as the first international launch of our subscription offering in Canada during the three months ended December 31, 2021. Our growth will depend in part on the adoption and sales of our products and services in international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Consolidated Statements of Operations and Comprehensive Loss.</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In the future, the Company plans to integrate Life360, Tile and Jiobit into one platform.</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generate a majority of our hardware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Other Revenue</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we executed a new partnership agreement with a key Data Partner, a prominent provider of aggregated analytics for the retail ecosystem. The agreement includes fixed monthly revenue amounts for access to aggregated data for the duration of the three-year agreement. Other revenue also includes partnership revenue.</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 Revenue</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revenue primarily consists of expenses related to hosting our services and providing support to our free and paying subscribers. These expenses include employee-related costs associated with our cloud-based infrastructure and our customer support organization, third-party hosting fees, software, and maintenance costs, outside services associated with the delivery of our subscription services, personnel-related expenses,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user growth and increased use of our platform. We expect the cost of revenue will increase in absolute dollars in future periods.</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2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Cost of Other Revenue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other revenue includes cloud-based hosting costs, as well as costs of product operations functions and employee-related costs associated with our data platform. Personnel-related expenses include salaries, bonuses, benefits, and stock-based compensation for operations personnel.</w:t>
      </w:r>
    </w:p>
    <w:p>
      <w:pPr>
        <w:spacing w:after="0" w:line="2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Profit Margin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selling and marketing, and general and administrative expenses.</w:t>
      </w:r>
    </w:p>
    <w:p>
      <w:pPr>
        <w:spacing w:after="0" w:line="3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employee-related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employee-related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(the “July 2021 Convertible Notes”), and as part of the purchase consideration related to the Company’s acquisition of Jiobit (the “Jiobit Acquisition”) in September 2021 (the “September 2021 Convertible Notes” and together with the July 2021 Convertible Notes, the “Convertible Notes”). The September 2021 Convertible Notes are recorded at fair value and are revalued at each reporting period.</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Derivative Liability Fair Value Adjustment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Derivative liability fair value adjustment relates to the change in the fair value of the embedded conversion and redemption features associated with the July 2021 Convertible Notes.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 (benefit) for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consolidated statement of operations and comprehensive loss for the years ended December 31, 2022 and 2021. We have derived this data from our consolidated financial statements included elsewhere in this Annual Report on Form 10-K. This information should be read in conjunction with our consolidated financial statements and related notes included elsewhere in this Annual Report on Form 10-K. The results of historical periods are not necessarily indicative of the results of operations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6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153,287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4,930 %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228,305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112,643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3,291 %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148,598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89,875</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102,480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243,009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122,137</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(94,411)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(91,317)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(91,629)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(91,635)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7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286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1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3,854 %</w:t>
            </w: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8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4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4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3"/>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4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2021.</w:t>
            </w: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6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153,287</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86,551</w:t>
            </w:r>
          </w:p>
        </w:tc>
        <w:tc>
          <w:tcPr>
            <w:tcW w:w="8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66,736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46,932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4,930 %</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25,140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112,643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115,662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revenue increased $115.7 million, or 103%, during the year ended December 31, 2022 as compared to the year ended December 31, 2021.</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Subscription revenue increased $66.7 million, or 77%, during the year ended December 31, 2022 as compared to the year ended December 31, 2021 due to a growth in total subscriptions, including 23% growth in Paying Circles, and to a lesser extent the price increases for Life360 subscriptions implemented during the quarter ended December 31, 2022. In addition, the increase was also partially attributable to the inclusion of Tile subscription services of $17.2 million and a full year contribution of Jiobit subscription revenue.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Hardware revenue increased $46.9 million, or 4,930%, during the year ended December 31, 2022 as compared to the year ended December 31, 2021 due to the inclusion of hardware sales related to Tile and a full year of Jiobit hardware sales.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$2.0 million, or 8%, during the year ended December 31, 2022 as compared to the year ended December 31, 2021, due to our strategic shift to focus on a single aggregated data arrangement and the transition period term overlap with legacy agreements.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4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costs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17,807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45,441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3,291 %</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22,768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89,875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CCEEFF"/>
            </w:tcBorders>
            <w:shd w:val="clear" w:color="auto" w:fill="CCEEFF"/>
          </w:tcPr>
          <w:p>
            <w:pPr>
              <w:spacing w:after="0"/>
              <w:rPr>
                <w:sz w:val="19"/>
                <w:szCs w:val="19"/>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8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Cost of subscription revenue increased by $12.9 million, or 72%, during the year ended December 31, 2022 as compared to the year ended December 31, 2021, primarily due to $6.0 million in technology expenses as a result of the inclusion of costs related to cloud infrastructure associated with the Tile and Jiobit subscription offerings, an increase of $4.0 million related to volume growth for Life360 subscriptions, an increase of $0.9 million related to depreciation and amortization associated with the Tile and Jiobit acquisitions, $0.8 million in additional personnel-related costs and stock-based compensation due to increased headcount and an increase of $0.5 million due to an increase in professional and consulting fees. The remaining increase of $0.7 million is attributable to other related expenses associated with Company growth.</w:t>
      </w:r>
    </w:p>
    <w:p>
      <w:pPr>
        <w:spacing w:after="0" w:line="1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Subscription gross margin increased slightly to 80% during the year ended December 31, 2022 from 79% during the year ended December 31, 2021, primarily due to the subscription price increases implemented by the Company during the fourth quarter of the year ended December 31, 2022.</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Cost of hardware revenue increased by $44.1 million, or 3,291%, during the year ended December 31, 2022 as compared to the year ended December 31, 2021, primarily due to the inclusion of hardware costs of approximately $33.5 million related to Tile and a full year of Jiobit hardware costs, $4.3 million in additional personnel-related costs and stock-based compensation due to increased headcount, an additional $3.6 million related to depreciation and amortization associated with the Tile and Jiobit acquisitions, an additional $2.0 million in technology expenses and $0.4 million in professional and outside services due to higher contractor spend as a result of increased scaling of the combined business. The remaining increase of $0.3 million is attributable to other expenses associated with Company growth.</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Hardware gross margin increased to 5% during the year ended December 31, 2022 as compared to the year ended December 31, 2021 due to the different profile of Tile hardware products that represent a significant portion of hardware sales in 2022, while 2021 included only Jiobit products. Margins were negatively impacted by the inclusion of amortization expense recognized on acquired technology related to intangible assets as well as additional personnel-related costs and stock-based compensation due to increased headcount.</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other revenue decreased slightly for the year ended December 31, 2022 as compared to the year ended December 31, 2021. The Company saw a decline in other cost of revenues as a result of the transition to a single aggregated Data Partner, however this decline was offset by increased costs incurred during the transition period of legacy arrangements to the single Data Partner.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gross margin increased to 87% during the year ended December 31, 2022 from 86% during the year ended December 31, 2021, primarily due to cloud infrastructure optimization.</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jc w:val="center"/>
              <w:ind w:left="54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102,480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51,486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bl>
    <w:p>
      <w:pPr>
        <w:spacing w:after="0" w:line="29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$51.5 million, or 101%, during the year ended December 31, 2022 as compared to the year ended December 31, 2021. The increase was primarily due to an increase of $38.2 million in personnel-related costs and stock-based compensation due to headcount growth attributable to the Tile and Jiobit acquisitions, an increase of $7.8 million in technology expenses due to higher costs primarily related to increased cloud and data server infrastructure needs associated with the full year inclusion of Tile and Jiobit, an increase of $4.7 million in professional and outside services due to higher contractor spend as a result of increased scaling of the combined business, and an increase of $0.8 million in costs associated with increased expenses associated with headcount growth.</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92,419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44,946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bl>
    <w:p>
      <w:pPr>
        <w:spacing w:after="0" w:line="2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$44.9 million, or 95%, during the year ended December 31, 2022 as compared to the year ended December 31, 2021. This increase was primarily due to a $24.4 million increase in marketing expenses consisting of increases of $9.8 million in paid user acquisition spend, $9.5 million in Channel Partner commission charges, $4.1 million in television advertising spend, and $1.0 million in other marketing spend, respectively. The increase was also related to an additional $11.8 million in personnel and related costs and stock-based compensation due to increased headcount, an increase of $4.0 million in depreciation and amortization related to the amortization of intangible assets acquired from the Tile and Jiobit acquisitions, an increase of $2.4 million due to higher contractor spend as a result of increased scaling of the combined business, and a $2.3 million increase in technology and other expenses due to higher costs to support headcount growth.</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48,110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bl>
    <w:p>
      <w:pPr>
        <w:spacing w:after="0" w:line="2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increased $24.4 million, or 103%, during the year ended December 31, 2022 as compared to the year ended December 31, 2021. As a result of our continued investment in headcount and acquisitions, personnel and related costs and stock-based compensation increased by $20.6 million. In addition, professional and outside services increased by $12.5 million primarily due to Tile Acquisition costs of approximately $5.0 million and increased expenses related to accounting, legal and advisory services in connection with the Company’s initial Form 10 filing in April 2022 and the subsequent SEC review process, which was completed in July 2022. These increases were partially offset by a change in the gain or loss on the contingent consideration between 2022 and 2021 related to the Jiobit Acquisition of approximately $8.9 million as it was determined a portion of the contingent consideration metrics would not be met. The remaining increase of $0.2 million is attributable to other general and administrative expenses associated with Company growth.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recorded a gain associated with the convertible notes fair value adjustment of $1.8 million and a loss of $0.5 million, respectively. The change in fair value is primarily driven by the share price volatility and reduction in time to convert.</w:t>
      </w:r>
    </w:p>
    <w:p>
      <w:pPr>
        <w:spacing w:after="0" w:line="200" w:lineRule="exact"/>
        <w:rPr>
          <w:sz w:val="20"/>
          <w:szCs w:val="20"/>
          <w:color w:val="auto"/>
        </w:rPr>
      </w:pP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derivative liability fair value decreased by $1.3 million, or 93%, during the year ended December 31, 2022 as compared to the year ended December 31, 2021. The changes are due to the revaluation of the derivative liability at each reporting period and are related to embedded redemption features bifurcated from the July 2021 Convertible Notes issued to investors.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increased $0.2 million, or 107%, during the year ended December 31, 2022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Other income (expense) includes interest income, foreign exchange losses, and interest expense associated with the Convertible Notes.</w:t>
      </w: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(Benefit) for Income Taxes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increased $0.4 million, or 346%, during the year ended December 31, 2022 as compared to the year ended December 31, 2021. The increases are primarily due to the tax effects related to the Tile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Net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w:t>
            </w:r>
          </w:p>
        </w:tc>
        <w:tc>
          <w:tcPr>
            <w:tcW w:w="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 except ARPPC, ARPPS and ASP)</w:t>
            </w:r>
          </w:p>
        </w:tc>
        <w:tc>
          <w:tcPr>
            <w:tcW w:w="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AMR</w:t>
            </w: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224.4</w:t>
            </w:r>
          </w:p>
        </w:tc>
        <w:tc>
          <w:tcPr>
            <w:tcW w:w="144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139.8</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MAUs</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Paying Circles</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ARPPC</w:t>
            </w:r>
          </w:p>
        </w:tc>
        <w:tc>
          <w:tcPr>
            <w:tcW w:w="1260" w:type="dxa"/>
            <w:vAlign w:val="bottom"/>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95.40</w:t>
            </w:r>
          </w:p>
        </w:tc>
        <w:tc>
          <w:tcPr>
            <w:tcW w:w="1440" w:type="dxa"/>
            <w:vAlign w:val="bottom"/>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80.20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ARPPS*</w:t>
            </w:r>
          </w:p>
        </w:tc>
        <w:tc>
          <w:tcPr>
            <w:tcW w:w="1260" w:type="dxa"/>
            <w:vAlign w:val="bottom"/>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79.75</w:t>
            </w:r>
          </w:p>
        </w:tc>
        <w:tc>
          <w:tcPr>
            <w:tcW w:w="1440" w:type="dxa"/>
            <w:vAlign w:val="bottom"/>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67.70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hardware units shipped*</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ASP*</w:t>
            </w:r>
          </w:p>
        </w:tc>
        <w:tc>
          <w:tcPr>
            <w:tcW w:w="1260" w:type="dxa"/>
            <w:vAlign w:val="bottom"/>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13.47</w:t>
            </w:r>
          </w:p>
        </w:tc>
        <w:tc>
          <w:tcPr>
            <w:tcW w:w="1440" w:type="dxa"/>
            <w:vAlign w:val="bottom"/>
          </w:tcPr>
          <w:p>
            <w:pPr>
              <w:jc w:val="right"/>
              <w:ind w:right="11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jc w:val="both"/>
        <w:ind w:left="20" w:right="40"/>
        <w:spacing w:after="0" w:line="231" w:lineRule="auto"/>
        <w:rPr>
          <w:sz w:val="20"/>
          <w:szCs w:val="20"/>
          <w:color w:val="auto"/>
        </w:rPr>
      </w:pPr>
      <w:r>
        <w:rPr>
          <w:rFonts w:ascii="Times New Roman" w:cs="Times New Roman" w:eastAsia="Times New Roman" w:hAnsi="Times New Roman"/>
          <w:sz w:val="18"/>
          <w:szCs w:val="18"/>
          <w:color w:val="auto"/>
        </w:rPr>
        <w:t>*Metrics presented for the years ended December 31, 2022 and 2021 are adjusted and include pre-acquisition data for Tile and Jiobit related to periods before the acquisitions of Tile on January 5, 2022 and Jiobit on September 1, 2021.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Annualized Monthly Revenue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use Annualized Monthly Revenue (“AMR”) to identify the annualized monthly value of active customer agreements for a particular period. AMR includes the annualized monthly value of subscription, data and partnership agreements. All components of these agreements that are not expected to recur are excluded. AMR as of December 31, 2022, and 2021 was $224.4 million and $139.8 million, respectively, representing an increase of 61% year-over-year.</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Monthly Active Users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 large and growing global member base as of December 31, 2022. A Life360 Monthly Active User (“MAU”) is defined as a unique user who engages with our Life360 branded services each month, which includes both paying and non-paying members. As of December 31, 2022 and 2021, we had approximately 48.6 million and approximately 35.5 million MAUs on the Life360 Platform, respectively, representing an increase of 37% year-over-year. We believe this has been driven by continued strong organic member growth and retention.</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Paying Circles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define a Paying Circle as a group of Life360 users with a paying subscription. Each subscription covers all members in the payor’s Circle so everyone in the Circle can utilize the benefits of a Life360 Membership, including access to premium location, driving, digital and emergency safety insights and services.</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had approximately 1.5 million and 1.2 million paid subscribers to services under our Life360 brand, respectively, representing an increase of 23% year-over-year.</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grow the number of Paying Circles by increasing our free member base, converting free members to subscribers, and retaining them over time with the provision of high-quality family and safety services. We have experienced strong recent growth in the number of paying subscribers.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Circle</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define Average Revenue per Paying Circle (“ARPPC”) as subscription revenue derived from the Life360 mobile application for the reported period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our ARPPC was $95.40 and $80.20, respectively. As a result of an increase in Paying Circles combined with an increased mix of sales towards higher-priced subscription plans, we experienced an increase of 19% in our ARPPC year-over-year.</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ARPPC is a key indicator utilized by Life360 to determine the effective penetration of our tiered product offering for Paying Circles. The increase in pricing for new Paying Circles in August 2022 has led to subscribers signing up for higher price products over time, increasing ARPPC.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Subscriptions as the number of paying subscribers associated with the Life360, Tile and Jiobit brands as of the end of the period.</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Average Revenue per Paying Subscription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define ARPPS as total subscription revenue for the respective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ARPPS for the years ended December 31, 2022 and 2021 was $79.75 and $67.70, respectively, representing an increase of $12.05, or 18% year-over-year.</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ARPPS has increased year over year as a result of the percentage of subscribers who select higher priced subscriptions, including Life360 membership tiers, has increased over time.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Hardware Units Shipped</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hardware units shipped represents the number of tracking devices sold during a period, net of returns by our retail partners and directly to consumers. Selling units contributes to hardware revenue and ultimately increases the number of users eligible for a Tile or Jiobit subscription. For the year ended December 31, 2022, Life360 sold approximately 3.6 million units, down approximately 42% as compared to the 6.2 million units sold during the year ended December 31, 2021, reflecting the backdrop of weaker consumer electronics category demand and high retail channel inventory levels.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Average Sales Price</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determine the net ASP of a unit, we divide hardware revenue recognized during a period by the number of net hardware units shipped (“ASP”) during the same period. ASP is largely driven by the price we charge customers, including the price we charge our retail partners, net of customer allowances, and directly to consumers. For the year ended December 31, 2022, the net ASP of a unit was $13.47, a decrease of 10% compared to the year ended December 31, 2021, reflecting a change in product mix, increased promotional activity and higher levels of returns.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spacing w:after="0" w:line="183" w:lineRule="exact"/>
        <w:rPr>
          <w:sz w:val="20"/>
          <w:szCs w:val="20"/>
          <w:color w:val="auto"/>
        </w:rPr>
      </w:pPr>
    </w:p>
    <w:p>
      <w:pPr>
        <w:jc w:val="both"/>
        <w:ind w:firstLine="405"/>
        <w:spacing w:after="0" w:line="269" w:lineRule="auto"/>
        <w:rPr>
          <w:sz w:val="20"/>
          <w:szCs w:val="20"/>
          <w:color w:val="auto"/>
        </w:rPr>
      </w:pPr>
      <w:r>
        <w:rPr>
          <w:rFonts w:ascii="Times New Roman" w:cs="Times New Roman" w:eastAsia="Times New Roman" w:hAnsi="Times New Roman"/>
          <w:sz w:val="17"/>
          <w:szCs w:val="17"/>
          <w:color w:val="auto"/>
        </w:rPr>
        <w:t xml:space="preserve">On March 10, 2023, we had a banking relationship with SVB. As of the closure of SVB on March 10, 2023, we held $6.1 million in direct deposits with SVB, which represented approximately 6.4% of our total cash and cash equivalents as of that date. We also held </w:t>
      </w:r>
      <w:r>
        <w:rPr>
          <w:rFonts w:ascii="Times New Roman" w:cs="Times New Roman" w:eastAsia="Times New Roman" w:hAnsi="Times New Roman"/>
          <w:sz w:val="17"/>
          <w:szCs w:val="17"/>
          <w:color w:val="231F20"/>
        </w:rPr>
        <w:t>$75.4 million in shares of money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market mutual funds managed by Morgan Stanley, Blackrock and Western Asset, for which SVB acted as custodian. </w:t>
      </w:r>
      <w:r>
        <w:rPr>
          <w:rFonts w:ascii="Times New Roman" w:cs="Times New Roman" w:eastAsia="Times New Roman" w:hAnsi="Times New Roman"/>
          <w:sz w:val="17"/>
          <w:szCs w:val="17"/>
          <w:color w:val="000000"/>
        </w:rPr>
        <w:t>SVB was closed on March 10, 2023</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by the California Department of Financial Protection and Innovation, which appointed the FDIC as receiver. On March 12, 2023, the U.S. Treasury, Federal Reserve, and FDIC announced that SVB depositors will have access to all of their money starting March 13, 2023. On March 13, 2023, we regained access to our funds held in SVB accounts. While we have not experienced any losses in such accounts, the recent failure of SVB exposed us to significant credit risk prior to the completion by the FDIC of the resolution of SVB in a manner that fully protected all depositors. We are in the process of transferring our accounts to one or more alternate depository institutions, the financial position of which management believes does not expose our company to significant credit risk or jeopardize our liquidity. Additionally, we may be impacted by adverse developments which affect financial institutions, transactional counterparties, other companies in the financial services industry, or the financial services industry generally, which have in the past and may in the future threaten our ability to access our existing cash and cash equivalents and could have a material adverse effect on our business and financial condition.</w:t>
      </w:r>
    </w:p>
    <w:p>
      <w:pPr>
        <w:spacing w:after="0" w:line="18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A number of our users pay in advance for annual subscriptions, while a majority pay in advance for monthly subscriptions. Deferred revenue consists of the unearned portion of customer billings, which is recognized as revenue in accordance with our revenue recognition policy. As of December 31, 2022 and 2021, we had deferred revenue of $32.8 million and $13.9 million, respectively, of which $30.1 million and $13.9 million is expected to be recorded as revenue in the next 12 months, provided all other revenue recognition criteria have been met.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8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760" w:type="dxa"/>
            <w:vAlign w:val="bottom"/>
            <w:gridSpan w:val="2"/>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193,951</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40" w:type="dxa"/>
            <w:vAlign w:val="bottom"/>
          </w:tcPr>
          <w:p>
            <w:pPr>
              <w:spacing w:after="0"/>
              <w:rPr>
                <w:sz w:val="19"/>
                <w:szCs w:val="19"/>
                <w:color w:val="auto"/>
              </w:rPr>
            </w:pPr>
          </w:p>
        </w:tc>
        <w:tc>
          <w:tcPr>
            <w:tcW w:w="132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64</w:t>
            </w: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3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paying users for subscriptions to our platform and hardware device sales. Our primary uses of cash from operating activities are for employee-related expenditures, inventory, infrastructure-related costs, commissions and other marketing expenses. Net cash used in operating activities is impacted by our net loss adjusted for certain non-cash items, including depreciation and amortization expenses, amortization of costs capitalized to obtain contracts, change in fair value of convertible notes, derivative liability, and contingent consideration, and stock-based compensation, as well as the effect of changes in operating assets and liabilities.</w:t>
      </w:r>
    </w:p>
    <w:p>
      <w:pPr>
        <w:spacing w:after="0" w:line="18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$57.1 million. The primary factors affecting our operating cash flows during this period were our net loss of $91.6 million, impacted by $37.3 million of non-cash charges, and $2.8 million of cash provided by changes in our operating assets and liabilities. The non-cash charges primarily consisted of $34.7 million in stock-based compensation, $9.2 million of depreciation and amortization, $5.3 million in gains on revaluation of contingent consideration, $2.9 million of amortization of costs capitalized to obtain contracts, $1.8 million gain in convertible notes fair value adjustment, $1.5 million non-cash revenue from affiliate, and $1.3 million gain in derivative liability fair value adjustment. The cash provided by changes in our operating assets and liabilities was primarily due to a $10.6 million decrease in prepaid expenses and other assets, a $6.5 million decrease in accounts receivable, net, and a $4.7 million increase in deferred revenue. These amounts were partially offset by a $12.7 million decrease in accounts payable, a $7.7 million decrease in accrued expenses and other liabilities, a $3.3 million increase in costs capitalized to obtain contracts, a $0.5 million increase in inventory, and a $0.3 million increase in other noncurrent liabilities.</w:t>
      </w:r>
    </w:p>
    <w:p>
      <w:pPr>
        <w:spacing w:after="0" w:line="18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2021, net cash used in operating activities was $12.2 million. The primary factors affecting our operating cash flows during this period were our net loss of $33.6 million, impacted by $21.8 million non-cash charges and $0.4 million of cash used by changes in our operating assets and liabilities. The non-cash charges primarily consisted of $11.8 million in stock-based compensation, $4.0 million in amortization of costs capitalized to obtain contracts, $3.6 million loss on revaluation of contingent consideration, a $0.7 million loss attributable to the derivative liability fair value adjustment, and $0.9 million of depreciation and amortization. The cash used by changes in our operating assets and liabilities was primarily due to a $4.7 million increase in accrued expenses and other liabilities, a $1.7 million increase in deferred revenue, and a $0.6 million increase in accounts payable. These amounts were partially offset by a $2.7 million increase in accounts receivable, net, a $1.7 million increase in costs capitalized to obtain contracts, net, a $1.2 million decrease in other noncurrent liabilities, a $0.9 million increase in prepaid expenses and other assets, and a $0.9 million increase in inventory.</w:t>
      </w: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$111.6 million, which relates to $110.9 million of cash paid for the Tile Acquisition, net of cash acquired and $0.7 million related to the capitalization of internal use software costs.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was $7.1 million, which relates to a $4.0 million cash advance on convertible note receivable and $3.0 million of cash paid for the Jiobit Acquisition, net of cash acquired.</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$27.7 million, which relates to</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$32.2 million of proceeds from a capital raise, $2.4 million of proceeds from the exercise of options, and $0.6 million of proceeds from the repayment of notes due from affiliates, partially offset by $4.1 million of taxes paid related to net settlement of equity awards and $3.5 million of repayment of convertible notes.</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$194.0 million, which primarily related to $193.1 million of proceeds from a capital raise, $3.5 million of proceeds from the exercise of options, and $2.1 million in cash received associated with the issuance of convertible notes offset by $4.7 million of taxes paid related to net settlement of equity awards.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Other Commitments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convertible notes, operating leases for office space, and other purchase commitments. Our obligations under our convertible notes are described in Notes 6 and 9 to our consolidated financial statements. Information regarding our non-cancellable lease and other purchase commitments as of December 31, 2022, can be found in Notes 8 and 11 to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to our consolidated financial statements and to our interim financial statements included elsewhere in this Annual Report on Form 10-K.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derive revenue from subscription fees (which include support fees), the sale of Tile and Jiobit hardware devices, and other data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63" w:lineRule="exact"/>
        <w:rPr>
          <w:sz w:val="20"/>
          <w:szCs w:val="20"/>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Subscription Revenue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Subscription revenue, which includes support, is recognized on a straight-line basis over the non-cancellable contractual term of the arrangement, generally beginning on the date that our service is made available to the customer. We also generate revenue from the Tile Premium Subscription and Jiobit Subscription offerings. We consider delivery of services to have occurred as control is transferred.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Hardware Revenue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derive a majority of our hardware revenue from sales of Tile and Jiobit hardware devices.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Revenue</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majority of the Company’s traditional data partner contracts have been terminated in 2022 and as discussed herein, the Company is in the process of winding down the traditional data brokerage business and has moved toward an aggregated data sales model. In the meantime, other revenue includes agreements with third parties to provide access to and use of Life360 data as well as advertising on the Company’s mobile platform.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Access to the Company’s data represents a series of distinct services as the Company continually provides access to the data, fulfills its obligation to the customer over the non-cancelable contractual term, and the customer receives and consumes the benefit of the data throughout the contract period. The series of distinct services represents a single performance obligation that is satisfied over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Arrangements with Multiple Performance Obligations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hardware sales arrangements typically contain multiple performance obligations, consisting of the hardware sale, application usage, hardware support, and in some cases, subscriptions. For arrangements with multiple performance obligations where the contracted price differs from the stand-alone selling price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deliverable. For business-to-business hardware sales, we will estimate the expected consideration amount after credits and discounts.</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Amounts allocated to the delivered hardware devices are recognized at the time of delivery, provided the other conditions for revenue recognition have been met, with a portion of the consideration being allocated to application usage (maintenance) and support. Amounts allocated to subscriptions are deferred and recognized ratably over the subscription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Incentives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offer sales incentives through various programs, consisting primarily of cooperative advertising and pricing promotions to retailers and distributors. We record advertising with customers as a reduction to revenue unless we receive a distinct benefit in exchange for credits claimed by the customer and can reasonably estimate the fair value of the distinct benefit received, in which case we record it as a marketing expense. We recognize a liability and reduce revenue for rebates or other incentives based on the estimated amount of rebates or credits that will be claimed by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Warranty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offer a standard product warranty that our products will operate under normal use for a period of one year from the date of original purchase. We also offer extended warranties generally for a period of three years for devices with replaceable batteries. We will either repair or replace the defective product. At the time revenue is recognized, an estimate of future warranty costs is recorded as a component of cost of revenues. Factors that affect the warranty obligation include product failure rates, service delivery costs incurred in correcting the product failures, and warranty policies. Our products are manufactured by contractor manufacturers, and in certain cases, we may have recourse to such contract manufacturers.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Inventory Valuation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 and finished goods which are purchased from contract manufacturers. Inventories are stated at the lower of cost or net realizable value, with costs being computed on a weighted average basis. We assess the valuation of inventory and periodically write down the value for estimated excess and obsolete inventory based upon estimates of future demand and market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Costs Capitalized to Obtain Contracts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Revenue-share payments to third parties in connection with initial annual subscription sales of the Company’s mobile application on third-party store platforms, are considered to be incremental and recoverable costs of obtaining a contract with a customer. These costs are recognized and amortized over the average customer life, which was approximately two to three years depending on the subscription type. The Company determines the period of benefit by taking into consideration the average customer life based upon its assessment of historical data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 Expense</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and Restricted Stock Units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18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use of the Black-Scholes option pricing model requires the input of highly subjective assumptions, including the fair value of the underlying shares of our common stock, the expected term of the option, the expected volatility of the price of our common stock, risk-free interest rates and the expected dividend yield of our common stock. The assumptions used to determine the fair value of the awards represent management’s best estimates. These estimates involve inherent uncertainties and the application of management’s judgment.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assumptions and estimates are as follows:</w:t>
      </w:r>
    </w:p>
    <w:p>
      <w:pPr>
        <w:spacing w:after="0" w:line="113" w:lineRule="exact"/>
        <w:rPr>
          <w:sz w:val="20"/>
          <w:szCs w:val="20"/>
          <w:color w:val="auto"/>
        </w:rPr>
      </w:pPr>
    </w:p>
    <w:p>
      <w:pPr>
        <w:jc w:val="both"/>
        <w:ind w:left="660" w:hanging="166"/>
        <w:spacing w:after="0" w:line="26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Common Stock. </w:t>
      </w:r>
      <w:r>
        <w:rPr>
          <w:rFonts w:ascii="Times New Roman" w:cs="Times New Roman" w:eastAsia="Times New Roman" w:hAnsi="Times New Roman"/>
          <w:sz w:val="18"/>
          <w:szCs w:val="18"/>
          <w:color w:val="auto"/>
        </w:rPr>
        <w:t>Since the listing of our CDIs on the ASX, the fair value of common stock is based on the closing price of our CDIs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ASX as reported in Australian dollars, adjusted to reflect the CDI/per share of common stock ratio in effect, and translated to U.S. dollars based on the date of grant of our common stock.</w:t>
      </w:r>
    </w:p>
    <w:p>
      <w:pPr>
        <w:spacing w:after="0" w:line="8" w:lineRule="exact"/>
        <w:rPr>
          <w:rFonts w:ascii="Times New Roman" w:cs="Times New Roman" w:eastAsia="Times New Roman" w:hAnsi="Times New Roman"/>
          <w:sz w:val="18"/>
          <w:szCs w:val="18"/>
          <w:color w:val="auto"/>
        </w:rPr>
      </w:pPr>
    </w:p>
    <w:p>
      <w:pPr>
        <w:jc w:val="both"/>
        <w:ind w:left="660" w:hanging="166"/>
        <w:spacing w:after="0" w:line="25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for employees is based on the simplified method, as the Company’s stock options have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7" w:lineRule="exact"/>
        <w:rPr>
          <w:rFonts w:ascii="Times New Roman" w:cs="Times New Roman" w:eastAsia="Times New Roman" w:hAnsi="Times New Roman"/>
          <w:sz w:val="18"/>
          <w:szCs w:val="18"/>
          <w:color w:val="auto"/>
        </w:rPr>
      </w:pPr>
    </w:p>
    <w:p>
      <w:pPr>
        <w:jc w:val="both"/>
        <w:ind w:left="660" w:hanging="166"/>
        <w:spacing w:after="0" w:line="25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Since we have limited trading history of CDIs, interests in our common stock, the expected volatility is determined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historical stock volatilities of our comparable companies, and the Company’s trading data since listing on the ASX. Comparable companies consist of public companies in our industry, which are similar in size, stage of life cycle and financial leverage. The Company will continue to analyze the historical stock price volatility and expected term assumptions as more historical data for the Company’s common stock becomes available.</w:t>
      </w:r>
    </w:p>
    <w:p>
      <w:pPr>
        <w:spacing w:after="0" w:line="17"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We base the risk-free interest rate on the implied yield available on U.S. Treasury zero-coupon issues with a remaining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equivalent to that of the options for each expected term.</w:t>
      </w:r>
    </w:p>
    <w:p>
      <w:pPr>
        <w:spacing w:after="0" w:line="1" w:lineRule="exact"/>
        <w:rPr>
          <w:rFonts w:ascii="Times New Roman" w:cs="Times New Roman" w:eastAsia="Times New Roman" w:hAnsi="Times New Roman"/>
          <w:sz w:val="18"/>
          <w:szCs w:val="18"/>
          <w:color w:val="auto"/>
        </w:rPr>
      </w:pPr>
    </w:p>
    <w:p>
      <w:pPr>
        <w:ind w:left="660" w:hanging="166"/>
        <w:spacing w:after="0" w:line="28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expected dividend assumption is based on our current expectations about our anticipated dividend policy. As we have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of paying any dividends and have no plans to pay dividends in the foreseeable future, we used an expected dividend yield of zero.</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 pricing model to determine the fair value of our stock options: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14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3.87</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65 %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2.22 %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0.68 %</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and expected term utilized in our share-based compensation expense calculations on a prospective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Common Stock Valuations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After completion of the listing of our CDIs on the ASX, our Board determines the fair value of each underlying share of our common stock based on the closing price of our CDIs as reported on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estimate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our balance sheet. In general, deferred tax assets represent future tax benefits to be received when certain expenses previously recognized in our statements of operations and comprehensive loss become deductible expenses under applicable income tax laws or when net operating loss or credit carryforwards are utilized. Accordingly, realization of our deferred tax assets is dependent on future taxable income against which these deductions, losses and credits can be utilized.</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must assess the likelihood that our deferred tax assets will be recovered from future taxable income, and to the extent we believe that recovery is not likely, we establish a valuation allowance. The assessment of whether or not a valuation allowance is required often requires significant judgment including current and historical operating results, the forecast of future taxable income and on-going prudent and feasible tax planning initiatives. 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right="660" w:firstLine="405"/>
        <w:spacing w:after="0" w:line="286" w:lineRule="auto"/>
        <w:rPr>
          <w:sz w:val="20"/>
          <w:szCs w:val="20"/>
          <w:color w:val="auto"/>
        </w:rPr>
      </w:pPr>
      <w:r>
        <w:rPr>
          <w:rFonts w:ascii="Times New Roman" w:cs="Times New Roman" w:eastAsia="Times New Roman" w:hAnsi="Times New Roman"/>
          <w:sz w:val="18"/>
          <w:szCs w:val="18"/>
          <w:color w:val="auto"/>
        </w:rPr>
        <w:t>See Note 2, “Summary of Significant Accounting Policies,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our consolidated financial statements included in Item 8 of Part II hereof for a discussion of recent accounting pronouncements.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Jumpstart Our Business Startups (“JOBS”) Act Accounting Elections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are an emerging growth company, as defined in the JOBS Act. The JOBS Act provides that an emerging growth company can </w:t>
      </w:r>
      <w:r>
        <w:rPr>
          <w:rFonts w:ascii="Times New Roman" w:cs="Times New Roman" w:eastAsia="Times New Roman" w:hAnsi="Times New Roman"/>
          <w:sz w:val="18"/>
          <w:szCs w:val="18"/>
          <w:color w:val="231F20"/>
        </w:rPr>
        <w:t>take advantage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we had $75.4 million and $231.0 million, respectively, of cash equivalents invested in cash and cash equivalents and money market funds. Our cash and cash equivalents are held for working capital purposes.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a hypothetical 10% relative change in interest rates would not have a material impact on our consolidated financial statements.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 Risk</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we had $7.0 million and $23.2 million of liabilities that are measured at fair value, respectively. Fair value measurements include significant assumptions that are driven by market conditions and macroeconomic factors at measurement dates. Our consolidated results of operations are therefore subject to market fluctuations and may be affected in the future as a result of these fair value 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320" w:type="dxa"/>
            <w:vAlign w:val="bottom"/>
            <w:gridSpan w:val="6"/>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BDO USA, LLP</w:t>
            </w:r>
          </w:p>
        </w:tc>
        <w:tc>
          <w:tcPr>
            <w:tcW w:w="100" w:type="dxa"/>
            <w:vAlign w:val="bottom"/>
            <w:vMerge w:val="restart"/>
          </w:tcPr>
          <w:p>
            <w:pPr>
              <w:jc w:val="right"/>
              <w:spacing w:after="0" w:line="193" w:lineRule="exact"/>
              <w:rPr>
                <w:sz w:val="20"/>
                <w:szCs w:val="20"/>
                <w:color w:val="auto"/>
              </w:rPr>
            </w:pPr>
            <w:r>
              <w:rPr>
                <w:rFonts w:ascii="Times New Roman" w:cs="Times New Roman" w:eastAsia="Times New Roman" w:hAnsi="Times New Roman"/>
                <w:sz w:val="18"/>
                <w:szCs w:val="18"/>
                <w:color w:val="0000FF"/>
                <w:w w:val="78"/>
              </w:rPr>
              <w: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San Francisco, CA</w:t>
            </w:r>
          </w:p>
        </w:tc>
        <w:tc>
          <w:tcPr>
            <w:tcW w:w="1060" w:type="dxa"/>
            <w:vAlign w:val="bottom"/>
            <w:vMerge w:val="restart"/>
          </w:tcPr>
          <w:p>
            <w:pPr>
              <w:spacing w:after="0" w:line="193" w:lineRule="exact"/>
              <w:rPr>
                <w:sz w:val="20"/>
                <w:szCs w:val="20"/>
                <w:color w:val="auto"/>
              </w:rPr>
            </w:pPr>
            <w:r>
              <w:rPr>
                <w:rFonts w:ascii="Times New Roman" w:cs="Times New Roman" w:eastAsia="Times New Roman" w:hAnsi="Times New Roman"/>
                <w:sz w:val="18"/>
                <w:szCs w:val="18"/>
                <w:color w:val="0000FF"/>
                <w:w w:val="97"/>
              </w:rPr>
              <w:t>; PCAOB ID #</w:t>
            </w:r>
          </w:p>
        </w:tc>
        <w:tc>
          <w:tcPr>
            <w:tcW w:w="262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w w:val="90"/>
              </w:rPr>
              <w:t>243</w:t>
            </w:r>
            <w:r>
              <w:rPr>
                <w:rFonts w:ascii="Times New Roman" w:cs="Times New Roman" w:eastAsia="Times New Roman" w:hAnsi="Times New Roman"/>
                <w:sz w:val="18"/>
                <w:szCs w:val="18"/>
                <w:u w:val="single" w:color="auto"/>
                <w:color w:val="0000FF"/>
                <w:w w:val="90"/>
              </w:rPr>
              <w:t>)</w:t>
            </w: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320" w:type="dxa"/>
            <w:vAlign w:val="bottom"/>
            <w:tcBorders>
              <w:bottom w:val="single" w:sz="8" w:color="0000FF"/>
            </w:tcBorders>
            <w:gridSpan w:val="6"/>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60" w:type="dxa"/>
            <w:vAlign w:val="bottom"/>
            <w:tcBorders>
              <w:bottom w:val="single" w:sz="8" w:color="0000FF"/>
            </w:tcBorders>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9"/>
        </w:trPr>
        <w:tc>
          <w:tcPr>
            <w:tcW w:w="106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8340" w:type="dxa"/>
            <w:vAlign w:val="bottom"/>
            <w:gridSpan w:val="10"/>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6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8"/>
                <w:szCs w:val="18"/>
                <w:color w:val="auto"/>
              </w:rPr>
            </w:pPr>
          </w:p>
        </w:tc>
        <w:tc>
          <w:tcPr>
            <w:tcW w:w="690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Life360, Inc. (the “Company”) as of December 31, 2022 and 2021, the related consolidated statements of operations and comprehensive loss, stockholders’ equity, and cash flows for each of the three years in the period ended December 31, 2022, and the related notes to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2023</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230,990</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256,680</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Right-of-use-asset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31,127</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Escrow liability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($3,513 and $4,222 measured at fair value, respectively)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0" w:type="dxa"/>
            <w:vAlign w:val="bottom"/>
          </w:tcPr>
          <w:p>
            <w:pPr>
              <w:spacing w:after="0"/>
              <w:rPr>
                <w:sz w:val="1"/>
                <w:szCs w:val="1"/>
                <w:color w:val="auto"/>
              </w:rPr>
            </w:pP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noncurrent ($3,425 and $8,071 measured at fair value, respectively)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100,000,000 shares authorized as of December 31, 2022 and December 31,</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58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2021; 65,239,843 and 60,221,799 issued and outstanding as of December 31, 2022 and December 31, 2021,</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416,278</w:t>
            </w:r>
          </w:p>
        </w:tc>
        <w:tc>
          <w:tcPr>
            <w:tcW w:w="0" w:type="dxa"/>
            <w:vAlign w:val="bottom"/>
          </w:tcPr>
          <w:p>
            <w:pPr>
              <w:spacing w:after="0"/>
              <w:rPr>
                <w:sz w:val="1"/>
                <w:szCs w:val="1"/>
                <w:color w:val="auto"/>
              </w:rPr>
            </w:pPr>
          </w:p>
        </w:tc>
      </w:tr>
      <w:tr>
        <w:trPr>
          <w:trHeight w:val="229"/>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due from affiliates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(165,343)</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339,630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302,376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(including related party revenue of $0, $0 and $195,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hardware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65,260</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440" w:type="dxa"/>
            <w:vAlign w:val="bottom"/>
            <w:gridSpan w:val="2"/>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 (Note 18)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62,209,545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49,346,050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diluted (Note 18)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51,656,195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49,346,050</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 Due</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82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tcPr>
          <w:p>
            <w:pPr>
              <w:spacing w:after="0"/>
              <w:rPr>
                <w:sz w:val="9"/>
                <w:szCs w:val="9"/>
                <w:color w:val="auto"/>
              </w:rPr>
            </w:pPr>
          </w:p>
        </w:tc>
        <w:tc>
          <w:tcPr>
            <w:tcW w:w="92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from</w:t>
            </w:r>
          </w:p>
        </w:tc>
        <w:tc>
          <w:tcPr>
            <w:tcW w:w="1080" w:type="dxa"/>
            <w:vAlign w:val="bottom"/>
            <w:gridSpan w:val="3"/>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48,840,675</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(115,452)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72,066</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895,430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services rendered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302,607</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accrued relating to notes due from affiliates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50,035,408</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50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196,852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(131,786)</w:t>
            </w:r>
          </w:p>
        </w:tc>
        <w:tc>
          <w:tcPr>
            <w:tcW w:w="80" w:type="dxa"/>
            <w:vAlign w:val="bottom"/>
          </w:tcPr>
          <w:p>
            <w:pPr>
              <w:spacing w:after="0"/>
              <w:rPr>
                <w:sz w:val="16"/>
                <w:szCs w:val="16"/>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64,189</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1,056,352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547,882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warrants with convertible note (Note 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39"/>
        </w:trPr>
        <w:tc>
          <w:tcPr>
            <w:tcW w:w="3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Beneficial conversion feature associated with convertible note</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9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9)</w:t>
            </w:r>
          </w:p>
        </w:tc>
        <w:tc>
          <w:tcPr>
            <w:tcW w:w="10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an acquisition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765,733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issuance costs of $5,757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7,779,014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193,064</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option awards assumed in connection with an acquisition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accrued relating to notes due from affiliates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(33,557)</w:t>
            </w: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60,221,799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(165,343)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250,045</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458,422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87,795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762,488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 an acquisition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763,183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issuance costs of $1,050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2,645,503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32,215</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notes due from affiliate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46"/>
        </w:trPr>
        <w:tc>
          <w:tcPr>
            <w:tcW w:w="38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in settlement of contingent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376,573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consideration</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34,680</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accrued relating to notes due from affiliates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revesting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(91,629)</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65,239,843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244,538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U.S. $,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costs capitalized to obtain contracts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r>
      <w:tr>
        <w:trPr>
          <w:trHeight w:val="22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 in connection with revesting notes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(income)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revaluation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revenue from affiliate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7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Internal use software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capital assets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advance on convertible note receivable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(111,634)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options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repayment of notes due from affiliates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borrowings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capital raise, net of $1,050, $5,757, and $0 of transaction costs, respectively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in advance of the issuance of convertible notes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193,951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r>
      <w:tr>
        <w:trPr>
          <w:trHeight w:val="250"/>
        </w:trPr>
        <w:tc>
          <w:tcPr>
            <w:tcW w:w="7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56,611</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8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connection with an acquisition</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convertible debt issued in connection with an acquisition</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contingent consideration issued in connection with an acquisition</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vested options assumed in connection with an acquisition</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Forgiveness of convertible note receivable in connection with an acquisition</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Relative fair value of warrants issued with convertible debt</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Beneficial conversion feature related to convertible debt</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bifurcated derivative related to convertible debt</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warrants held as investment in affiliate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settlement of contingent consideration</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non-cash investing and financing activities:</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table of cash, cash equivalents, and restricted cash reported within the balance sheets totaling the same such amounts shown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6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Life360, Inc. is a leading technology platform used to locate the people, pets and things that matter most to families. The Company was incorporated in the State of Delaware in 2007. The Company’s core offering, the Life360 mobile application, includes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monetization arrangements with certain commercial third parties (“Data Revenue Partners”) through Lead Generation and license agreements (including aggregated insights into the data collected from the Company’s user base). On September 1, 2021, the Company acquired all ownership interests of Jiobit. Jiobit is a provider of wearable location devices for young children, pets, and seniors. On January 5, 2022, the Company acquired all ownership interests of Tile. Tile is a smart location company whose products include a Bluetooth enabled device and related accessories that work in tandem with the Tile application to enable its customers to locate lost or misplaced objects.</w:t>
      </w:r>
    </w:p>
    <w:p>
      <w:pPr>
        <w:spacing w:after="0" w:line="2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generally accepted accounting principles in the United States, or (“GAAP”), are presented in U.S. dollars unless otherwise stated, and include the accounts of Life360, Inc. and subsidiaries, Jiobit, Tile, Tile Europe Ltd and Tile Network Canada ULC.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 the determination of 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 accounts receivable allowance, product returns, promotional and marketing allowances, inventory valuation,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recorded the acquired deferred revenue based on historical carrying value rather than fair value in the consolidated financial statements and related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as part of its initiative to reduce complexity in accounting standards. ASU 2019-12 removes the 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the Company adopted ASU 2019-12, and the standard did not have a material impact on its consolidated financial statements and related disclosures.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(Subtopic 470-20): </w:t>
      </w:r>
      <w:r>
        <w:rPr>
          <w:rFonts w:ascii="Times New Roman" w:cs="Times New Roman" w:eastAsia="Times New Roman" w:hAnsi="Times New Roman"/>
          <w:sz w:val="18"/>
          <w:szCs w:val="18"/>
          <w:i w:val="1"/>
          <w:iCs w:val="1"/>
          <w:color w:val="auto"/>
        </w:rPr>
        <w:t>Accounting for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Contracts in an Entity’s Own Equity </w:t>
      </w:r>
      <w:r>
        <w:rPr>
          <w:rFonts w:ascii="Times New Roman" w:cs="Times New Roman" w:eastAsia="Times New Roman" w:hAnsi="Times New Roman"/>
          <w:sz w:val="18"/>
          <w:szCs w:val="18"/>
          <w:color w:val="auto"/>
        </w:rPr>
        <w:t>(“ASU 2020-06”), which simplifies the accounting for certain financial instruments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characteristics of liabilities and equity, including convertible instruments and contracts in an entity’s own equity. Among other changes, ASU 2020-06 removes from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2021, with early adoption permitted for reporting periods beginning after December 15, 2020 and can be adopted on either a fully retrospective or modified retrospective basis. On January 1, 2022, the Company adopted ASU 2020-06, and the standard did not have a material impact on its consolidated financial statements and related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are several new accounting standards issued or proposed by the FASB, which the Company will adopt, as applicable, the Company does not believe any of these accounting pronouncements will have a material impact on its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primarily hardware and subscription services for the Tile and Jiobit hardware tracking devices. For these contracts, the Company accounts for individual performance obligations separately if they are distinct.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multiple factors including consumer behaviors, the Company’s internal pricing model, and relative costs incurred plus a normal margin. The factors may vary depending upon the facts and circumstances related to each deliverable.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hardware products, 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Guarantees, and the estimated costs of warranty claims are generally accrued as cost of revenue in the period the related revenue is recorded. See Note 11 “Commitments and Contingencies”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hardware revenue at the net sales price, which includes certain estimates for variable consideration with its customers. The Company’s variable consideration is primarily in the form of promotional agreements and marketing development fund agreements in relation to the hardware tracking devices.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agreements are designed to enhance the sale of the Company’s products and consist of incentives to the Company’s customers. The Company estimates variable consideration using the expected value method. All forms of variable consideration are recorded as contra-revenue and a corresponding liability in its consolidated balance sheet. Certain agreements are estimates at period end due to the nature of the incentives or expected and yet-to-be announced incentive programs that apply to current period revenue transactions.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subscription revenue includes related support and is comprised of Life360 mobile application subscriptions as well as subscription service plans for the Tile and Jiobit hardware tracking devices. The Company’s subscription contracts with customers are established at the point of mobile application download and purchase as indicated through acceptance of the Company’s Terms of Use. The Company’s subscription agreements generally have monthly or annual contractual terms and are billed and paid in advance.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subscription service plan for the Tile and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 The Company recognizes revenues on a straight-line basis because the customer receives and consumes the benefits of the service ratably throughout the contractual period. The Company’s contracts are generally non-cancelable and do not provide for refunds to customers in the event of cancellations.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hardware revenue from sale of the Tile and Jiobit hardware tracking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The customers are billed upon shipment of the hardware tracking devices. Sales taxes collected from customers and remitted to respective governmental authorities are recorded as liabilities and are not included in revenue.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hardware and the embedded operating system are one distinct performance obligation and separate from the subscription service plans for the Tile and Jiobit hardware tracking device. The Company’s embedded operating system is a component of the hardware that is integral to the functionality of the hardware and only together produce the essential functionality of the hardware. The Company offers extended warranties and hardware protection plans that are recognized over the contractual service period (typically 1 to 2 years). Payment terms and conditions vary by contract type and are billed either in advance or have a standard payment term generally requiring payment within 30 to 60 days.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revenue consists primarily of data revenue and partnership revenue. In January 2022, Life360 announced a new partnership agreement with a key Data Partner, a prominent provider of aggregated analytics for the retail ecosystem, in which executives of the Company have an immaterial ownership interest through a passive investment vehicle. As part of this partnership, the Data Partner will provide data processing and analytics services to Life360 and will have the right to commercialize aggregated data related to place visits during the term of the agreement. The partnership agreement includes fixed monthly revenue amounts for access to aggregated data for the duration of the three-year agreement. The Company has a stand ready obligation to provide aggregated user data over the term of the partnership agreement and recognizes revenue ratably based on the fixed monthly amounts.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The partnership agreement has standard payment terms that require payment within 30 days.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agreement, the Data Partner issued the Company a warrant to purchase up to 5,100,167 shares of Series C Preferred Stock at an exercise price of $4.90 per share (“Investment in Affiliate”). The grant of the warrant is considered non-cash consideration, which the Company measured at fair value on the date of issuance. The warrant was valued using a Black-Scholes option pricing model, and the fair value of approximately $5.4 million has been included as part of the transaction price of the data partnership agreement, and will be included in prepaid expenses and other assets, noncurrent on the Company’s consolidated balance sheets.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data revenue also includes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Those customers historically had the ability to access certain portions of the Company’s user data over the contract term, in which certain customers pay a fee based on average active monthly users. Most of the Company’s Data MSAs have been terminated as of December 31, 2022 as the Company has moved toward an aggregated data sales model. The Company recognizes fees for legacy data arrangements over time based on the fee per average active monthly user as the customer simultaneously receives and consumes the benefit of the services that the Company provides over the term of the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revenue was $23.2 million, $18.7 million, and $16.0 million for the years ended December 31, 2022, 2021, and 2020,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revenue was $3.9 million, $6.4 million, and $6.0 million for the years ended December 31, 2022, 2021, and 2020,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$32.8 million as of December 31, 2022, of which the Company expects $30.1 million to be recognized over the next twelve months. Revenue allocated to remaining performance obligations was $13.9 million as of December 31, 2021, all of which the Company expected to be recognized over the next twelve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subscription revenue includes all direct costs to deliver the Company’s subscription services. These costs include personnel-related costs associated with the Company’s cloud-based infrastructure and the Company’s customer support organization, third-party hosting fees, software, and maintenance costs, outside services associated with the delivery of the Company’s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other revenue consists of cloud-based hosting costs, as well as costs of product operations function and employee-related costs associated with the Company’s data platform.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Contracts</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Costs capitalized to obtain contracts comprise of revenue-share payments in connection with annual subscription sales of the Company’s mobile application on each respective third-party store platform as well as sales commissions paid to employees on hardware sales. Costs that are incremental and directly related to new customer sales contracts are accrued and capitalized upon execution of a non-cancelable customer contract, and subsequently expensed over the average life of the customer relationship, which is currently estimated to be two to three years depending on the subscription type. The Company has elected the practical expedient under ASC 340-40 to expense incremental costs of obtaining a contract if the amortization periods is one year or less.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makes judgments as to its ability to collect outstanding accounts receivable and provide allowances for accounts receivable when and if collection becomes doubtful.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 against amounts due to reduce the net recognized receivable to the amount it reasonably believes will be collected. The allowance for doubtful accounts as of December 31, 2022 and December 31, 2021 and total bad debt expense for the years ended December 31, 2022, 2021 and 2020 was immaterial.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Contract Manufacturing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comprised of raw materials and finished goods related to the Tile and Jiobit hardware tracking devices and accessories. Inventory is stated at the lower of cost or net realizable value on a weighted average basis. The Company assesses the valuation of inventory and writes down the value for estimated excess and obsolete inventory based upon estimates of future demand and market conditions. The Company’s inventory is held at third party warehouses and contract manufacturer premises.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outsources a significant portion of its manufacturing to independent contract manufacturers in Asia.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 and Significant Customers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operations, and financial results are subject to various risks and uncertainties including adverse global economic conditions, such as the coronavirus (COVID-19) pandemic, and competition in the Company’s industry that could adversely affect the Company’s business, financial conditions, results of operations and cash flows. These important factors, among others, could cause actual results to differ materially from any future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Deposits in Excess of Federally Insured Limits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currently maintains its cash balances at one financial institution, Silicon Valley Bridge Bank, N.A. Accounts are insured by the Federal Deposit Insurance Corporation (“FDIC”) up to $250,000. As of December 31, 2022, the Company’s cash balances exceeded amounts insured by the FDIC. As a result, the Company may be impacted by adverse developments within the financial services industry which have in the past and may in the future threaten our ability to access our existing cash and cash equivalents and could have a material adverse effect on our business and financial condition. While the Company has not experienced any losses in such accounts, the recent failure of Silicon Valley Bank (“SVB”) exposed the Company to significant credit risk prior to the completion by the FDIC of the resolution of SVB in a manner that fully protected all depositors. The Company is in the process of transferring its accounts to one or more alternate depository institutions, the financial position of which management believes does not expose the Company to significant credit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individual consumers, who subscribe to the Company’s product offerings through market exchanges operated by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depends on the constant real-time performance, reliability and availability of its technology system and access to its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the Company’s relationships with its partners or users and may adversely impact its business, financial performance, and reputation.</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bad debt expenses have been insignificant. Channel and retail partners account for the majority of the Company’s revenue and accounts receivable for all periods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information about the Company’s channel and retail partners who represented greater than 10% of its revenue or accounts receivable,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06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Represents less than 10%</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2"/>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7"/>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Percentage of Gross Accounts Receivable</w:t>
            </w:r>
          </w:p>
        </w:tc>
        <w:tc>
          <w:tcPr>
            <w:tcW w:w="1060" w:type="dxa"/>
            <w:vAlign w:val="bottom"/>
          </w:tcPr>
          <w:p>
            <w:pPr>
              <w:spacing w:after="0"/>
              <w:rPr>
                <w:sz w:val="24"/>
                <w:szCs w:val="24"/>
                <w:color w:val="auto"/>
              </w:rPr>
            </w:pPr>
          </w:p>
        </w:tc>
      </w:tr>
      <w:tr>
        <w:trPr>
          <w:trHeight w:val="23"/>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196"/>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4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Pr>
          <w:p>
            <w:pPr>
              <w:spacing w:after="0"/>
              <w:rPr>
                <w:sz w:val="17"/>
                <w:szCs w:val="17"/>
                <w:color w:val="auto"/>
              </w:rPr>
            </w:pP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Partner A</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Partner A</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Represents less than 10%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charges costs related to research, design, and development of products to research and development expense as incurred. These costs consist of payroll related expenses, contractor fees, outside third-party vendors, and allocated facilities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Advertising expense was $17.0 million, $7.1 million, and $6.7 million for the years ended December 31, 2022, 2021, 2020, respectively. Advertising expenses are recorded in the period in which cost is incurred and are presented within sales and marketing expense on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Deposits of $14.9 million and $0.4 million were restricted from withdrawal as of December 31, 2022 and December 31, 2021, respectively. $13.1 million of the restricted balance as of December 31, 2022 relates to funds placed in an indemnity escrow fund to be held for fifteen months after the acquisition date of Tile (i.e., through April 2023) for general representations and warranties and $0.2 million relates to funds placed in an indemnity escrow fund to be held for eighteen months after the acquisition date of Jiobit (i.e., through March 2023) for general representations and warranties. The restricted cash balances associated with the Tile and Jiobit indemnity escrow funds are included within restricted cash, current on the accompanying balance sheet.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restricted cash, noncurrent balance of $1.6 million as of December 31, 2022 relates to cash deposits restricted under letters of credit issued on behalf of the Company in support of indebtedness to trade creditors incurred in the ordinary course of business and to securing the Company’s facility leases. The restricted cash, noncurrent balance of $0.4 million as of December 31, 2021 relates to funds placed in an indemnity escrow fund after the acquisition of Jiobit, and facility lease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carrying amounts of cash and cash equivalents, prepaid expenses, accounts payable, and accounts receivable as of December 31, 2022 and December 31, 2021 approximate fair value due to their short-term nature. Refer to Note 6 “Fair Value Measurements” for further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other income (expense), net in the period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 use software is amortized on a straight-line basis over its estimated useful life of three years. The Company capitalized $0.7 million during the year ended December 31, 2022. Capitalized costs are included within intangible assets, net on the consolidated balance sheet. The Company did not capitalize any internal use software costs during the year ended December 31, 2021 as the capitalizable costs were not material.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8 “Balance Sheet Components” for additional lease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Goodwill amounts are not amortized but tested for impairment on an annual basis during the fourth quarter. There was no impairment of goodwill during the years ended December 31, 2022, 2021, or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including acquired, trade names, customer relationships, and acquired developed technology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years ended December 31, 2022, 2021, or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years ended December 31, 2022, 2021 or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Affiliate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 in Affiliate relates to non-marketable equity securities held in a privately held company without a readily determinable market value. Non-marketable equity securities consist of warrants held to purchase shares of preferred stock of a Data Revenue Partner, refer to Note 2 “Summary of Significant Accounting Policies” for additional information regarding the Company’s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a non-operating expense to the Company’s consolidated statements of operations and comprehensive loss. There have been no adjustments to the basis of the Company’s Investment in Affiliate to date. The carrying value of the Company’s Investment in Affiliate is included in prepaid expenses and other assets, noncurrent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 year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and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14 “Equity Incentive Plan” for further details.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did not accrue any interest or penalties related to income tax positions during the years ended December 31, 2022 or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computes basic and diluted net loss per share in conformity with ASC 260, “Earnings per Share.” Basic net loss per share is calculated by dividing the net loss by the weighted-average number of shares of common stock outstanding during the period without consideration for potentially dilutive securities as they do not share in losses. Under the if-converted method, shares related to convertible notes, to the extent dilutive, are assumed to be converted into common stock at the beginning of the period. For purposes of this calculation, options to purchase common stock, common stock warrants, and unvested restricted stock units are considered common stock equivalents but have been excluded from the calculation of diluted net loss per share as the effect is antidilutive. Refer to Note 18 “Net Loss Per Share” for further details.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Geographical Revenue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6"/>
        </w:trPr>
        <w:tc>
          <w:tcPr>
            <w:tcW w:w="11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contract with the customer. The following table sets forth</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revenue by geographic region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2"/>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regions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80,655</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Deferred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deferred revenue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deferred revenue balances totaled $32.8 million and $13.9 million as of December 31, 2022 and 2021, respectively. During the year ended December 31, 2022, the Company recognized $13.9 million of revenue that was included in the deferred revenue balance as of December 31, 2021. During the year ended December 31, 2021, the Company recognized $11.9 million of revenue that was included in the deferred revenue balance as of December 31, 2020.</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Costs Capitalized to Obtain Contracts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obtaining renewal contracts, which are not considered commensurate with new revenue contracts, are deferred and then amortized on a straight-line basis over the related period of benefit, which is approximately two to three years depending on the subscription type.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the Company’s costs capitalized to obtain contracts, net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4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costs to obtain contracts, beginning of period</w:t>
            </w:r>
          </w:p>
        </w:tc>
        <w:tc>
          <w:tcPr>
            <w:tcW w:w="3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costs capitalized to obtain contracts</w:t>
            </w:r>
          </w:p>
        </w:tc>
        <w:tc>
          <w:tcPr>
            <w:tcW w:w="3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capitalized costs to obtain contracts</w:t>
            </w:r>
          </w:p>
        </w:tc>
        <w:tc>
          <w:tcPr>
            <w:tcW w:w="3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capitalized costs to obtain contracts</w:t>
            </w:r>
          </w:p>
        </w:tc>
        <w:tc>
          <w:tcPr>
            <w:tcW w:w="3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(2,928)</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(4,014)</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costs to obtain contracts, end of period</w:t>
            </w:r>
          </w:p>
        </w:tc>
        <w:tc>
          <w:tcPr>
            <w:tcW w:w="3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2,064</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These liabilities are considered Level 3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these instruments as of December 31, 2022 and December 31, 2021 are classified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liability (Note 10)</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(Note 9)</w:t>
            </w:r>
          </w:p>
        </w:tc>
        <w:tc>
          <w:tcPr>
            <w:tcW w:w="1080" w:type="dxa"/>
            <w:vAlign w:val="bottom"/>
            <w:shd w:val="clear" w:color="auto" w:fill="CCEEFF"/>
          </w:tcPr>
          <w:p>
            <w:pPr>
              <w:spacing w:after="0"/>
              <w:rPr>
                <w:sz w:val="19"/>
                <w:szCs w:val="19"/>
                <w:color w:val="auto"/>
              </w:rPr>
            </w:pPr>
          </w:p>
        </w:tc>
        <w:tc>
          <w:tcPr>
            <w:tcW w:w="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1"/>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0"/>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liability (Note 10)</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(Note 9)</w:t>
            </w:r>
          </w:p>
        </w:tc>
        <w:tc>
          <w:tcPr>
            <w:tcW w:w="1080" w:type="dxa"/>
            <w:vAlign w:val="bottom"/>
            <w:shd w:val="clear" w:color="auto" w:fill="CCEEFF"/>
          </w:tcPr>
          <w:p>
            <w:pPr>
              <w:spacing w:after="0"/>
              <w:rPr>
                <w:sz w:val="19"/>
                <w:szCs w:val="19"/>
                <w:color w:val="auto"/>
              </w:rPr>
            </w:pPr>
          </w:p>
        </w:tc>
        <w:tc>
          <w:tcPr>
            <w:tcW w:w="4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4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Level 3 instruments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1"/>
                <w:szCs w:val="11"/>
                <w:color w:val="auto"/>
              </w:rPr>
            </w:pPr>
          </w:p>
        </w:tc>
        <w:tc>
          <w:tcPr>
            <w:tcW w:w="12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(Note 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revesting notes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of revesting notes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convertible notes (Note 9)</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settlement of contingent consideration</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year</w:t>
            </w: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1"/>
                <w:szCs w:val="11"/>
                <w:color w:val="auto"/>
              </w:rPr>
            </w:pPr>
          </w:p>
        </w:tc>
        <w:tc>
          <w:tcPr>
            <w:tcW w:w="12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(Note 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220" w:type="dxa"/>
            <w:vAlign w:val="bottom"/>
          </w:tcPr>
          <w:p>
            <w:pPr>
              <w:spacing w:after="0"/>
              <w:rPr>
                <w:sz w:val="17"/>
                <w:szCs w:val="17"/>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derivative liability</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revesting notes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contingent consideration</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year</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gain associated with the change in fair value of the derivative liability and convertible notes of $1.3 million and $1.8 million, respectively. For the year ended December 31, 2021, the Company had recorded a loss associated with the change in fair value of the derivative liability and convertible notes of $0.7 million and $0.5 million, respectively. The amounts have been recorded in other income (expense), net in the consolidated statement of operations and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gain associated with the change in fair value of the contingent consideration of $5.3 million. For the year ended December 31, 2021, the Company had recorded a loss associated with the change in fair value of the contingent consideration of $3.6 million. The amounts have been recorded in general and administrative expense in the consolidated statement of operations and comprehensive loss.</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2021, the Company completed the acquisition of Jiobit, a privately held consumer electronics company that specializes in the production of low powered sensors and wearables. The company is based in Chicago, Illinois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 technology and customer relationships to accelerate the Company’s own product development and augment the Company with a critical mass of talent with strong tracking/wearables experience. The aggregate purchase consideration was $43.2 million, of which $7.3 million was paid in cash, $5.9 million of contingent consideration was payable upon reaching certain operational goals for 2021 and 2022, $11.6 million representing the fair value of the September 2021 Convertible Notes, $4.0 million representing forgiveness of Jiobit’s convertible debt held by the Company, $0.6 million comprised of 25,245 vested common stock options issued to Jiobit employees, and $13.8 million comprised of 674,516 shares of the Company’s common stock. Of the consideration transferred, $0.2 million in cash was placed in an indemnity escrow fund to be held for eighteen months after the acquisition date for general representations and warranties.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 of September 1,</w:t>
            </w:r>
          </w:p>
        </w:tc>
      </w:tr>
      <w:tr>
        <w:trPr>
          <w:trHeight w:val="203"/>
        </w:trPr>
        <w:tc>
          <w:tcPr>
            <w:tcW w:w="4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15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0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6,730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11,206</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22.50</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exercise (in years)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dividend yield</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900"/>
        </w:trPr>
        <w:tc>
          <w:tcPr>
            <w:tcW w:w="4040" w:type="dxa"/>
            <w:vAlign w:val="bottom"/>
          </w:tcPr>
          <w:p>
            <w:pPr>
              <w:spacing w:after="0"/>
              <w:rPr>
                <w:sz w:val="24"/>
                <w:szCs w:val="24"/>
                <w:color w:val="auto"/>
              </w:rPr>
            </w:pPr>
          </w:p>
        </w:tc>
        <w:tc>
          <w:tcPr>
            <w:tcW w:w="1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total of $6.2 million was excluded from purchase consideration which consists of $1.9 million comprised of 91,217 shares of the Company’s common stock (“Revesting Stock” – Note 14) and $1.6 million comprised of convertible notes (“Revesting Notes”) issued to key employees, retention bonuses of $1.0 million, and $0.5 million comprised of 43,083 unvested common stock options issued to Jiobit employees (“Unvested Replacement Awards” – Note 14). The Company incurred transaction related expenses of $1.0 million, which were expensed as incurred and recorded under general and administrative expenses in the consolidated statements of operations and comprehensive loss.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Revesting Stock and Revesting Notes are restricted and vest with continuous employment of certain key employees over a 3-year period subsequent to the acquisition. The Revesting Stock is recognized in general and administrative expense as the Revesting Stock vests. In April 2022, one of the key employees exited the Company, and so the entirety of their Revesting Notes and Revesting Stock was forfeited. The Company recorded $0.3 million credit to stock-based compensation included in general and administrative expense related to the forfeiture of their Revesting Stock and $0.3 million credit to compensation included in general and administrative expense related to the forfeiture of their Revesting Notes.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$0.2 million and $0.2 million as stock-based compensation included in general and administrative expense related to the vesting of the Revesting Stock for the years ended December 31, 2022 and 2021,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an $0.2 million amount and $0.2 million as general and administrative and expense related to the changes in fair value of Revesting Notes during the years ended December 31, 2022 and 2021,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retention bonuses are recognized in prepaid expenses and other assets, noncurrent in the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estimated fair value of the 2021 and 2022 Contingent Consideration as of December 31, 2021 was $6.3 million and $3.1 million, respectively. The Company recorded a $5.3 million gain and $3.6 million loss within general and administrative expense related to the change in the fair value of the Contingent Consideration during the years ended December 31, 2022 and 2021,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Board of Directors and previous Jiobit shareholders approved an amendment to the 2021 Contingent Consideration. The 2021 Contingent Consideration was amended to 50% of the total potential amount of which 376,573 shares of the Company’s common stock were issued to shareholders. The fair value of the common stock of $4.2 million was recorded to additional paid-in capital and the contingent consideration liability was reversed. As of December 31, 2022, the Contingent Consideration was zero as it was fully settled in April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The total purchase price of $43.2 million was allocated to the net tangible and intangible assets and liabilities based on their estimated fair values on the acquisition date and the excess was recorded to goodwill. The provisional values assigned to the assets acquired and liabilities assumed are based on preliminary estimates of fair value available as of the date of these financial statements and may be adjusted during the measurement period of up to 12 months from the date of acquisition. Any changes in the fair values of the assets acquired and liabilities assumed during the measurement period may result in adjustments to goodwill.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(in thousands) and their estimated useful lives as of the date of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37"/>
        </w:trPr>
        <w:tc>
          <w:tcPr>
            <w:tcW w:w="8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and recorded a net deferred tax liability of $0.1 million after offsetting the acquired available tax attributes with the intangible assets shown in the table above. Refer to Note 15 “Income Taxes” for discussion of the partial release of the Company’s valuation allowance relating to the deferred tax liability.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of Jiobit are included in the accompanying consolidated statements of operations and comprehensive loss from the date of acquisition.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 Pro Forma Financial Information (Unaudited)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unaudited supplemental pro forma financial information as if the acquisition of Jio, Inc. had occurred on January 1, 2020. The unaudited pro forma results set forth below are for informational purposes only and are based on estimates and assumptions that have been made solely for purposes of developing such pro forma results, including: (i) amortization associated with acquired intangible assets and (ii) the inclusion of acquisition costs as of the period presented. The unaudited pro forma results do not give effect to management adjustments, including the potential impact of current financial conditions or any anticipated revenue enhancements, cost savings or operating synergies that may have resulted from the transaction. The unaudited pro forma results set forth below are not necessarily indicative of what results would have been had the acquisition been consummated on January 1,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2"/>
        </w:trPr>
        <w:tc>
          <w:tcPr>
            <w:tcW w:w="7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1020" w:type="dxa"/>
            <w:vAlign w:val="bottom"/>
            <w:shd w:val="clear" w:color="auto" w:fill="CCEEFF"/>
          </w:tcPr>
          <w:p>
            <w:pPr>
              <w:spacing w:after="0"/>
              <w:rPr>
                <w:sz w:val="17"/>
                <w:szCs w:val="17"/>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116,330</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84,857</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(37,356)</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5, 2022, the Company completed the acquisition of Tile, Inc., a privately held consumer electronics company. The company is based in San Mateo, California and was founded in 2012. Tile is a smart location company whose products include a Bluetooth enabled device and related accessories that work in tandem with the Tile application (the “Application”), to enable its customers to locate lost or misplaced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total of $35.0 million was excluded from purchase consideration which consists of retention compensation of 1,499,349 shares of retention restricted stock units valued at $29.6 million, $0.4 million related to 38,730 vested common stock options issued to Tile employees as stock-based compensation on the acquisition date and change in control bonuses of $3.0 million which were recognized as compensation expense on the consolidated statements of operations on the acquisition date. The Company incurred transaction related expenses of $1.7 million, which were recorded under general and administrative expenses in the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1,499,349 shares of retention restricted stock units, 787,446 shares valued at $15.6 million contain performance vesting criteria based on the achievement of certain company milestones, and vest over a two year period. The remaining retention restricted stock units of 711,903 shares vest over a two to four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was based on the Company’s achievement of certain targets for revenue and earnings before interest, taxes, depreciation, and amortization for the three months ended December 31, 2021 and the three months ended March 31, 2022. The Company determined that the criteria to satisfy the contingent consideration was not met, and as such, no value was ascribed to the contingent consideration.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certain assets and liabilities may be subject to adjustment during the measurement period of up to 12 months from the date of acquisition including, but not limited to, intangible assets, certain reserves and income taxes. Any changes in the fair values of the assets acquired and liabilities assumed during the measurement period may result in adjustments to goodwill.</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made a measurement period adjustment to the preliminary purchase price allocation which included: (i) a decrease to goodwill of $0.5 million, (ii) an increase to deferred revenue of $1.3 million, and (iii) an increase to inventory of $0.8 million. The measurement period adjustment was made to reflect facts and circumstances that existed as of the acquisition date and is reflected in the table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102,547</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of Tile are included in the accompanying consolidated statements of operations and comprehensive loss from the date of acquisition.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 Pro Forma Financial Information (Unaudited)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presents unaudited supplemental pro forma financial information as if the acquisition of Tile, Inc. had occurred on January 1, 2021. The unaudited pro forma results set forth below are for informational purposes only and are based on estimates and assumptions that have been made solely for purposes of developing such pro forma results, including: (i) amortization associated with acquired intangible assets; (ii) to adjust for amortization expense recorded by Tile, Inc. associated with deferred costs of revenue which were not acquired by the Company; (iii) recognition of post-combination stock-based compensation expense; (iv) the inclusion of acquisition costs as of the period presented; and (v) the associated tax impact of the acquisition and the unaudited pro forma adjustments. The unaudited pro forma results do not give effect to management adjustments, including the potential impact of current financial conditions or any anticipated revenue enhancements, cost savings or operating synergies that may have resulted from the transaction and are not necessarily indicative of what results would have been had the acquisition been consummated on January 1, 2021. Given the acquisition of Tile, Inc. took place on January 5, 2022, substantially all of the financial results of Tile, Inc. have been incorporated into the consolidated financial results for the year ended December 31, 2022. The difference between actual financial results and pro forma results is immaterial for the year ended December 31,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i w:val="1"/>
                <w:iCs w:val="1"/>
                <w:color w:val="auto"/>
              </w:rPr>
              <w:t>(unaudited, in thousands)</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228,305</w:t>
            </w:r>
          </w:p>
        </w:tc>
        <w:tc>
          <w:tcPr>
            <w:tcW w:w="80" w:type="dxa"/>
            <w:vAlign w:val="bottom"/>
          </w:tcPr>
          <w:p>
            <w:pPr>
              <w:spacing w:after="0"/>
              <w:rPr>
                <w:sz w:val="19"/>
                <w:szCs w:val="19"/>
                <w:color w:val="auto"/>
              </w:rPr>
            </w:pPr>
          </w:p>
        </w:tc>
        <w:tc>
          <w:tcPr>
            <w:tcW w:w="10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218,236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0" w:type="dxa"/>
            <w:vAlign w:val="bottom"/>
            <w:gridSpan w:val="3"/>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(91,629)</w:t>
            </w:r>
          </w:p>
        </w:tc>
        <w:tc>
          <w:tcPr>
            <w:tcW w:w="108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(78,448)</w:t>
            </w:r>
          </w:p>
        </w:tc>
        <w:tc>
          <w:tcPr>
            <w:tcW w:w="0" w:type="dxa"/>
            <w:vAlign w:val="bottom"/>
          </w:tcPr>
          <w:p>
            <w:pPr>
              <w:spacing w:after="0"/>
              <w:rPr>
                <w:sz w:val="1"/>
                <w:szCs w:val="1"/>
                <w:color w:val="auto"/>
              </w:rPr>
            </w:pPr>
          </w:p>
        </w:tc>
      </w:tr>
      <w:tr>
        <w:trPr>
          <w:trHeight w:val="635"/>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Balance Sheet Components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60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12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60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5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2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certain cloud platform and customer service program costs. Other receivables primarily consist of refunds owed to the Company and other amounts which the Company may receive in future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$0.5 million, $0.5 million, and $0.5 million for the years ended December 31, 2022, 2021, and 2020</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assets, noncurrent</w:t>
            </w: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cloud platform costs. Investment in Affiliate relates to warrants to purchase shares of common stock of a current Data Revenue Partner. Refer to Note 2 “Summary of Significant Accounting Policies”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leased real estate space under non-cancellable operating lease agreements in San Francisco, San Diego and San Mateo, California and Chicago, Illinois. As of December 31, 2022, the Company has terminated the operating lease agreements in San Francisco and San Diego, California and currently holds a lease for its corporate headquarters in San Mateo, California and a leased office in Chicago, Illinois. The operating leases have remaining lease terms of up to 1 year, some of which include the option to extend the lease.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recognized an operating lease right-of-use (ROU) asset and short term lease liabilities of $0.8 million and $0.8 million in “Right-of-use-asset” and “Accrued expenses and other current liabilities,” respectively, on the Company’s consolidated balance sheet as of December 31, 2022. No long-term lease liabilities were recorded within “Other noncurrent liabilities” on the Company’s consolidated balance sheet as of December 31,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recognized operating ROU assets, short term and long-term lease liabilities of $1.6 million, $1.6 million, and $0.3 million in “Right-of-use-asset,” “Accrued expenses and other current liabilities,” and “Other noncurrent liabilities,” respectively, on the Company’s consolidated balance sheet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finance leases as of December 31, 2022 or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bl>
    <w:p>
      <w:pPr>
        <w:spacing w:after="0" w:line="26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short-term leases, which are immaterial.</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remaining term of the Company’s operating leases was 0.8 years and 1.3 years as of December 31, 2022 and 2021, respectively, and the weighted-average discount rate used to measure the present value of the operating lease liabilities was 5.0% and 4.8%,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operating lease liabilities, which do not include short-term leases, as of December 31, 2022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Pr>
          <w:p>
            <w:pPr>
              <w:spacing w:after="0"/>
              <w:rPr>
                <w:sz w:val="19"/>
                <w:szCs w:val="19"/>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829</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(16)</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Payments for operating leases included in cash from operating activities were $2.4 million and $1.6 million for the years ended December 31,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gross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$8.7 million, $0.4 million, and $0.2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ind w:left="5140"/>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976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81"/>
        </w:trPr>
        <w:tc>
          <w:tcPr>
            <w:tcW w:w="9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817"/>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estimated remaining amortization expense for intangible assets by fiscal year is as follows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2"/>
        </w:trPr>
        <w:tc>
          <w:tcPr>
            <w:tcW w:w="9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w:t>
            </w: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52,699</w:t>
            </w:r>
          </w:p>
        </w:tc>
      </w:tr>
      <w:tr>
        <w:trPr>
          <w:trHeight w:val="21"/>
        </w:trPr>
        <w:tc>
          <w:tcPr>
            <w:tcW w:w="9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useful lives of the Company’s acquired intangible assets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gridSpan w:val="10"/>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Weighted-Average Remaining Useful Life</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8"/>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9.0 years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9.7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3.9 years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7.1 years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9.7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2.8 years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detail of intangible assets, net is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gridSpan w:val="9"/>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440"/>
              <w:spacing w:after="0" w:line="131" w:lineRule="exact"/>
              <w:rPr>
                <w:sz w:val="20"/>
                <w:szCs w:val="20"/>
                <w:color w:val="auto"/>
              </w:rPr>
            </w:pPr>
            <w:r>
              <w:rPr>
                <w:rFonts w:ascii="Times New Roman" w:cs="Times New Roman" w:eastAsia="Times New Roman" w:hAnsi="Times New Roman"/>
                <w:sz w:val="14"/>
                <w:szCs w:val="14"/>
                <w:b w:val="1"/>
                <w:bCs w:val="1"/>
                <w:color w:val="auto"/>
              </w:rPr>
              <w:t>Trade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Internal use software</w:t>
            </w:r>
          </w:p>
        </w:tc>
        <w:tc>
          <w:tcPr>
            <w:tcW w:w="18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23,380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15,290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61,801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5"/>
              </w:rPr>
              <w:t>(2,424)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(4,705)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5"/>
              </w:rPr>
              <w:t>(1,895)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(9,102)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20,956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17,725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13,395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52,699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700"/>
              <w:spacing w:after="0" w:line="131" w:lineRule="exact"/>
              <w:rPr>
                <w:sz w:val="20"/>
                <w:szCs w:val="20"/>
                <w:color w:val="auto"/>
              </w:rPr>
            </w:pPr>
            <w:r>
              <w:rPr>
                <w:rFonts w:ascii="Times New Roman" w:cs="Times New Roman" w:eastAsia="Times New Roman" w:hAnsi="Times New Roman"/>
                <w:sz w:val="14"/>
                <w:szCs w:val="14"/>
                <w:b w:val="1"/>
                <w:bCs w:val="1"/>
                <w:color w:val="auto"/>
              </w:rPr>
              <w:t>Trade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3"/>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2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center"/>
              <w:ind w:right="676"/>
              <w:spacing w:after="0"/>
              <w:rPr>
                <w:sz w:val="20"/>
                <w:szCs w:val="20"/>
                <w:color w:val="auto"/>
              </w:rPr>
            </w:pPr>
            <w:r>
              <w:rPr>
                <w:rFonts w:ascii="Times New Roman" w:cs="Times New Roman" w:eastAsia="Times New Roman" w:hAnsi="Times New Roman"/>
                <w:sz w:val="18"/>
                <w:szCs w:val="18"/>
                <w:color w:val="auto"/>
                <w:w w:val="99"/>
              </w:rPr>
              <w:t>98</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primarily relate to warranty liabilities related to the Company’s hardware tracking devices and inventory received not yet billed.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escrow liability relates to restricted cash associated with the Tile Acquisition, $13.1 million, and Jiobit Acquisition, $0.2 million, placed in an indemnity escrow fund to be held for fifteen months and eighteen months, respectively, after the acquisition date for general representations and warranties. The initial balances were included within total consideration transferred.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total escrow liability remaining was $13.3 million and is included within current liabilities. As of December 31, 2021, the total escrow liability was $0.2 million and was included within noncurrent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 liabilities</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liabilities, noncurrent</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Convertible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2021, the Company issued the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unamortized amount and net carrying value of the July 2021 Convertible Notes is $1.5 million and $0.6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by which July 2021 Convertible Notes if-converted value does not exceed its principal is $0.4 million as of December 31,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 unamortized amount and net carrying value of the July 2021 Convertible Notes is $1.9 million and $0.2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by which July 2021 Convertible Notes if-converted value exceeds its principal is $1.6 million as of December 31, 2021.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warrants was determined using the Black-Scholes option-pricing method, with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3"/>
                <w:szCs w:val="13"/>
                <w:color w:val="auto"/>
              </w:rPr>
            </w:pP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195"/>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Tranche 1</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Tranche 2</w:t>
            </w:r>
          </w:p>
        </w:tc>
        <w:tc>
          <w:tcPr>
            <w:tcW w:w="300" w:type="dxa"/>
            <w:vAlign w:val="bottom"/>
          </w:tcPr>
          <w:p>
            <w:pPr>
              <w:spacing w:after="0"/>
              <w:rPr>
                <w:sz w:val="16"/>
                <w:szCs w:val="16"/>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Tranche 3</w:t>
            </w:r>
          </w:p>
        </w:tc>
      </w:tr>
      <w:tr>
        <w:trPr>
          <w:trHeight w:val="228"/>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total of $0.4 million and $0.2 million in non-cash interest expense related to the July 2021 Convertible Notes for the years ended December 31, 2022 and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issued convertible notes, September 2021 Convertible Notes, in connection with an acquisition. Refer to Note 7 “Business Combinations” for further details.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Revesting Notes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Revesting Notes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w:t>
            </w:r>
          </w:p>
        </w:tc>
      </w:tr>
      <w:tr>
        <w:trPr>
          <w:trHeight w:val="21"/>
        </w:trPr>
        <w:tc>
          <w:tcPr>
            <w:tcW w:w="75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contractual future principal payments for all convertible notes as of December 31, 2022 were as follows (in thousands):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3"/>
        </w:trPr>
        <w:tc>
          <w:tcPr>
            <w:tcW w:w="75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beyond</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r>
      <w:tr>
        <w:trPr>
          <w:trHeight w:val="20"/>
        </w:trPr>
        <w:tc>
          <w:tcPr>
            <w:tcW w:w="7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 Liability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consolidated statements of operations and comprehensive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issuance of the convertible notes, the Company recorded a derivative liability of $0.7 million at fair value using inputs classified as Level 3 in the fair value hierarchy. As of December 31, 2022 and 2021, the fair value of the derivative liability was $0.1 million and $1.4 million, respectively. Refer to Note 6 “Fair Value Measurements” for further details.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certain commitments from outstanding purchase orders primarily related to technology support, facilities, marketing and branding and professional services. These agreements, which total $138.9 million as of December 31, 2022 and $11.0 million as of December 31, 2021, are cancellable at any time with the Company required to pay all costs incurred through the cancellation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reasonable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12, 2019, a former alleged competitor of Tile, Cellwitch, Inc, filed a patent infringement claim against the Company in the U.S. District Court, Northern District of California, seeking permanent injunction and damages. On December 18, 2019, Tile filed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petition with the Patent Trial and Appeal Board (“PTAB”) challenging the validity of the patent. On May 13, 2021, the PTAB issued a Final Written Decision on Tile’s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petition (the “Final Written Decision”), which both parties appealed. The Final Written Decision was affirmed by the U.S. Court of Appeals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Federal Circuit on May 13, 2022. The case is currently in trial court with a case management conference scheduled for March 2023.</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purported class action (E.S. v. Life360, Inc.) alleging a single cause of action for unjust enrichment was filed against Life360 on January 12, 2023 seeking equitable relief purportedly arising out of Life360’s historic data sales. Given the inherently uncertain nature of litigation, the ultimate disposition of the case is not presently determinable, but the Company intends to defend against the claim. We cannot predict at this point the length of time that this action will be ongoing or estimate the liability, if any, which may arise therefrom.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information currently available and the current state of the litigation, we are unable to reasonably estimate a possible loss or range of possible losses, if any, with regards to outstanding litigation. As a result, no litigation reserve has been recorded on our consolidated balance sheets as of December 31, 2022 or 2021. We will continue to evaluate information as it becomes known and will record an estimate for losses at the time or times if and when it is probable a loss will be incurred and the amount of the loss is reasonably estimable.</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the Company was authorized to issue up to 100,000,000 shares of par value $0.001 per share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December 31, 2021, the Company had 108,592 shares of common stock subject to the Company’s right to repurchase.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2022, the Company issued a total of 2,645,503 common shares raising proceeds before issuance costs of $33.3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2021, the Company issued a total of 7,779,014 common shares raising proceeds before issuance costs of $198.8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on an as if converted basis, for issuance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56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8,180,840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272,001</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6,779,892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396,347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4,071,403</w:t>
            </w:r>
          </w:p>
        </w:tc>
      </w:tr>
      <w:tr>
        <w:trPr>
          <w:trHeight w:val="223"/>
        </w:trPr>
        <w:tc>
          <w:tcPr>
            <w:tcW w:w="75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16,011,495</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r>
    </w:tbl>
    <w:p>
      <w:pPr>
        <w:spacing w:after="0" w:line="3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the Company had outstanding warrants to purchase 137,658 and 272,001 shares of Company common stock, respectively with exercise prices ranging from $0.01 to $11.96 and expiry dates ranging from 2022 to 2028. Refer to Note 9 “Convertible Notes” for further details.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2011 Stock Plan was originally adopted by the Company’s Board of Directors on July 27, 2011 and the Company’s stockholders on October 11, 2011, and most recently amended by the Board of Directors on September 7, 2018 and the Company’s stockholders (as restated, the “Plan”). The Plan allows the Company to grant restricted stock units, restricted stock and stock options to employees and consultants of the Company and any of the Company’s parent, subsidiaries, or affiliates, and to the members of the Board of Directors. Options granted under the Plan may be either incentive stock options or nonqualified stock options. Incentive stock options (“ISOs”), may be granted only to employees of the Company or any of the Company’s parent or subsidiaries (including officers and directors who are also employees). Nonqualified stock options, or NSOs, may be granted to any person eligible for grants under the Plan.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 (in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29,295</w:t>
            </w:r>
          </w:p>
        </w:tc>
        <w:tc>
          <w:tcPr>
            <w:tcW w:w="0" w:type="dxa"/>
            <w:vAlign w:val="bottom"/>
          </w:tcPr>
          <w:p>
            <w:pPr>
              <w:spacing w:after="0" w:line="20" w:lineRule="exact"/>
              <w:rPr>
                <w:sz w:val="1"/>
                <w:szCs w:val="1"/>
                <w:color w:val="auto"/>
              </w:rPr>
            </w:pPr>
          </w:p>
        </w:tc>
      </w:tr>
      <w:tr>
        <w:trPr>
          <w:trHeight w:val="204"/>
        </w:trPr>
        <w:tc>
          <w:tcPr>
            <w:tcW w:w="4680" w:type="dxa"/>
            <w:vAlign w:val="bottom"/>
            <w:vMerge w:val="continue"/>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5,576,142</w:t>
            </w:r>
          </w:p>
        </w:tc>
        <w:tc>
          <w:tcPr>
            <w:tcW w:w="30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27,294,447 shares authorized for issuance and 396,347 shares available for issuance under the Plan. Stock options granted during the years ended December 31, 2022, 2021, and 2020 had a weighted average grant date fair value of $8.33, $12.65, and $4.91 per share,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intrinsic values of outstanding, vested, and exercisable options were determined by multiplying the number of shares by the difference in exercise price of the options and the fair value of the common stock as of December 31, 2022, 2021, and 2020 of $9.94, $21.16, and $8.77 per share, respectively. The intrinsic value of the options exercised represents the difference between the exercise price and the fair market value on the date of exercise. The total intrinsic value of the options exercised during the years ended December 31, 2022, 2021, and 2020 was $4.1 million, $15.1 million, and $4.7 million, respectively. The total intrinsic value of the vested options based on the market value of the common stock as of December 31, 2022, 2021, and 2020 was $29.3 million, $80.6 million, and $20.9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of Restricted Stock Units (“RSU”) activity for the periods presented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39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1"/>
                <w:szCs w:val="11"/>
                <w:color w:val="auto"/>
              </w:rPr>
            </w:pPr>
          </w:p>
        </w:tc>
        <w:tc>
          <w:tcPr>
            <w:tcW w:w="13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580" w:type="dxa"/>
            <w:vAlign w:val="bottom"/>
            <w:gridSpan w:val="2"/>
            <w:shd w:val="clear" w:color="auto" w:fill="CCEEFF"/>
          </w:tcPr>
          <w:p>
            <w:pPr>
              <w:jc w:val="center"/>
              <w:ind w:left="4610"/>
              <w:spacing w:after="0"/>
              <w:rPr>
                <w:sz w:val="20"/>
                <w:szCs w:val="20"/>
                <w:color w:val="auto"/>
              </w:rPr>
            </w:pPr>
            <w:r>
              <w:rPr>
                <w:rFonts w:ascii="Times New Roman" w:cs="Times New Roman" w:eastAsia="Times New Roman" w:hAnsi="Times New Roman"/>
                <w:sz w:val="18"/>
                <w:szCs w:val="18"/>
                <w:color w:val="auto"/>
                <w:w w:val="99"/>
              </w:rPr>
              <w:t>2,523,122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5580" w:type="dxa"/>
            <w:vAlign w:val="bottom"/>
            <w:gridSpan w:val="2"/>
          </w:tcPr>
          <w:p>
            <w:pPr>
              <w:jc w:val="center"/>
              <w:ind w:left="4610"/>
              <w:spacing w:after="0"/>
              <w:rPr>
                <w:sz w:val="20"/>
                <w:szCs w:val="20"/>
                <w:color w:val="auto"/>
              </w:rPr>
            </w:pPr>
            <w:r>
              <w:rPr>
                <w:rFonts w:ascii="Times New Roman" w:cs="Times New Roman" w:eastAsia="Times New Roman" w:hAnsi="Times New Roman"/>
                <w:sz w:val="18"/>
                <w:szCs w:val="18"/>
                <w:color w:val="auto"/>
                <w:w w:val="99"/>
              </w:rPr>
              <w:t>7,210,770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vested and settled</w:t>
            </w:r>
          </w:p>
        </w:tc>
        <w:tc>
          <w:tcPr>
            <w:tcW w:w="5580" w:type="dxa"/>
            <w:vAlign w:val="bottom"/>
            <w:gridSpan w:val="2"/>
            <w:shd w:val="clear" w:color="auto" w:fill="CCEEFF"/>
          </w:tcPr>
          <w:p>
            <w:pPr>
              <w:jc w:val="center"/>
              <w:ind w:left="4570"/>
              <w:spacing w:after="0"/>
              <w:rPr>
                <w:sz w:val="20"/>
                <w:szCs w:val="20"/>
                <w:color w:val="auto"/>
              </w:rPr>
            </w:pPr>
            <w:r>
              <w:rPr>
                <w:rFonts w:ascii="Times New Roman" w:cs="Times New Roman" w:eastAsia="Times New Roman" w:hAnsi="Times New Roman"/>
                <w:sz w:val="18"/>
                <w:szCs w:val="18"/>
                <w:color w:val="auto"/>
                <w:w w:val="99"/>
              </w:rPr>
              <w:t>(1,170,350)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cancelled/forfeited</w:t>
            </w:r>
          </w:p>
        </w:tc>
        <w:tc>
          <w:tcPr>
            <w:tcW w:w="5580" w:type="dxa"/>
            <w:vAlign w:val="bottom"/>
            <w:gridSpan w:val="2"/>
          </w:tcPr>
          <w:p>
            <w:pPr>
              <w:jc w:val="center"/>
              <w:ind w:left="4570"/>
              <w:spacing w:after="0"/>
              <w:rPr>
                <w:sz w:val="20"/>
                <w:szCs w:val="20"/>
                <w:color w:val="auto"/>
              </w:rPr>
            </w:pPr>
            <w:r>
              <w:rPr>
                <w:rFonts w:ascii="Times New Roman" w:cs="Times New Roman" w:eastAsia="Times New Roman" w:hAnsi="Times New Roman"/>
                <w:sz w:val="18"/>
                <w:szCs w:val="18"/>
                <w:color w:val="auto"/>
                <w:w w:val="99"/>
              </w:rPr>
              <w:t>(1,783,650)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9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8"/>
                <w:szCs w:val="18"/>
                <w:color w:val="auto"/>
                <w:w w:val="99"/>
              </w:rPr>
              <w:t>6,779,892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RSUs vested and settled includes shares of common stock that the Company withheld on behalf of employees to satisfy the minimum statutory tax withholding requirements. RSUs granted during the years ended December 31, 2022, 2021, and 2020 had a weighted average grant date fair value of $12.13, $14.86, and $6.31 per share, respectively. The total fair value of shares vested during the years ended December 31, 2022, 2021, and 2020 was $12.0 million, $14.0 million, and $3.4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Granted to Employees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employee stock options granted is estimated using the Black-Scholes option-pricing model, based on the following assumptions:</w:t>
      </w:r>
    </w:p>
    <w:p>
      <w:pPr>
        <w:spacing w:after="0" w:line="2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terms (in years)</w:t>
            </w:r>
          </w:p>
        </w:tc>
        <w:tc>
          <w:tcPr>
            <w:tcW w:w="1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0.60 %</w:t>
            </w: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As the Company’s stock is traded on the public market, the fair value on the date of the grant is used.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employees is based on the simplified method, as the Company’s stock options have the following characteristics:</w:t>
      </w:r>
    </w:p>
    <w:p>
      <w:pPr>
        <w:spacing w:after="0" w:line="29" w:lineRule="exact"/>
        <w:rPr>
          <w:sz w:val="20"/>
          <w:szCs w:val="20"/>
          <w:color w:val="auto"/>
        </w:rPr>
      </w:pPr>
    </w:p>
    <w:p>
      <w:pPr>
        <w:jc w:val="both"/>
        <w:ind w:firstLine="8"/>
        <w:spacing w:after="0" w:line="255" w:lineRule="auto"/>
        <w:tabs>
          <w:tab w:leader="none" w:pos="2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 Company has limited historical trading data regarding the volatility of its common stock, the expected volatility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a Company of similar entities and the Company’s trading data since IPO. In evaluating similarity, the Company considered factors such as industry, stage of life cycle and size. The Company will continue to analyze the historical stock price volatility and expected term assumptions as more historical data for the Company’s common stock becomes available.</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U.S. Treasury constant maturity rates with remaining terms similar to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 therefore,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rate of zero is used in the valuation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accounts for forfeitures as they occur.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Jio, Inc.</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Jiobit Acquisition in September 2021, the Company issued 91,217 shares of restricted common stock with an aggregate fair value of $1.9 million to be recognized as post combination stock-based compensation ratably with continuous employment of certain employees over a 3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$0.2 million of unrecognized compensation expense related to the restricted common stock which is expected to be recognized over the remaining weighted average life of 1.7 years. As of December 31, 2021, there was $1.7 million of unrecognized compensation expense related to this restricted common stock which is expected to be recognized over the remaining weighted average life of 2.7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granted 43,083 service-based stock options under the Plan to certain Jiobit employees with an aggregate fair value of $0.5 million which vests ratably over the requisite service period. As of December 31, 2022, there was $0.2 million of unrecognized compensation expense related to unvested assumed stock options, which is expected to be recognized over the remaining weighted average life of 1.8 years. As of December 31, 2021, there was $0.5 million of unrecognized compensation expense related to unvested assumed stock options, which is expected to be recognized over the remaining weighted average life of 2.0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December 31, 2022, there was $5.6 million of unrecognized compensation expense related to the retention restricted stock units which is expected to be recognized over the remaining weighted average life of 1.5 years.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694,672 shares of common stock with an aggregate fair value of $13.7 million were issued to Tile shareholders as part of purchase consideration.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$13.7 million was included within purchase consideration.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total of 1,561 shares of common stock with an aggregate fair value of $30.8 thousand were issued to a key employee, the vesting of which is subject to continued employment over a 30-month period. As of December 31, 2022, there was $69.6 thousand of unrecognized compensation expense related to unvested restricted stock units which is expected to be recognized over the remaining 1.6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total of 84,360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total unrecognized compensation cost for outstanding stock options of $9.7 million to be recognized over a period of approximately 2.8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unrecognized compensation cost for outstanding restricted stock units of $50.9 million to be recognized over a period of approximately 2.6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capitalized stock-based compensation costs or recognized stock-based compensation tax benefits during the year ended December 31, 2022.</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net operating losses only in the United States since its inception. In 2022, the Company incurred $91.8 million of net operating losses in the United States and $0.3 million of net operating income internationally.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income tax provision of $0.1 million and an income tax benefit of $0.1 million were recorded for the years ended December 31, 2022 and 2021, respectively, and no provision or benefit for income taxes was recorded for the year ended December 31, 2020. In accordance with ASC 805, a change in the acquirer’s valuation allowance that stems from a business combination should be recognized as an element of the acquirer’s income tax expense or benefit in the period of the acquisition. Accordingly, for the years ended December 31, 2022 and 2021, the Company recorded a $27.4 thousand partial release of its valuation allowance stemming from the Tile Acquisition and a $0.1 million partial release of its valuation allowance stemming from the Jiobit Acquisition.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reconciliation of the Company’s effective tax rate to the U.S. statutory federal income tax rate was as follows:</w:t>
      </w:r>
    </w:p>
    <w:p>
      <w:pPr>
        <w:spacing w:after="0" w:line="28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8"/>
                <w:szCs w:val="18"/>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Pr>
          <w:p>
            <w:pPr>
              <w:spacing w:after="0"/>
              <w:rPr>
                <w:sz w:val="19"/>
                <w:szCs w:val="19"/>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1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tcPr>
          <w:p>
            <w:pPr>
              <w:spacing w:after="0"/>
              <w:rPr>
                <w:sz w:val="19"/>
                <w:szCs w:val="19"/>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tcPr>
          <w:p>
            <w:pPr>
              <w:spacing w:after="0"/>
              <w:rPr>
                <w:sz w:val="19"/>
                <w:szCs w:val="19"/>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r>
      <w:tr>
        <w:trPr>
          <w:trHeight w:val="24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1"/>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significant components of net deferred income tax assets were as follows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5"/>
        </w:trPr>
        <w:tc>
          <w:tcPr>
            <w:tcW w:w="6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Reserves and allowances</w:t>
            </w:r>
          </w:p>
        </w:tc>
        <w:tc>
          <w:tcPr>
            <w:tcW w:w="11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19"/>
                <w:szCs w:val="19"/>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shd w:val="clear" w:color="auto" w:fill="CCEEFF"/>
          </w:tcPr>
          <w:p>
            <w:pPr>
              <w:spacing w:after="0"/>
              <w:rPr>
                <w:sz w:val="19"/>
                <w:szCs w:val="19"/>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Depreciable assets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40" w:type="dxa"/>
            <w:vAlign w:val="bottom"/>
            <w:shd w:val="clear" w:color="auto" w:fill="CCEEFF"/>
          </w:tcPr>
          <w:p>
            <w:pPr>
              <w:spacing w:after="0"/>
              <w:rPr>
                <w:sz w:val="19"/>
                <w:szCs w:val="19"/>
                <w:color w:val="auto"/>
              </w:rPr>
            </w:pPr>
          </w:p>
        </w:tc>
      </w:tr>
      <w:tr>
        <w:trPr>
          <w:trHeight w:val="22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40" w:type="dxa"/>
            <w:vAlign w:val="bottom"/>
          </w:tcPr>
          <w:p>
            <w:pPr>
              <w:spacing w:after="0"/>
              <w:rPr>
                <w:sz w:val="19"/>
                <w:szCs w:val="19"/>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Credits carryforward</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9,569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40" w:type="dxa"/>
            <w:vAlign w:val="bottom"/>
            <w:tcBorders>
              <w:bottom w:val="single" w:sz="8" w:color="auto"/>
            </w:tcBorders>
          </w:tcPr>
          <w:p>
            <w:pPr>
              <w:spacing w:after="0"/>
              <w:rPr>
                <w:sz w:val="19"/>
                <w:szCs w:val="19"/>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40" w:type="dxa"/>
            <w:vAlign w:val="bottom"/>
            <w:shd w:val="clear" w:color="auto" w:fill="CCEEFF"/>
          </w:tcPr>
          <w:p>
            <w:pPr>
              <w:spacing w:after="0"/>
              <w:rPr>
                <w:sz w:val="19"/>
                <w:szCs w:val="19"/>
                <w:color w:val="auto"/>
              </w:rPr>
            </w:pP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Acquired intangibles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 and other reserves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(89,646)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(46,911)</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88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on the net deferred tax assets. The valuation allowance increased by $42.7 million during 2022 and $12.9 million during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had approximately $252.2 million and $119.4 million of federal and state net operating loss carryforwards, respectively, available to offset future taxable income. Such carryforwards expire in varying amounts beginning in 2027. The federal net operating loss carryforwards of $145.6 million arising after December 31, 2017 do not expire.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had federal and state research and development credit carryforwards of $8.4 million and $12.5 million, respectively. The federal tax credits expire in varying amounts beginning in 2034. The state tax credits do not expire. Additionally, the Company has approximately $1.0 million of tax credits in Canada in which are expected to expire in varying amounts beginning 2032.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2022. The Company does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 jurisdictions and Canada.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spacing w:after="0" w:line="203"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As of December 31, 2022 and 2021, the Company had $11.1 million and $4.6 million, respectively, of gross unrecognized tax benefits related to federal and state research credits. As of December 31, 2022 all unrecognized tax benefits, if recognized, will not affect the Company’s effective tax rate. The Company does not anticipate any unrecognized tax benefits in the next 12 months that would result in a material change to its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231F20"/>
              </w:rPr>
              <w:t>The aggregate changes in the balance of gross unrecognized tax benefits were as follows (in thousands):</w:t>
            </w: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8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2021</w:t>
            </w: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3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2022</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11,091</w:t>
            </w:r>
          </w:p>
        </w:tc>
      </w:tr>
      <w:tr>
        <w:trPr>
          <w:trHeight w:val="20"/>
        </w:trPr>
        <w:tc>
          <w:tcPr>
            <w:tcW w:w="8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and is effective for taxable years beginning after December 31, 2022. The IRA includes multiple incentives to promote clean energy with tax provisions primarily focused on implementing a 15% minimum tax on global adjusted financial statement income and a 1% excise tax on share repurchases. The Company does not believe the IRA will have a material impact on its income tax provision and cash taxes.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2017 Tax Act, research and experimental (“R&amp;E”) expenses under Internal Revenue Code Section 174 are required to be capitalized beginning in 2022. R&amp;E expenses are required to be amortized over a period of five years for domestic expenses and 15 years for foreign expenses. The Company has capitalized research and development expenditures in its income tax provision as a result.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secondary financing transactions and other transactions with certain executive officers and Board members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transactions is detailed below:</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Due From Affiliates (Contra Equity)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another executive of the Company.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During the year ended December 31, 2022, the Company received proceeds from the repayment of the Partially Secured Loans of $0.6 million. As of December 31, 2022 and December 31, 2021, the Company had deposit liability balances of $0.3 million and $0.7 million, respectively, in connection with the 2016 Partially Secured Loan and other early exercises of equity awards. Principal amounts due under the 2016 Partially Secured Loan are included in Notes Due From Affiliates as a reduction in stockholders’ equity on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Non-executive director, James Synge, is a Principal and Partner of Carthona Capital. During the year ended December 31, 2021, the Company entered into a consultancy agreement with Carthona Capital. Under this agreement, Carthona Capital agreed to provide consultancy services to the Company in relation to capital raising matters. During the year ended December 31, 2022, Carthona Capital received consideration of $0.1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Annika Hulls is the spouse of the CEO and Executive Director, Chris Hulls. During the year ended December 31, 2022, a cash payment of $6.5 thousand was paid to Annika Hulls for services relating to a marketing campaign.</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Defined Contribution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common shares outstanding for the fiscal period. Diluted net loss per share is computed by giving effect to potential convertible securities. The dilutive effect of the outstanding September 2021 Convertible Notes and July 2021 Convertible Notes are reflected in diluted net loss per share by application of the if-converted method.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62,209,545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49,346,050</w:t>
            </w:r>
          </w:p>
        </w:tc>
      </w:tr>
      <w:tr>
        <w:trPr>
          <w:trHeight w:val="25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attributable to September 2021 Convertible Notes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attributable to July 2021 Convertible Notes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July 2021 and September 2021 Convertible Notes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loss for diluted earnings per share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62,209,545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49,346,050</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176,422</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 used in computing net loss per share, diluted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62,839,593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49,346,050</w:t>
            </w: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periods presented because including them would have been antidilutive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2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2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6,779,892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2500" w:type="dxa"/>
            <w:vAlign w:val="bottom"/>
          </w:tcPr>
          <w:p>
            <w:pPr>
              <w:spacing w:after="0"/>
              <w:rPr>
                <w:sz w:val="19"/>
                <w:szCs w:val="19"/>
                <w:color w:val="auto"/>
              </w:rPr>
            </w:pPr>
          </w:p>
        </w:tc>
        <w:tc>
          <w:tcPr>
            <w:tcW w:w="24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686,926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4,071,403</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15,494,737</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5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110</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January 2023, the Company announced a restructuring which resulted in an approximate 14% reduction of the company's workforce and the departure of Charles (CJ) Prober, President and Executive Director, who will step down from his current positions on the earlier of (i) 30 calendar days after the date that the Company appoints a chief operating officer (or equivalent role) of the Company or (ii) September 2, 2023.</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2023, SVB was closed by the California Department of Financial Protection and Innovation, which appointed the FDIC as receiver. At the time of closing, the Company had total cash and cash equivalents of approximately $95.1 million, including $75.4 million in shares of money market mutual funds managed by Morgan Stanley, Blackrock and Western Asset, for which SVB acted as custodian, and $6.1 million in deposits with SVB. On March 12, 2023, the U.S. Department of the Treasury, the Board of Governors of the Federal Reserve, and the FDIC announced that SVB depositors would have access to all of their funds starting March 13, 2023. On March 13, 2023, the Company had regained access to all funds in SVB accounts and was transacting normally. While the Company has not experienced any losses in such accounts, the recent failure of SVB exposed the Company to significant credit risk prior to the completion of the FDIC of the resolution of SVB in a manner that fully protected all depositors. The Company is in the process of transferring its accounts to one or more alternative depository institutions, the financial position of which management believes does not expose the Company to significant credit risk or jeopardize its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Evaluation of Disclosure Controls and Procedures</w:t>
      </w:r>
    </w:p>
    <w:p>
      <w:pPr>
        <w:spacing w:after="0" w:line="121" w:lineRule="exact"/>
        <w:rPr>
          <w:sz w:val="20"/>
          <w:szCs w:val="20"/>
          <w:color w:val="auto"/>
        </w:rPr>
      </w:pPr>
    </w:p>
    <w:p>
      <w:pPr>
        <w:jc w:val="both"/>
        <w:ind w:firstLine="405"/>
        <w:spacing w:after="0" w:line="219" w:lineRule="exact"/>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2022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20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2022, our Chief Executive Officer and Chief Financial Officer concluded that, as a result of material weaknesses in our internal control over financial reporting discussed below, our disclosure controls and procedures were not effective as of December 31, 2022.</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management has concluded the Consolidated Financial Statements included in this Annual Report on Form 10-K present fairly, in all material respects, the Company’s financial position, results of operations and cash flows of the Company for the periods presented in conformity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2022, our management identified a material weakness related to management’s risk assessment process over ITGCs, the design and implementation of ITGCs, including certain controls over logical access, segregation of duties and change management, and certain process level controls including information used in the execution of those controls that impacted our financial reporting processes. The material weakness did not result in any identified misstatements in the financial statements, and there were no changes to previously issued financial results. However, the material weakness creates a reasonable possibility that a material misstatement to our consolidated financial statements would not be prevented or detected on a timely basis.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order to remediate the material weakness, we plan to take the following actions:</w:t>
      </w:r>
    </w:p>
    <w:p>
      <w:pPr>
        <w:spacing w:after="0" w:line="117" w:lineRule="exact"/>
        <w:rPr>
          <w:sz w:val="20"/>
          <w:szCs w:val="20"/>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enhanced risk assessment procedures and controls to address IT risks related to key systems that support financial reporting.</w:t>
      </w:r>
    </w:p>
    <w:p>
      <w:pPr>
        <w:spacing w:after="0" w:line="117"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the scope and improving the effectiveness of existing information technology general controls for access management, segregation of duties, change management and computer operations.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documentation of our IT controls for systems key to our financial reporting process.</w:t>
      </w:r>
    </w:p>
    <w:p>
      <w:pPr>
        <w:spacing w:after="0" w:line="6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training relating to the importance and execution of IT general controls for key systems that support financial reporting.</w:t>
      </w:r>
    </w:p>
    <w:p>
      <w:pPr>
        <w:spacing w:after="0" w:line="63" w:lineRule="exact"/>
        <w:rPr>
          <w:rFonts w:ascii="Times New Roman" w:cs="Times New Roman" w:eastAsia="Times New Roman" w:hAnsi="Times New Roman"/>
          <w:sz w:val="18"/>
          <w:szCs w:val="18"/>
          <w:color w:val="auto"/>
        </w:rPr>
      </w:pPr>
    </w:p>
    <w:p>
      <w:pPr>
        <w:ind w:left="740" w:hanging="327"/>
        <w:spacing w:after="0" w:line="281" w:lineRule="auto"/>
        <w:tabs>
          <w:tab w:leader="none" w:pos="7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 in-depth analysis of the roles and accesses within key financial reporting systems and redesigning roles and accesses to support a stronger control environment.</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internal and external resources to assist us with remediation and monitoring remediation progress.</w:t>
      </w:r>
    </w:p>
    <w:p>
      <w:pPr>
        <w:spacing w:after="0" w:line="225" w:lineRule="exact"/>
        <w:rPr>
          <w:sz w:val="20"/>
          <w:szCs w:val="20"/>
          <w:color w:val="auto"/>
        </w:rPr>
      </w:pPr>
    </w:p>
    <w:p>
      <w:pPr>
        <w:ind w:left="80" w:firstLine="324"/>
        <w:spacing w:after="0" w:line="282" w:lineRule="auto"/>
        <w:rPr>
          <w:sz w:val="20"/>
          <w:szCs w:val="20"/>
          <w:color w:val="auto"/>
        </w:rPr>
      </w:pPr>
      <w:r>
        <w:rPr>
          <w:rFonts w:ascii="Times New Roman" w:cs="Times New Roman" w:eastAsia="Times New Roman" w:hAnsi="Times New Roman"/>
          <w:sz w:val="18"/>
          <w:szCs w:val="18"/>
          <w:color w:val="auto"/>
        </w:rPr>
        <w:t>While we believe these efforts will remediate the material weakness, the material weakness cannot be considered fully remediated until the applicable remedial controls operate for a sufficient period of time and management has concluded, through testing, that these controls are operating effectively.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Management’s Report on Internal Control Over Financial Reporting</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Internal Control over Financial Reporting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Except for the changes intended to remediate the material weaknesses described above, there were no changes in our internal control over financial reporting identified in connection with the evaluation required by Rule 13a-15(d) and 15d-15(d) of the Exchange Act that occurred during the year ended December 31, 2022 that have materially affected, or are reasonably likely to materially affect, our internal control over financial reporting.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under the headings “Proposal 1 - Election of Directors” and “Executive Officers” and is incorporated herein by reference.</w:t>
      </w:r>
    </w:p>
    <w:p>
      <w:pPr>
        <w:spacing w:after="0" w:line="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adopted a code of conduct that applies to our directors, officers, and employees, including our principal executive officer, principal financial officer, principal accounting officer or controller, or persons performing similar functions. If we make any substantive amendments to the code of conduct or grant any waiver from a provision of the code of conduct to any executive officer or director, we will promptly disclose the nature of the amendment or waiver on our website. The full text of our code of conduct is on the investor relations portion of our website at investors.life360.com. The inclusion of our website address in this Annual Report on Form 10-K does not include or incorporate by reference into this Annual Report on Form 10-K the information on or accessible through our website.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under the heading “Executive Compensation,” and is incorporated herein by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under the heading “Security Ownership of Certain Beneficial Owners and Management,” and is incorporated herein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under the heading “Transactions with Related Persons and Indemnification,” and is incorporated herein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under the heading “Principal Accountant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Our consolidated financial statements are listed in the “Index to Consolidated Financial Statements” under Part II, Item 8 of this Annual Report on Form 10-K.</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financial statement schedules have been omitted as they are either not applicable or the required information is otherwise included.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required to be filed as part of this report are listed in the Exhibit List attached hereto and are incorporated herein by reference.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00" w:type="dxa"/>
            <w:vAlign w:val="bottom"/>
            <w:gridSpan w:val="2"/>
            <w:vMerge w:val="continue"/>
          </w:tcPr>
          <w:p>
            <w:pPr>
              <w:spacing w:after="0"/>
              <w:rPr>
                <w:sz w:val="13"/>
                <w:szCs w:val="13"/>
                <w:color w:val="auto"/>
              </w:rPr>
            </w:pPr>
          </w:p>
        </w:tc>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w:t>
            </w:r>
          </w:p>
        </w:tc>
        <w:tc>
          <w:tcPr>
            <w:tcW w:w="416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Agreement and Plan of Merger dated November 22,</w:t>
              </w:r>
            </w:hyperlink>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56"/>
        </w:trPr>
        <w:tc>
          <w:tcPr>
            <w:tcW w:w="37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2021, by and among Life360, Inc., Triumph Merger,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3820" w:type="dxa"/>
            <w:vAlign w:val="bottom"/>
            <w:gridSpan w:val="14"/>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Sub, Inc., Tile, Inc., and Fortis Advisors LLC.</w:t>
              </w:r>
            </w:hyperlink>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4720" w:type="dxa"/>
            <w:vAlign w:val="bottom"/>
            <w:gridSpan w:val="22"/>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No. 1 to Agreement and Plan of Merger</w:t>
              </w:r>
            </w:hyperlink>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94967257"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5"/>
        </w:trPr>
        <w:tc>
          <w:tcPr>
            <w:tcW w:w="4720" w:type="dxa"/>
            <w:vAlign w:val="bottom"/>
            <w:gridSpan w:val="22"/>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dated December 20, 2021, by and among Life360, Inc.,</w:t>
              </w:r>
            </w:hyperlink>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39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Triumph Merger, Sub, Inc., Tile, Inc., and Fortis</w:t>
              </w:r>
            </w:hyperlink>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6"/>
        </w:trPr>
        <w:tc>
          <w:tcPr>
            <w:tcW w:w="34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Advisors LLC.</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4720" w:type="dxa"/>
            <w:vAlign w:val="bottom"/>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Agreement and Plan of Merger dated July 27, 2021, by</w:t>
              </w:r>
            </w:hyperlink>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56"/>
        </w:trPr>
        <w:tc>
          <w:tcPr>
            <w:tcW w:w="3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and among Life360, Inc., Jiobit Merger Sub I, Inc.,</w:t>
              </w:r>
            </w:hyperlink>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36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6"/>
              </w:rPr>
            </w:pPr>
            <w:hyperlink r:id="rId173">
              <w:r>
                <w:rPr>
                  <w:rFonts w:ascii="Times New Roman" w:cs="Times New Roman" w:eastAsia="Times New Roman" w:hAnsi="Times New Roman"/>
                  <w:sz w:val="18"/>
                  <w:szCs w:val="18"/>
                  <w:color w:val="0000FF"/>
                  <w:w w:val="96"/>
                </w:rPr>
                <w:t>Jiobit Merger Sub II, LLC, Jio, Inc. and Shareholder</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294967257"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6"/>
        </w:trPr>
        <w:tc>
          <w:tcPr>
            <w:tcW w:w="216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Representative Services LLC.</w:t>
              </w:r>
            </w:hyperlink>
          </w:p>
        </w:tc>
        <w:tc>
          <w:tcPr>
            <w:tcW w:w="1680" w:type="dxa"/>
            <w:vAlign w:val="bottom"/>
            <w:gridSpan w:val="11"/>
          </w:tcPr>
          <w:p>
            <w:pPr>
              <w:spacing w:after="0"/>
              <w:rPr>
                <w:sz w:val="13"/>
                <w:szCs w:val="13"/>
                <w:color w:val="auto"/>
              </w:rPr>
            </w:pPr>
          </w:p>
        </w:tc>
        <w:tc>
          <w:tcPr>
            <w:tcW w:w="4294967257"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63"/>
        </w:trPr>
        <w:tc>
          <w:tcPr>
            <w:tcW w:w="4720" w:type="dxa"/>
            <w:vAlign w:val="bottom"/>
            <w:gridSpan w:val="22"/>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No.1 to Agreement and Plan of Merger</w:t>
              </w:r>
            </w:hyperlink>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55"/>
        </w:trPr>
        <w:tc>
          <w:tcPr>
            <w:tcW w:w="37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dated August 31, 2021, by and among Life360, Inc.,</w:t>
              </w:r>
            </w:hyperlink>
          </w:p>
        </w:tc>
        <w:tc>
          <w:tcPr>
            <w:tcW w:w="20" w:type="dxa"/>
            <w:vAlign w:val="bottom"/>
            <w:tcBorders>
              <w:bottom w:val="single" w:sz="8" w:color="0000FF"/>
            </w:tcBorders>
          </w:tcPr>
          <w:p>
            <w:pPr>
              <w:spacing w:after="0"/>
              <w:rPr>
                <w:sz w:val="13"/>
                <w:szCs w:val="13"/>
                <w:color w:val="auto"/>
              </w:rPr>
            </w:pPr>
          </w:p>
        </w:tc>
        <w:tc>
          <w:tcPr>
            <w:tcW w:w="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380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Jiobit Merger Sub I, Inc., Jiobit Merger Sub II, LLC,</w:t>
              </w:r>
            </w:hyperlink>
          </w:p>
        </w:tc>
        <w:tc>
          <w:tcPr>
            <w:tcW w:w="0" w:type="dxa"/>
            <w:vAlign w:val="bottom"/>
            <w:tcBorders>
              <w:bottom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5"/>
        </w:trPr>
        <w:tc>
          <w:tcPr>
            <w:tcW w:w="4000" w:type="dxa"/>
            <w:vAlign w:val="bottom"/>
            <w:tcBorders>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Jio, Inc. and Shareholder Representative Services LLC.</w:t>
              </w:r>
            </w:hyperlink>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64"/>
        </w:trPr>
        <w:tc>
          <w:tcPr>
            <w:tcW w:w="4720" w:type="dxa"/>
            <w:vAlign w:val="bottom"/>
            <w:gridSpan w:val="2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Second Amendment dated April 11, 2022, by and</w:t>
              </w:r>
            </w:hyperlink>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55"/>
        </w:trPr>
        <w:tc>
          <w:tcPr>
            <w:tcW w:w="4720" w:type="dxa"/>
            <w:vAlign w:val="bottom"/>
            <w:gridSpan w:val="2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between Life360, Inc. and Shareholder Representative</w:t>
              </w:r>
            </w:hyperlink>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39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Services LLC, to that certain Agreement and Plan of</w:t>
              </w:r>
            </w:hyperlink>
          </w:p>
        </w:tc>
        <w:tc>
          <w:tcPr>
            <w:tcW w:w="800" w:type="dxa"/>
            <w:vAlign w:val="bottom"/>
            <w:gridSpan w:val="4"/>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6"/>
        </w:trPr>
        <w:tc>
          <w:tcPr>
            <w:tcW w:w="38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Merger dated July 27, 2021, by and among Life360,</w:t>
              </w:r>
            </w:hyperlink>
          </w:p>
        </w:tc>
        <w:tc>
          <w:tcPr>
            <w:tcW w:w="80" w:type="dxa"/>
            <w:vAlign w:val="bottom"/>
          </w:tcPr>
          <w:p>
            <w:pPr>
              <w:spacing w:after="0"/>
              <w:rPr>
                <w:sz w:val="13"/>
                <w:szCs w:val="13"/>
                <w:color w:val="auto"/>
              </w:rPr>
            </w:pPr>
          </w:p>
        </w:tc>
        <w:tc>
          <w:tcPr>
            <w:tcW w:w="840" w:type="dxa"/>
            <w:vAlign w:val="bottom"/>
            <w:gridSpan w:val="5"/>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6"/>
        </w:trPr>
        <w:tc>
          <w:tcPr>
            <w:tcW w:w="37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 Jiobit Merger Sub I, Inc., Jiobit Merger Sub II,</w:t>
              </w:r>
            </w:hyperlink>
          </w:p>
        </w:tc>
        <w:tc>
          <w:tcPr>
            <w:tcW w:w="120" w:type="dxa"/>
            <w:vAlign w:val="bottom"/>
            <w:gridSpan w:val="6"/>
          </w:tcPr>
          <w:p>
            <w:pPr>
              <w:spacing w:after="0"/>
              <w:rPr>
                <w:sz w:val="13"/>
                <w:szCs w:val="13"/>
                <w:color w:val="auto"/>
              </w:rPr>
            </w:pPr>
          </w:p>
        </w:tc>
        <w:tc>
          <w:tcPr>
            <w:tcW w:w="840" w:type="dxa"/>
            <w:vAlign w:val="bottom"/>
            <w:gridSpan w:val="5"/>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20" w:type="dxa"/>
            <w:vAlign w:val="bottom"/>
            <w:gridSpan w:val="7"/>
            <w:shd w:val="clear" w:color="auto" w:fill="0000FF"/>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9"/>
        </w:trPr>
        <w:tc>
          <w:tcPr>
            <w:tcW w:w="4720" w:type="dxa"/>
            <w:vAlign w:val="bottom"/>
            <w:gridSpan w:val="22"/>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LLC, Jio, Inc. and Shareholder Representative Services</w:t>
              </w:r>
            </w:hyperlink>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6"/>
        </w:trPr>
        <w:tc>
          <w:tcPr>
            <w:tcW w:w="40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LLC.</w:t>
              </w:r>
            </w:hyperlink>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80" w:type="dxa"/>
            <w:vAlign w:val="bottom"/>
            <w:gridSpan w:val="1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4720" w:type="dxa"/>
            <w:vAlign w:val="bottom"/>
            <w:gridSpan w:val="2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Certificate of Incorporation of</w:t>
              </w:r>
            </w:hyperlink>
          </w:p>
        </w:tc>
        <w:tc>
          <w:tcPr>
            <w:tcW w:w="1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55"/>
        </w:trPr>
        <w:tc>
          <w:tcPr>
            <w:tcW w:w="38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 Company.</w:t>
              </w:r>
            </w:hyperlink>
          </w:p>
        </w:tc>
        <w:tc>
          <w:tcPr>
            <w:tcW w:w="840" w:type="dxa"/>
            <w:vAlign w:val="bottom"/>
            <w:gridSpan w:val="5"/>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57" w:lineRule="exact"/>
        <w:rPr>
          <w:sz w:val="20"/>
          <w:szCs w:val="20"/>
          <w:color w:val="auto"/>
        </w:rPr>
      </w:pPr>
    </w:p>
    <w:p>
      <w:pPr>
        <w:sectPr>
          <w:pgSz w:w="11900" w:h="16838" w:orient="portrait"/>
          <w:cols w:equalWidth="0" w:num="2">
            <w:col w:w="440" w:space="380"/>
            <w:col w:w="10420"/>
          </w:cols>
          <w:pgMar w:left="320" w:top="225" w:right="33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the Company.</w:t>
            </w:r>
          </w:p>
        </w:tc>
        <w:tc>
          <w:tcPr>
            <w:tcW w:w="29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0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500" w:type="dxa"/>
            <w:vAlign w:val="bottom"/>
          </w:tcPr>
          <w:p>
            <w:pPr>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Fourth Amended and Restated Investors’ Rights</w:t>
              </w:r>
            </w:hyperlink>
          </w:p>
        </w:tc>
        <w:tc>
          <w:tcPr>
            <w:tcW w:w="29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ind w:left="820"/>
        <w:spacing w:after="0" w:line="219"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Agreement dated September 18, 2018, by and among</w:t>
        </w:r>
      </w:hyperlink>
    </w:p>
    <w:p>
      <w:pPr>
        <w:ind w:left="820"/>
        <w:spacing w:after="0" w:line="203"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Life360, Inc., the Founders, the Existing Preferred</w:t>
        </w:r>
      </w:hyperlink>
    </w:p>
    <w:p>
      <w:pPr>
        <w:spacing w:after="0" w:line="1"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Holders and the New Investors.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40" w:right="104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79">
        <w:r>
          <w:rPr>
            <w:rFonts w:ascii="Times New Roman" w:cs="Times New Roman" w:eastAsia="Times New Roman" w:hAnsi="Times New Roman"/>
            <w:sz w:val="18"/>
            <w:szCs w:val="18"/>
            <w:u w:val="single" w:color="auto"/>
            <w:color w:val="0000FF"/>
          </w:rPr>
          <w:t>Form of Indemnification Agreement between Life360</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and its directors and officers.</w:t>
        </w:r>
      </w:hyperlink>
    </w:p>
    <w:p>
      <w:pPr>
        <w:spacing w:after="0" w:line="64" w:lineRule="exact"/>
        <w:rPr>
          <w:sz w:val="20"/>
          <w:szCs w:val="20"/>
          <w:color w:val="auto"/>
        </w:rPr>
      </w:pPr>
    </w:p>
    <w:p>
      <w:pPr>
        <w:ind w:left="20"/>
        <w:spacing w:after="0"/>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80">
        <w:r>
          <w:rPr>
            <w:rFonts w:ascii="Times New Roman" w:cs="Times New Roman" w:eastAsia="Times New Roman" w:hAnsi="Times New Roman"/>
            <w:sz w:val="17"/>
            <w:szCs w:val="17"/>
            <w:u w:val="single" w:color="auto"/>
            <w:color w:val="0000FF"/>
          </w:rPr>
          <w:t>Amended and Restated 2011 Stock Plan.</w:t>
        </w:r>
      </w:hyperlink>
    </w:p>
    <w:p>
      <w:pPr>
        <w:spacing w:after="0" w:line="117" w:lineRule="exact"/>
        <w:rPr>
          <w:sz w:val="20"/>
          <w:szCs w:val="20"/>
          <w:color w:val="auto"/>
        </w:rPr>
      </w:pPr>
    </w:p>
    <w:p>
      <w:pPr>
        <w:ind w:left="840" w:right="140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81">
        <w:r>
          <w:rPr>
            <w:rFonts w:ascii="Times New Roman" w:cs="Times New Roman" w:eastAsia="Times New Roman" w:hAnsi="Times New Roman"/>
            <w:sz w:val="18"/>
            <w:szCs w:val="18"/>
            <w:u w:val="single" w:color="auto"/>
            <w:color w:val="0000FF"/>
          </w:rPr>
          <w:t>Form of Amended and Restated 2011 Stock Plan</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Restricted Stock Unit Agreement.</w:t>
        </w:r>
      </w:hyperlink>
    </w:p>
    <w:p>
      <w:pPr>
        <w:spacing w:after="0" w:line="64" w:lineRule="exact"/>
        <w:rPr>
          <w:sz w:val="20"/>
          <w:szCs w:val="20"/>
          <w:color w:val="auto"/>
        </w:rPr>
      </w:pPr>
    </w:p>
    <w:p>
      <w:pPr>
        <w:ind w:left="840" w:right="96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82">
        <w:r>
          <w:rPr>
            <w:rFonts w:ascii="Times New Roman" w:cs="Times New Roman" w:eastAsia="Times New Roman" w:hAnsi="Times New Roman"/>
            <w:sz w:val="18"/>
            <w:szCs w:val="18"/>
            <w:u w:val="single" w:color="auto"/>
            <w:color w:val="0000FF"/>
          </w:rPr>
          <w:t>Form of Amended and Restated 2011 Stock Plan Stock</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Option Agreement.</w:t>
        </w:r>
      </w:hyperlink>
    </w:p>
    <w:p>
      <w:pPr>
        <w:spacing w:after="0" w:line="64" w:lineRule="exact"/>
        <w:rPr>
          <w:sz w:val="20"/>
          <w:szCs w:val="20"/>
          <w:color w:val="auto"/>
        </w:rPr>
      </w:pPr>
    </w:p>
    <w:p>
      <w:pPr>
        <w:ind w:left="840" w:right="114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83">
        <w:r>
          <w:rPr>
            <w:rFonts w:ascii="Times New Roman" w:cs="Times New Roman" w:eastAsia="Times New Roman" w:hAnsi="Times New Roman"/>
            <w:sz w:val="18"/>
            <w:szCs w:val="18"/>
            <w:u w:val="single" w:color="auto"/>
            <w:color w:val="0000FF"/>
          </w:rPr>
          <w:t>Life360 Compensation Plan for Board Directors and</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Company Leadership.</w:t>
        </w:r>
      </w:hyperlink>
    </w:p>
    <w:p>
      <w:pPr>
        <w:spacing w:after="0" w:line="64" w:lineRule="exact"/>
        <w:rPr>
          <w:sz w:val="20"/>
          <w:szCs w:val="20"/>
          <w:color w:val="auto"/>
        </w:rPr>
      </w:pPr>
    </w:p>
    <w:p>
      <w:pPr>
        <w:ind w:left="840" w:right="94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84">
        <w:r>
          <w:rPr>
            <w:rFonts w:ascii="Times New Roman" w:cs="Times New Roman" w:eastAsia="Times New Roman" w:hAnsi="Times New Roman"/>
            <w:sz w:val="18"/>
            <w:szCs w:val="18"/>
            <w:u w:val="single" w:color="auto"/>
            <w:color w:val="0000FF"/>
          </w:rPr>
          <w:t>Employment Agreement, dated May 14, 2019, between</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Life360, Inc. and Chris Hulls.</w:t>
        </w:r>
      </w:hyperlink>
    </w:p>
    <w:p>
      <w:pPr>
        <w:spacing w:after="0" w:line="64" w:lineRule="exact"/>
        <w:rPr>
          <w:sz w:val="20"/>
          <w:szCs w:val="20"/>
          <w:color w:val="auto"/>
        </w:rPr>
      </w:pPr>
    </w:p>
    <w:p>
      <w:pPr>
        <w:ind w:left="840" w:right="920" w:hanging="809"/>
        <w:spacing w:after="0" w:line="222"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85">
        <w:r>
          <w:rPr>
            <w:rFonts w:ascii="Times New Roman" w:cs="Times New Roman" w:eastAsia="Times New Roman" w:hAnsi="Times New Roman"/>
            <w:sz w:val="18"/>
            <w:szCs w:val="18"/>
            <w:u w:val="single" w:color="auto"/>
            <w:color w:val="0000FF"/>
          </w:rPr>
          <w:t>Employment Agreement, dated November 22, 2021, by</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and between Tile, Inc., pursuant to that certain</w:t>
        </w:r>
      </w:hyperlink>
    </w:p>
    <w:p>
      <w:pPr>
        <w:spacing w:after="0" w:line="2" w:lineRule="exact"/>
        <w:rPr>
          <w:sz w:val="20"/>
          <w:szCs w:val="20"/>
          <w:color w:val="auto"/>
        </w:rPr>
      </w:pPr>
    </w:p>
    <w:p>
      <w:pPr>
        <w:ind w:left="840" w:right="1020"/>
        <w:spacing w:after="0" w:line="218"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Agreement and Plan of Merger, dated November 22,</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2021, by and between the Company, Life360, Inc.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certain other parties, and Charles J. Prober.</w:t>
        </w:r>
      </w:hyperlink>
    </w:p>
    <w:p>
      <w:pPr>
        <w:spacing w:after="0" w:line="64" w:lineRule="exact"/>
        <w:rPr>
          <w:rFonts w:ascii="Times New Roman" w:cs="Times New Roman" w:eastAsia="Times New Roman" w:hAnsi="Times New Roman"/>
          <w:sz w:val="18"/>
          <w:szCs w:val="18"/>
          <w:u w:val="single" w:color="auto"/>
          <w:color w:val="0000FF"/>
        </w:rPr>
      </w:pPr>
    </w:p>
    <w:p>
      <w:pPr>
        <w:jc w:val="right"/>
        <w:ind w:left="20" w:right="11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86">
        <w:r>
          <w:rPr>
            <w:rFonts w:ascii="Times New Roman" w:cs="Times New Roman" w:eastAsia="Times New Roman" w:hAnsi="Times New Roman"/>
            <w:sz w:val="18"/>
            <w:szCs w:val="18"/>
            <w:u w:val="single" w:color="auto"/>
            <w:color w:val="0000FF"/>
          </w:rPr>
          <w:t>First Amendment to Employment Agreement, dated</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April 7, 2022, between Life360, Inc. and Charles J.</w:t>
        </w:r>
      </w:hyperlink>
    </w:p>
    <w:p>
      <w:pPr>
        <w:spacing w:after="0" w:line="2" w:lineRule="exact"/>
        <w:rPr>
          <w:sz w:val="20"/>
          <w:szCs w:val="20"/>
          <w:color w:val="auto"/>
        </w:rPr>
      </w:pPr>
    </w:p>
    <w:p>
      <w:pPr>
        <w:ind w:left="84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Prober.</w:t>
        </w:r>
      </w:hyperlink>
    </w:p>
    <w:p>
      <w:pPr>
        <w:spacing w:after="0" w:line="57" w:lineRule="exact"/>
        <w:rPr>
          <w:sz w:val="20"/>
          <w:szCs w:val="20"/>
          <w:color w:val="auto"/>
        </w:rPr>
      </w:pPr>
    </w:p>
    <w:p>
      <w:pPr>
        <w:ind w:left="840" w:right="150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87">
        <w:r>
          <w:rPr>
            <w:rFonts w:ascii="Times New Roman" w:cs="Times New Roman" w:eastAsia="Times New Roman" w:hAnsi="Times New Roman"/>
            <w:sz w:val="18"/>
            <w:szCs w:val="18"/>
            <w:u w:val="single" w:color="auto"/>
            <w:color w:val="0000FF"/>
          </w:rPr>
          <w:t>Offer Letter, dated September 5, 2019, between</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Life360, Inc. and Samir Kapoor.</w:t>
        </w:r>
      </w:hyperlink>
    </w:p>
    <w:p>
      <w:pPr>
        <w:spacing w:after="0" w:line="64" w:lineRule="exact"/>
        <w:rPr>
          <w:sz w:val="20"/>
          <w:szCs w:val="20"/>
          <w:color w:val="auto"/>
        </w:rPr>
      </w:pPr>
    </w:p>
    <w:p>
      <w:pPr>
        <w:ind w:left="840" w:right="1320" w:hanging="809"/>
        <w:spacing w:after="0" w:line="237"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88">
        <w:r>
          <w:rPr>
            <w:rFonts w:ascii="Times New Roman" w:cs="Times New Roman" w:eastAsia="Times New Roman" w:hAnsi="Times New Roman"/>
            <w:sz w:val="18"/>
            <w:szCs w:val="18"/>
            <w:u w:val="single" w:color="auto"/>
            <w:color w:val="0000FF"/>
          </w:rPr>
          <w:t>Retention Bonus Letter between Life360, Inc. and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Christopher Hulls (2016).</w:t>
        </w:r>
      </w:hyperlink>
    </w:p>
    <w:p>
      <w:pPr>
        <w:spacing w:after="0" w:line="64" w:lineRule="exact"/>
        <w:rPr>
          <w:sz w:val="20"/>
          <w:szCs w:val="20"/>
          <w:color w:val="auto"/>
        </w:rPr>
      </w:pPr>
    </w:p>
    <w:p>
      <w:pPr>
        <w:ind w:left="840" w:right="1080" w:hanging="809"/>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89">
        <w:r>
          <w:rPr>
            <w:rFonts w:ascii="Times New Roman" w:cs="Times New Roman" w:eastAsia="Times New Roman" w:hAnsi="Times New Roman"/>
            <w:sz w:val="17"/>
            <w:szCs w:val="17"/>
            <w:u w:val="single" w:color="auto"/>
            <w:color w:val="0000FF"/>
          </w:rPr>
          <w:t>Data Services and License Agreement, effective as of</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January 26, 2022, by and between Life360, Inc. and</w:t>
        </w:r>
      </w:hyperlink>
    </w:p>
    <w:p>
      <w:pPr>
        <w:ind w:left="840"/>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Placer Labs Inc.</w:t>
        </w:r>
      </w:hyperlink>
    </w:p>
    <w:p>
      <w:pPr>
        <w:spacing w:after="0" w:line="57" w:lineRule="exact"/>
        <w:rPr>
          <w:sz w:val="20"/>
          <w:szCs w:val="20"/>
          <w:color w:val="auto"/>
        </w:rPr>
      </w:pPr>
    </w:p>
    <w:p>
      <w:pPr>
        <w:ind w:left="840" w:right="940" w:hanging="809"/>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90">
        <w:r>
          <w:rPr>
            <w:rFonts w:ascii="Times New Roman" w:cs="Times New Roman" w:eastAsia="Times New Roman" w:hAnsi="Times New Roman"/>
            <w:sz w:val="17"/>
            <w:szCs w:val="17"/>
            <w:u w:val="single" w:color="auto"/>
            <w:color w:val="0000FF"/>
          </w:rPr>
          <w:t>Amendment No. 1 to Data Services and License</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Agreement, effective as of May , 2022, by and between</w:t>
        </w:r>
      </w:hyperlink>
    </w:p>
    <w:p>
      <w:pPr>
        <w:ind w:left="840"/>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Life360, Inc. and Placer Labs Inc.</w:t>
        </w:r>
      </w:hyperlink>
    </w:p>
    <w:p>
      <w:pPr>
        <w:spacing w:after="0" w:line="57" w:lineRule="exact"/>
        <w:rPr>
          <w:sz w:val="20"/>
          <w:szCs w:val="20"/>
          <w:color w:val="auto"/>
        </w:rPr>
      </w:pPr>
    </w:p>
    <w:p>
      <w:pPr>
        <w:ind w:left="840" w:right="880" w:hanging="809"/>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10.13†§* </w:t>
      </w:r>
      <w:hyperlink r:id="rId191">
        <w:r>
          <w:rPr>
            <w:rFonts w:ascii="Times New Roman" w:cs="Times New Roman" w:eastAsia="Times New Roman" w:hAnsi="Times New Roman"/>
            <w:sz w:val="17"/>
            <w:szCs w:val="17"/>
            <w:u w:val="single" w:color="auto"/>
            <w:color w:val="0000FF"/>
          </w:rPr>
          <w:t>Warranty Program Agreement, dated June 26, 2020, by</w:t>
        </w:r>
      </w:hyperlink>
      <w:r>
        <w:rPr>
          <w:rFonts w:ascii="Times New Roman" w:cs="Times New Roman" w:eastAsia="Times New Roman" w:hAnsi="Times New Roman"/>
          <w:sz w:val="17"/>
          <w:szCs w:val="17"/>
          <w:color w:val="auto"/>
        </w:rPr>
        <w:t xml:space="preserve"> </w:t>
      </w:r>
      <w:hyperlink r:id="rId191">
        <w:r>
          <w:rPr>
            <w:rFonts w:ascii="Times New Roman" w:cs="Times New Roman" w:eastAsia="Times New Roman" w:hAnsi="Times New Roman"/>
            <w:sz w:val="17"/>
            <w:szCs w:val="17"/>
            <w:u w:val="single" w:color="auto"/>
            <w:color w:val="0000FF"/>
          </w:rPr>
          <w:t>and between Cover Genius Warranty Services, LLC and</w:t>
        </w:r>
      </w:hyperlink>
    </w:p>
    <w:p>
      <w:pPr>
        <w:ind w:left="840"/>
        <w:spacing w:after="0"/>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Tile, Inc.</w:t>
        </w:r>
      </w:hyperlink>
    </w:p>
    <w:p>
      <w:pPr>
        <w:spacing w:after="0" w:line="57" w:lineRule="exact"/>
        <w:rPr>
          <w:sz w:val="20"/>
          <w:szCs w:val="20"/>
          <w:color w:val="auto"/>
        </w:rPr>
      </w:pPr>
    </w:p>
    <w:p>
      <w:pPr>
        <w:ind w:left="840" w:right="940" w:hanging="809"/>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92">
        <w:r>
          <w:rPr>
            <w:rFonts w:ascii="Times New Roman" w:cs="Times New Roman" w:eastAsia="Times New Roman" w:hAnsi="Times New Roman"/>
            <w:sz w:val="17"/>
            <w:szCs w:val="17"/>
            <w:u w:val="single" w:color="auto"/>
            <w:color w:val="0000FF"/>
          </w:rPr>
          <w:t>First Amendment to the Warranty Program Agreement,</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dated September 17, 2020, by and between Cover</w:t>
        </w:r>
      </w:hyperlink>
    </w:p>
    <w:p>
      <w:pPr>
        <w:ind w:left="840"/>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Genius Warranty Services, LLC and Tile, Inc.</w:t>
        </w:r>
      </w:hyperlink>
    </w:p>
    <w:p>
      <w:pPr>
        <w:spacing w:after="0" w:line="57" w:lineRule="exact"/>
        <w:rPr>
          <w:sz w:val="20"/>
          <w:szCs w:val="20"/>
          <w:color w:val="auto"/>
        </w:rPr>
      </w:pPr>
    </w:p>
    <w:p>
      <w:pPr>
        <w:ind w:left="840" w:right="1220" w:hanging="809"/>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93">
        <w:r>
          <w:rPr>
            <w:rFonts w:ascii="Times New Roman" w:cs="Times New Roman" w:eastAsia="Times New Roman" w:hAnsi="Times New Roman"/>
            <w:sz w:val="17"/>
            <w:szCs w:val="17"/>
            <w:u w:val="single" w:color="auto"/>
            <w:color w:val="0000FF"/>
          </w:rPr>
          <w:t>Second Amendment to the Warranty Program</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Agreement, dated October 8, 2021, by and between</w:t>
        </w:r>
      </w:hyperlink>
    </w:p>
    <w:p>
      <w:pPr>
        <w:ind w:left="84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Cover Genius Warranty Services, LLC and Tile, Inc.</w:t>
        </w:r>
      </w:hyperlink>
    </w:p>
    <w:p>
      <w:pPr>
        <w:spacing w:after="0" w:line="32" w:lineRule="exact"/>
        <w:rPr>
          <w:sz w:val="20"/>
          <w:szCs w:val="20"/>
          <w:color w:val="auto"/>
        </w:rPr>
      </w:pPr>
    </w:p>
    <w:p>
      <w:pPr>
        <w:ind w:left="20"/>
        <w:spacing w:after="0"/>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94">
        <w:r>
          <w:rPr>
            <w:rFonts w:ascii="Times New Roman" w:cs="Times New Roman" w:eastAsia="Times New Roman" w:hAnsi="Times New Roman"/>
            <w:sz w:val="17"/>
            <w:szCs w:val="17"/>
            <w:u w:val="single" w:color="auto"/>
            <w:color w:val="0000FF"/>
          </w:rPr>
          <w:t>Manufacturing Services Agreement, dated March 8,</w:t>
        </w:r>
      </w:hyperlink>
    </w:p>
    <w:p>
      <w:pPr>
        <w:ind w:left="840"/>
        <w:spacing w:after="0" w:line="219"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2017, by and between Jabil Circuit, Inc., Jabil Circuit</w:t>
        </w:r>
      </w:hyperlink>
    </w:p>
    <w:p>
      <w:pPr>
        <w:ind w:left="84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(Singapore) Pte. Ltd. and Tile, Inc.</w:t>
        </w:r>
      </w:hyperlink>
    </w:p>
    <w:p>
      <w:pPr>
        <w:spacing w:after="0" w:line="57" w:lineRule="exact"/>
        <w:rPr>
          <w:sz w:val="20"/>
          <w:szCs w:val="20"/>
          <w:color w:val="auto"/>
        </w:rPr>
      </w:pPr>
    </w:p>
    <w:p>
      <w:pPr>
        <w:ind w:left="840" w:right="1020" w:hanging="809"/>
        <w:spacing w:after="0" w:line="236" w:lineRule="auto"/>
        <w:tabs>
          <w:tab w:leader="none" w:pos="8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95">
        <w:r>
          <w:rPr>
            <w:rFonts w:ascii="Times New Roman" w:cs="Times New Roman" w:eastAsia="Times New Roman" w:hAnsi="Times New Roman"/>
            <w:sz w:val="17"/>
            <w:szCs w:val="17"/>
            <w:u w:val="single" w:color="auto"/>
            <w:color w:val="0000FF"/>
          </w:rPr>
          <w:t>Letter Agreement, dated June 2, 2022, by and among</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Jabil, Inc., Jabil Circuit (Singapore) Pte. Ltd. and Tile,</w:t>
        </w:r>
      </w:hyperlink>
    </w:p>
    <w:p>
      <w:pPr>
        <w:ind w:left="840"/>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Inc.</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10.9</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10.10</w:t>
            </w:r>
          </w:p>
        </w:tc>
      </w:tr>
      <w:tr>
        <w:trPr>
          <w:trHeight w:val="4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4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10.13</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10.14</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10.15</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10.16</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10.17</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10.18</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10.19</w:t>
            </w:r>
          </w:p>
        </w:tc>
      </w:tr>
    </w:tbl>
    <w:p>
      <w:pPr>
        <w:sectPr>
          <w:pgSz w:w="11900" w:h="16838" w:orient="portrait"/>
          <w:cols w:equalWidth="0" w:num="2">
            <w:col w:w="5760" w:space="500"/>
            <w:col w:w="4560"/>
          </w:cols>
          <w:pgMar w:left="320" w:top="225" w:right="75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Office Lease for 1900 S. Norfolk Street, Suite 310, San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020" w:type="dxa"/>
            <w:vAlign w:val="bottom"/>
            <w:gridSpan w:val="26"/>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Mateo, California, dated September 12, 2019, by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between 1900 Atrium Associates, LP and Tile, Inc.</w:t>
              </w:r>
            </w:hyperlink>
          </w:p>
        </w:tc>
        <w:tc>
          <w:tcPr>
            <w:tcW w:w="1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First Amendment to Lease for 1900 S. Norfolk Street,</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900" w:type="dxa"/>
            <w:vAlign w:val="bottom"/>
            <w:gridSpan w:val="20"/>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Suite 310, San Mateo, California, dated August 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6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2020, by and between 1900 Atrium Associates, LP</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16"/>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and</w:t>
              </w:r>
            </w:hyperlink>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9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Tile,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Second Amendment to Lease for 1900 S. Norfolk</w:t>
              </w:r>
            </w:hyperlink>
          </w:p>
        </w:tc>
        <w:tc>
          <w:tcPr>
            <w:tcW w:w="700" w:type="dxa"/>
            <w:vAlign w:val="bottom"/>
            <w:gridSpan w:val="19"/>
          </w:tcPr>
          <w:p>
            <w:pPr>
              <w:spacing w:after="0"/>
              <w:rPr>
                <w:sz w:val="22"/>
                <w:szCs w:val="22"/>
                <w:color w:val="auto"/>
              </w:rPr>
            </w:pPr>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4280" w:type="dxa"/>
            <w:vAlign w:val="bottom"/>
            <w:gridSpan w:val="30"/>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Street, Suite 310, San Mateo, California, dated January</w:t>
              </w:r>
            </w:hyperlink>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9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10, 2022, by and between 1900 Atrium Associates, LP</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9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and Tile, Inc.</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5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Sublease Agreement for 30 North LaSalle Street,</w:t>
              </w:r>
            </w:hyperlink>
          </w:p>
        </w:tc>
        <w:tc>
          <w:tcPr>
            <w:tcW w:w="740" w:type="dxa"/>
            <w:vAlign w:val="bottom"/>
            <w:gridSpan w:val="20"/>
            <w:vMerge w:val="restart"/>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and</w:t>
              </w:r>
            </w:hyperlink>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540" w:type="dxa"/>
            <w:vAlign w:val="bottom"/>
            <w:gridSpan w:val="10"/>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Chicago, Illinois, dated as of March 9, 2019, by</w:t>
              </w:r>
            </w:hyperlink>
          </w:p>
        </w:tc>
        <w:tc>
          <w:tcPr>
            <w:tcW w:w="740" w:type="dxa"/>
            <w:vAlign w:val="bottom"/>
            <w:gridSpan w:val="20"/>
            <w:vMerge w:val="continue"/>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between Bin Insurance Holdings, LLC and Jio, Inc.</w:t>
              </w:r>
            </w:hyperlink>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280" w:type="dxa"/>
            <w:vAlign w:val="bottom"/>
            <w:gridSpan w:val="30"/>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Vendor Terms and Conditions between Tile, Inc. and</w:t>
              </w:r>
            </w:hyperlink>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7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Amazon.com, effective June 4, 2018.</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280" w:type="dxa"/>
            <w:vAlign w:val="bottom"/>
            <w:gridSpan w:val="30"/>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Apple Developer Program License Agreement between</w:t>
              </w:r>
            </w:hyperlink>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Life360, Inc. and Apple Inc.</w:t>
              </w:r>
            </w:hyperlink>
          </w:p>
        </w:tc>
        <w:tc>
          <w:tcPr>
            <w:tcW w:w="20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280" w:type="dxa"/>
            <w:vAlign w:val="bottom"/>
            <w:gridSpan w:val="30"/>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Schedules 2 and 3 to Apple Developer Program License</w:t>
              </w:r>
            </w:hyperlink>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0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Agreement between Life360, Inc. and Apple Inc.</w:t>
              </w:r>
            </w:hyperlink>
          </w:p>
        </w:tc>
        <w:tc>
          <w:tcPr>
            <w:tcW w:w="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68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List of Subsidiaries of the Company.</w:t>
              </w:r>
            </w:hyperlink>
          </w:p>
        </w:tc>
        <w:tc>
          <w:tcPr>
            <w:tcW w:w="840" w:type="dxa"/>
            <w:vAlign w:val="bottom"/>
            <w:tcBorders>
              <w:top w:val="single" w:sz="8" w:color="0000FF"/>
            </w:tcBorders>
          </w:tcPr>
          <w:p>
            <w:pPr>
              <w:spacing w:after="0"/>
              <w:rPr>
                <w:sz w:val="24"/>
                <w:szCs w:val="24"/>
                <w:color w:val="auto"/>
              </w:rPr>
            </w:pPr>
          </w:p>
        </w:tc>
        <w:tc>
          <w:tcPr>
            <w:tcW w:w="760" w:type="dxa"/>
            <w:vAlign w:val="bottom"/>
            <w:gridSpan w:val="21"/>
          </w:tcPr>
          <w:p>
            <w:pPr>
              <w:spacing w:after="0"/>
              <w:rPr>
                <w:sz w:val="24"/>
                <w:szCs w:val="24"/>
                <w:color w:val="auto"/>
              </w:rPr>
            </w:pPr>
          </w:p>
        </w:tc>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10-12G/A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000-56424</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5,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0" w:type="dxa"/>
            <w:vAlign w:val="bottom"/>
          </w:tcPr>
          <w:p>
            <w:pPr>
              <w:spacing w:after="0"/>
              <w:rPr>
                <w:sz w:val="1"/>
                <w:szCs w:val="1"/>
                <w:color w:val="auto"/>
              </w:rPr>
            </w:pPr>
          </w:p>
        </w:tc>
      </w:tr>
      <w:tr>
        <w:trPr>
          <w:trHeight w:val="30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0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Consent of BDO USA, LLP, an Independent Registered</w:t>
            </w:r>
          </w:p>
        </w:tc>
        <w:tc>
          <w:tcPr>
            <w:tcW w:w="220" w:type="dxa"/>
            <w:vAlign w:val="bottom"/>
            <w:gridSpan w:val="2"/>
          </w:tcPr>
          <w:p>
            <w:pPr>
              <w:spacing w:after="0"/>
              <w:rPr>
                <w:sz w:val="24"/>
                <w:szCs w:val="24"/>
                <w:color w:val="auto"/>
              </w:rPr>
            </w:pP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406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Public Accounting Firm.</w:t>
            </w:r>
          </w:p>
        </w:tc>
        <w:tc>
          <w:tcPr>
            <w:tcW w:w="220" w:type="dxa"/>
            <w:vAlign w:val="bottom"/>
            <w:gridSpan w:val="2"/>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 to</w:t>
            </w:r>
          </w:p>
        </w:tc>
        <w:tc>
          <w:tcPr>
            <w:tcW w:w="4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gridSpan w:val="4"/>
          </w:tcPr>
          <w:p>
            <w:pPr>
              <w:spacing w:after="0"/>
              <w:rPr>
                <w:sz w:val="24"/>
                <w:szCs w:val="24"/>
                <w:color w:val="auto"/>
              </w:rPr>
            </w:pPr>
          </w:p>
        </w:tc>
        <w:tc>
          <w:tcPr>
            <w:tcW w:w="280" w:type="dxa"/>
            <w:vAlign w:val="bottom"/>
            <w:gridSpan w:val="5"/>
          </w:tcPr>
          <w:p>
            <w:pPr>
              <w:spacing w:after="0"/>
              <w:rPr>
                <w:sz w:val="24"/>
                <w:szCs w:val="24"/>
                <w:color w:val="auto"/>
              </w:rPr>
            </w:pP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4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7"/>
              </w:rPr>
              <w:t>this report).</w:t>
            </w:r>
          </w:p>
        </w:tc>
        <w:tc>
          <w:tcPr>
            <w:tcW w:w="3000" w:type="dxa"/>
            <w:vAlign w:val="bottom"/>
            <w:gridSpan w:val="15"/>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gridSpan w:val="5"/>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Chief Executive Officer Certification Pursuant to Rule</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13a-14(a) of the Exchange Act.</w:t>
            </w:r>
          </w:p>
        </w:tc>
        <w:tc>
          <w:tcPr>
            <w:tcW w:w="1660" w:type="dxa"/>
            <w:vAlign w:val="bottom"/>
            <w:tcBorders>
              <w:top w:val="single" w:sz="8" w:color="0000FF"/>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gridSpan w:val="5"/>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13a-14(a) of the Exchange Act.</w:t>
            </w:r>
          </w:p>
        </w:tc>
        <w:tc>
          <w:tcPr>
            <w:tcW w:w="1620" w:type="dxa"/>
            <w:vAlign w:val="bottom"/>
            <w:tcBorders>
              <w:top w:val="single" w:sz="8" w:color="0000FF"/>
            </w:tcBorders>
            <w:gridSpan w:val="12"/>
          </w:tcPr>
          <w:p>
            <w:pPr>
              <w:spacing w:after="0"/>
              <w:rPr>
                <w:sz w:val="13"/>
                <w:szCs w:val="13"/>
                <w:color w:val="auto"/>
              </w:rPr>
            </w:pPr>
          </w:p>
        </w:tc>
        <w:tc>
          <w:tcPr>
            <w:tcW w:w="120" w:type="dxa"/>
            <w:vAlign w:val="bottom"/>
            <w:gridSpan w:val="6"/>
          </w:tcPr>
          <w:p>
            <w:pPr>
              <w:spacing w:after="0"/>
              <w:rPr>
                <w:sz w:val="13"/>
                <w:szCs w:val="13"/>
                <w:color w:val="auto"/>
              </w:rPr>
            </w:pPr>
          </w:p>
        </w:tc>
        <w:tc>
          <w:tcPr>
            <w:tcW w:w="280" w:type="dxa"/>
            <w:vAlign w:val="bottom"/>
            <w:gridSpan w:val="5"/>
          </w:tcPr>
          <w:p>
            <w:pPr>
              <w:spacing w:after="0"/>
              <w:rPr>
                <w:sz w:val="13"/>
                <w:szCs w:val="13"/>
                <w:color w:val="auto"/>
              </w:rPr>
            </w:pPr>
          </w:p>
        </w:tc>
        <w:tc>
          <w:tcPr>
            <w:tcW w:w="2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w:t>
            </w:r>
          </w:p>
        </w:tc>
        <w:tc>
          <w:tcPr>
            <w:tcW w:w="580" w:type="dxa"/>
            <w:vAlign w:val="bottom"/>
            <w:gridSpan w:val="17"/>
          </w:tcPr>
          <w:p>
            <w:pPr>
              <w:spacing w:after="0"/>
              <w:rPr>
                <w:sz w:val="24"/>
                <w:szCs w:val="24"/>
                <w:color w:val="auto"/>
              </w:rPr>
            </w:pP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280" w:type="dxa"/>
            <w:vAlign w:val="bottom"/>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00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Act of 2002.</w:t>
            </w:r>
          </w:p>
        </w:tc>
        <w:tc>
          <w:tcPr>
            <w:tcW w:w="280" w:type="dxa"/>
            <w:vAlign w:val="bottom"/>
            <w:gridSpan w:val="5"/>
          </w:tcPr>
          <w:p>
            <w:pPr>
              <w:spacing w:after="0"/>
              <w:rPr>
                <w:sz w:val="15"/>
                <w:szCs w:val="15"/>
                <w:color w:val="auto"/>
              </w:rPr>
            </w:pP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380" w:type="dxa"/>
            <w:vAlign w:val="bottom"/>
            <w:gridSpan w:val="2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w:t>
            </w:r>
          </w:p>
        </w:tc>
        <w:tc>
          <w:tcPr>
            <w:tcW w:w="580" w:type="dxa"/>
            <w:vAlign w:val="bottom"/>
            <w:gridSpan w:val="17"/>
          </w:tcPr>
          <w:p>
            <w:pPr>
              <w:spacing w:after="0"/>
              <w:rPr>
                <w:sz w:val="24"/>
                <w:szCs w:val="24"/>
                <w:color w:val="auto"/>
              </w:rPr>
            </w:pP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280" w:type="dxa"/>
            <w:vAlign w:val="bottom"/>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400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Act of 2002.</w:t>
            </w:r>
          </w:p>
        </w:tc>
        <w:tc>
          <w:tcPr>
            <w:tcW w:w="280" w:type="dxa"/>
            <w:vAlign w:val="bottom"/>
            <w:gridSpan w:val="5"/>
          </w:tcPr>
          <w:p>
            <w:pPr>
              <w:spacing w:after="0"/>
              <w:rPr>
                <w:sz w:val="15"/>
                <w:szCs w:val="15"/>
                <w:color w:val="auto"/>
              </w:rPr>
            </w:pPr>
          </w:p>
        </w:tc>
        <w:tc>
          <w:tcPr>
            <w:tcW w:w="2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380" w:type="dxa"/>
            <w:vAlign w:val="bottom"/>
            <w:gridSpan w:val="26"/>
          </w:tcPr>
          <w:p>
            <w:pPr>
              <w:spacing w:after="0" w:line="20" w:lineRule="exact"/>
              <w:rPr>
                <w:sz w:val="1"/>
                <w:szCs w:val="1"/>
                <w:color w:val="auto"/>
              </w:rPr>
            </w:pPr>
          </w:p>
        </w:tc>
        <w:tc>
          <w:tcPr>
            <w:tcW w:w="21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116</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20" w:type="dxa"/>
            <w:vAlign w:val="bottom"/>
          </w:tcPr>
          <w:p>
            <w:pPr>
              <w:spacing w:after="0"/>
              <w:rPr>
                <w:sz w:val="17"/>
                <w:szCs w:val="17"/>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93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(formatted as Inline XBRL</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560" w:type="dxa"/>
            <w:vAlign w:val="bottom"/>
          </w:tcPr>
          <w:p>
            <w:pPr>
              <w:spacing w:after="0"/>
              <w:rPr>
                <w:sz w:val="20"/>
                <w:szCs w:val="20"/>
                <w:color w:val="auto"/>
              </w:rPr>
            </w:pPr>
          </w:p>
        </w:tc>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420" w:type="dxa"/>
            <w:vAlign w:val="bottom"/>
          </w:tcPr>
          <w:p>
            <w:pPr>
              <w:spacing w:after="0"/>
              <w:rPr>
                <w:sz w:val="20"/>
                <w:szCs w:val="20"/>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10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previously.</w:t>
      </w:r>
    </w:p>
    <w:p>
      <w:pPr>
        <w:spacing w:after="0" w:line="117"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117" w:lineRule="exact"/>
        <w:rPr>
          <w:sz w:val="20"/>
          <w:szCs w:val="20"/>
          <w:color w:val="auto"/>
        </w:rPr>
      </w:pPr>
    </w:p>
    <w:p>
      <w:pPr>
        <w:ind w:left="660" w:hanging="652"/>
        <w:spacing w:after="0" w:line="282"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Item 601(a)(5) of Regulation S-K. The registrant hereby agrees to furnish supplementally a copy of any omitted exhibit or schedule to the SEC upon its request.</w:t>
      </w:r>
    </w:p>
    <w:p>
      <w:pPr>
        <w:spacing w:after="0" w:line="54"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Regulation S-K Item 601(b)(10)(iv)</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5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LIFE360, INC.</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23, 2023</w:t>
            </w:r>
          </w:p>
        </w:tc>
        <w:tc>
          <w:tcPr>
            <w:tcW w:w="21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Hulls</w:t>
            </w:r>
          </w:p>
        </w:tc>
      </w:tr>
      <w:tr>
        <w:trPr>
          <w:trHeight w:val="228"/>
        </w:trPr>
        <w:tc>
          <w:tcPr>
            <w:tcW w:w="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Hulls</w:t>
            </w:r>
          </w:p>
        </w:tc>
      </w:tr>
      <w:tr>
        <w:trPr>
          <w:trHeight w:val="312"/>
        </w:trPr>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23, 2023</w:t>
            </w:r>
          </w:p>
        </w:tc>
        <w:tc>
          <w:tcPr>
            <w:tcW w:w="21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Burke</w:t>
            </w:r>
          </w:p>
        </w:tc>
      </w:tr>
      <w:tr>
        <w:trPr>
          <w:trHeight w:val="228"/>
        </w:trPr>
        <w:tc>
          <w:tcPr>
            <w:tcW w:w="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Burke</w:t>
            </w:r>
          </w:p>
        </w:tc>
      </w:tr>
    </w:tbl>
    <w:p>
      <w:pPr>
        <w:spacing w:after="0" w:line="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Chris Hulls and Russell Burke,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0828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 Hulls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Burke</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(CJ) Prober</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Philip Coghlan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Philip Coghlan</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Goines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Goines</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 Haro</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Brit Morin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Brit Morin</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Synge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Synge</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Wiadrowski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Wiadrowski</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Randi Zuckerberg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Randi Zuckerberg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26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6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48"/>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20"/>
                <w:szCs w:val="20"/>
                <w:color w:val="auto"/>
              </w:rPr>
            </w:pPr>
          </w:p>
        </w:tc>
      </w:tr>
      <w:tr>
        <w:trPr>
          <w:trHeight w:val="76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23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00" w:type="dxa"/>
            <w:vAlign w:val="bottom"/>
          </w:tcPr>
          <w:p>
            <w:pPr>
              <w:spacing w:after="0"/>
              <w:rPr>
                <w:sz w:val="20"/>
                <w:szCs w:val="20"/>
                <w:color w:val="auto"/>
              </w:rPr>
            </w:pPr>
          </w:p>
        </w:tc>
      </w:tr>
      <w:tr>
        <w:trPr>
          <w:trHeight w:val="797"/>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7"/>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7"/>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7"/>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r>
        <w:trPr>
          <w:trHeight w:val="797"/>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2">
            <w:col w:w="2660" w:space="720"/>
            <w:col w:w="7860"/>
          </w:cols>
          <w:pgMar w:left="320" w:top="225"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7"/>
              </w:rPr>
              <w:t>Exhibit 3.2</w:t>
            </w:r>
          </w:p>
        </w:tc>
      </w:tr>
      <w:tr>
        <w:trPr>
          <w:trHeight w:val="66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7"/>
              </w:rPr>
              <w:t>BYLAWS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8"/>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JANUARY 18, 2022</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6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2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ARTICLE I</w:t>
            </w:r>
          </w:p>
        </w:tc>
        <w:tc>
          <w:tcPr>
            <w:tcW w:w="200" w:type="dxa"/>
            <w:vAlign w:val="bottom"/>
            <w:gridSpan w:val="3"/>
          </w:tcPr>
          <w:p>
            <w:pPr>
              <w:spacing w:after="0"/>
              <w:rPr>
                <w:sz w:val="16"/>
                <w:szCs w:val="16"/>
                <w:color w:val="auto"/>
              </w:rPr>
            </w:pPr>
          </w:p>
        </w:tc>
        <w:tc>
          <w:tcPr>
            <w:tcW w:w="6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CORPORATE OFFICES</w:t>
            </w:r>
          </w:p>
        </w:tc>
        <w:tc>
          <w:tcPr>
            <w:tcW w:w="1980" w:type="dxa"/>
            <w:vAlign w:val="bottom"/>
          </w:tcPr>
          <w:p>
            <w:pPr>
              <w:spacing w:after="0"/>
              <w:rPr>
                <w:sz w:val="16"/>
                <w:szCs w:val="16"/>
                <w:color w:val="auto"/>
              </w:rPr>
            </w:pPr>
          </w:p>
        </w:tc>
        <w:tc>
          <w:tcPr>
            <w:tcW w:w="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740" w:type="dxa"/>
            <w:vAlign w:val="bottom"/>
          </w:tcPr>
          <w:p>
            <w:pPr>
              <w:spacing w:after="0"/>
              <w:rPr>
                <w:sz w:val="16"/>
                <w:szCs w:val="16"/>
                <w:color w:val="auto"/>
              </w:rPr>
            </w:pPr>
          </w:p>
        </w:tc>
      </w:tr>
      <w:tr>
        <w:trPr>
          <w:trHeight w:val="245"/>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Office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Offices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40" w:type="dxa"/>
            <w:vAlign w:val="bottom"/>
          </w:tcPr>
          <w:p>
            <w:pPr>
              <w:spacing w:after="0"/>
              <w:rPr>
                <w:sz w:val="16"/>
                <w:szCs w:val="16"/>
                <w:color w:val="auto"/>
              </w:rPr>
            </w:pPr>
          </w:p>
        </w:tc>
        <w:tc>
          <w:tcPr>
            <w:tcW w:w="1080" w:type="dxa"/>
            <w:vAlign w:val="bottom"/>
            <w:gridSpan w:val="5"/>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0000FF"/>
                <w:w w:val="97"/>
              </w:rPr>
              <w:t>ARTICLE II</w:t>
            </w:r>
          </w:p>
        </w:tc>
        <w:tc>
          <w:tcPr>
            <w:tcW w:w="6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MEETINGS OF STOCKHOLDERS</w:t>
            </w:r>
          </w:p>
        </w:tc>
        <w:tc>
          <w:tcPr>
            <w:tcW w:w="2820" w:type="dxa"/>
            <w:vAlign w:val="bottom"/>
            <w:gridSpan w:val="3"/>
          </w:tcPr>
          <w:p>
            <w:pPr>
              <w:ind w:left="1980"/>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45"/>
        </w:trPr>
        <w:tc>
          <w:tcPr>
            <w:tcW w:w="40" w:type="dxa"/>
            <w:vAlign w:val="bottom"/>
          </w:tcPr>
          <w:p>
            <w:pPr>
              <w:spacing w:after="0"/>
              <w:rPr>
                <w:sz w:val="21"/>
                <w:szCs w:val="21"/>
                <w:color w:val="auto"/>
              </w:rPr>
            </w:pPr>
          </w:p>
        </w:tc>
        <w:tc>
          <w:tcPr>
            <w:tcW w:w="8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 Of Meetings</w:t>
            </w:r>
          </w:p>
        </w:tc>
        <w:tc>
          <w:tcPr>
            <w:tcW w:w="1980" w:type="dxa"/>
            <w:vAlign w:val="bottom"/>
          </w:tcPr>
          <w:p>
            <w:pPr>
              <w:spacing w:after="0"/>
              <w:rPr>
                <w:sz w:val="21"/>
                <w:szCs w:val="21"/>
                <w:color w:val="auto"/>
              </w:rPr>
            </w:pPr>
          </w:p>
        </w:tc>
        <w:tc>
          <w:tcPr>
            <w:tcW w:w="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88"/>
              </w:rPr>
              <w:t>1</w:t>
            </w:r>
          </w:p>
        </w:tc>
        <w:tc>
          <w:tcPr>
            <w:tcW w:w="740" w:type="dxa"/>
            <w:vAlign w:val="bottom"/>
          </w:tcPr>
          <w:p>
            <w:pPr>
              <w:spacing w:after="0"/>
              <w:rPr>
                <w:sz w:val="21"/>
                <w:szCs w:val="21"/>
                <w:color w:val="auto"/>
              </w:rPr>
            </w:pP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Meeting</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Manner Of Giving Notice; Affidavit Of Notice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Conduct of Business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2.10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Notice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Record Date For Stockholder Notice; Voting</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2.12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Proxies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3</w:t>
            </w:r>
          </w:p>
        </w:tc>
      </w:tr>
      <w:tr>
        <w:trPr>
          <w:trHeight w:val="194"/>
        </w:trPr>
        <w:tc>
          <w:tcPr>
            <w:tcW w:w="980" w:type="dxa"/>
            <w:vAlign w:val="bottom"/>
            <w:tcBorders>
              <w:bottom w:val="single" w:sz="8" w:color="0000FF"/>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ARTICLE III</w:t>
            </w:r>
          </w:p>
        </w:tc>
        <w:tc>
          <w:tcPr>
            <w:tcW w:w="140" w:type="dxa"/>
            <w:vAlign w:val="bottom"/>
          </w:tcPr>
          <w:p>
            <w:pPr>
              <w:spacing w:after="0"/>
              <w:rPr>
                <w:sz w:val="16"/>
                <w:szCs w:val="16"/>
                <w:color w:val="auto"/>
              </w:rPr>
            </w:pPr>
          </w:p>
        </w:tc>
        <w:tc>
          <w:tcPr>
            <w:tcW w:w="6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DIRECTORS</w:t>
            </w:r>
          </w:p>
        </w:tc>
        <w:tc>
          <w:tcPr>
            <w:tcW w:w="1980" w:type="dxa"/>
            <w:vAlign w:val="bottom"/>
          </w:tcPr>
          <w:p>
            <w:pPr>
              <w:spacing w:after="0"/>
              <w:rPr>
                <w:sz w:val="16"/>
                <w:szCs w:val="16"/>
                <w:color w:val="auto"/>
              </w:rPr>
            </w:pPr>
          </w:p>
        </w:tc>
        <w:tc>
          <w:tcPr>
            <w:tcW w:w="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740" w:type="dxa"/>
            <w:vAlign w:val="bottom"/>
          </w:tcPr>
          <w:p>
            <w:pPr>
              <w:spacing w:after="0"/>
              <w:rPr>
                <w:sz w:val="16"/>
                <w:szCs w:val="16"/>
                <w:color w:val="auto"/>
              </w:rPr>
            </w:pPr>
          </w:p>
        </w:tc>
      </w:tr>
      <w:tr>
        <w:trPr>
          <w:trHeight w:val="245"/>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Directors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Nomination</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Regular Meetings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 Notice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Notice</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Action By Written Consent Without A Meeting.</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Approval Of Loans To Officers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Removal Of Directors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6</w:t>
            </w:r>
          </w:p>
        </w:tc>
      </w:tr>
      <w:tr>
        <w:trPr>
          <w:trHeight w:val="194"/>
        </w:trPr>
        <w:tc>
          <w:tcPr>
            <w:tcW w:w="1120" w:type="dxa"/>
            <w:vAlign w:val="bottom"/>
            <w:gridSpan w:val="6"/>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0000FF"/>
                <w:w w:val="98"/>
              </w:rPr>
              <w:t>ARTICLE IV</w:t>
            </w:r>
          </w:p>
        </w:tc>
        <w:tc>
          <w:tcPr>
            <w:tcW w:w="65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COMMITTEES</w:t>
            </w:r>
          </w:p>
        </w:tc>
        <w:tc>
          <w:tcPr>
            <w:tcW w:w="2820" w:type="dxa"/>
            <w:vAlign w:val="bottom"/>
            <w:gridSpan w:val="3"/>
          </w:tcPr>
          <w:p>
            <w:pPr>
              <w:ind w:left="1980"/>
              <w:spacing w:after="0" w:line="194" w:lineRule="exact"/>
              <w:rPr>
                <w:sz w:val="20"/>
                <w:szCs w:val="20"/>
                <w:color w:val="auto"/>
              </w:rPr>
            </w:pPr>
            <w:r>
              <w:rPr>
                <w:rFonts w:ascii="Times New Roman" w:cs="Times New Roman" w:eastAsia="Times New Roman" w:hAnsi="Times New Roman"/>
                <w:sz w:val="18"/>
                <w:szCs w:val="18"/>
                <w:color w:val="0000FF"/>
              </w:rPr>
              <w:t>7</w:t>
            </w:r>
          </w:p>
        </w:tc>
      </w:tr>
      <w:tr>
        <w:trPr>
          <w:trHeight w:val="245"/>
        </w:trPr>
        <w:tc>
          <w:tcPr>
            <w:tcW w:w="9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Committees Of Directors</w:t>
            </w:r>
          </w:p>
        </w:tc>
        <w:tc>
          <w:tcPr>
            <w:tcW w:w="1980" w:type="dxa"/>
            <w:vAlign w:val="bottom"/>
          </w:tcPr>
          <w:p>
            <w:pPr>
              <w:spacing w:after="0"/>
              <w:rPr>
                <w:sz w:val="21"/>
                <w:szCs w:val="21"/>
                <w:color w:val="auto"/>
              </w:rPr>
            </w:pPr>
          </w:p>
        </w:tc>
        <w:tc>
          <w:tcPr>
            <w:tcW w:w="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88"/>
              </w:rPr>
              <w:t>7</w:t>
            </w:r>
          </w:p>
        </w:tc>
        <w:tc>
          <w:tcPr>
            <w:tcW w:w="740" w:type="dxa"/>
            <w:vAlign w:val="bottom"/>
          </w:tcPr>
          <w:p>
            <w:pPr>
              <w:spacing w:after="0"/>
              <w:rPr>
                <w:sz w:val="21"/>
                <w:szCs w:val="21"/>
                <w:color w:val="auto"/>
              </w:rPr>
            </w:pPr>
          </w:p>
        </w:tc>
      </w:tr>
      <w:tr>
        <w:trPr>
          <w:trHeight w:val="229"/>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Minutes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28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460"/>
          </w:cols>
          <w:pgMar w:left="1100" w:top="887"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ARTICLE V</w:t>
            </w:r>
          </w:p>
        </w:tc>
        <w:tc>
          <w:tcPr>
            <w:tcW w:w="200" w:type="dxa"/>
            <w:vAlign w:val="bottom"/>
            <w:gridSpan w:val="4"/>
          </w:tcPr>
          <w:p>
            <w:pPr>
              <w:spacing w:after="0"/>
              <w:rPr>
                <w:sz w:val="17"/>
                <w:szCs w:val="17"/>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7"/>
                <w:szCs w:val="17"/>
                <w:color w:val="auto"/>
              </w:rPr>
            </w:pPr>
          </w:p>
        </w:tc>
      </w:tr>
      <w:tr>
        <w:trPr>
          <w:trHeight w:val="245"/>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 Of Officers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Subordinate Officers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Vacancies In Offices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Secretary</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5.10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5.11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Treasurer</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5.12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5.13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9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0000FF"/>
                <w:w w:val="98"/>
              </w:rPr>
              <w:t>ARTICLE VI</w:t>
            </w:r>
          </w:p>
        </w:tc>
        <w:tc>
          <w:tcPr>
            <w:tcW w:w="8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INDEMNIFICATION OF DIRECTORS, OFFICERS, EMPLOYEES, AND OTHER AGENTS</w:t>
            </w:r>
          </w:p>
        </w:tc>
        <w:tc>
          <w:tcPr>
            <w:tcW w:w="1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10</w:t>
            </w:r>
          </w:p>
        </w:tc>
      </w:tr>
      <w:tr>
        <w:trPr>
          <w:trHeight w:val="245"/>
        </w:trPr>
        <w:tc>
          <w:tcPr>
            <w:tcW w:w="60" w:type="dxa"/>
            <w:vAlign w:val="bottom"/>
            <w:gridSpan w:val="2"/>
          </w:tcPr>
          <w:p>
            <w:pPr>
              <w:spacing w:after="0"/>
              <w:rPr>
                <w:sz w:val="21"/>
                <w:szCs w:val="21"/>
                <w:color w:val="auto"/>
              </w:rPr>
            </w:pPr>
          </w:p>
        </w:tc>
        <w:tc>
          <w:tcPr>
            <w:tcW w:w="9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Expenses In Advance</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6.4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Indemnity Not Exclusive</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194"/>
        </w:trPr>
        <w:tc>
          <w:tcPr>
            <w:tcW w:w="20" w:type="dxa"/>
            <w:vAlign w:val="bottom"/>
          </w:tcPr>
          <w:p>
            <w:pPr>
              <w:spacing w:after="0"/>
              <w:rPr>
                <w:sz w:val="16"/>
                <w:szCs w:val="16"/>
                <w:color w:val="auto"/>
              </w:rPr>
            </w:pPr>
          </w:p>
        </w:tc>
        <w:tc>
          <w:tcPr>
            <w:tcW w:w="1060" w:type="dxa"/>
            <w:vAlign w:val="bottom"/>
            <w:tcBorders>
              <w:bottom w:val="single" w:sz="8" w:color="0000FF"/>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color w:val="0000FF"/>
              </w:rPr>
              <w:t>ARTICLE VII</w:t>
            </w:r>
          </w:p>
        </w:tc>
        <w:tc>
          <w:tcPr>
            <w:tcW w:w="140" w:type="dxa"/>
            <w:vAlign w:val="bottom"/>
            <w:gridSpan w:val="2"/>
          </w:tcPr>
          <w:p>
            <w:pPr>
              <w:spacing w:after="0"/>
              <w:rPr>
                <w:sz w:val="16"/>
                <w:szCs w:val="16"/>
                <w:color w:val="auto"/>
              </w:rPr>
            </w:pPr>
          </w:p>
        </w:tc>
        <w:tc>
          <w:tcPr>
            <w:tcW w:w="8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RECORDS AND REPORTS</w:t>
            </w:r>
          </w:p>
        </w:tc>
        <w:tc>
          <w:tcPr>
            <w:tcW w:w="180" w:type="dxa"/>
            <w:vAlign w:val="bottom"/>
            <w:tcBorders>
              <w:bottom w:val="single" w:sz="8" w:color="0000FF"/>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11</w:t>
            </w:r>
          </w:p>
        </w:tc>
      </w:tr>
      <w:tr>
        <w:trPr>
          <w:trHeight w:val="245"/>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And Inspection Of Records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By Directors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194"/>
        </w:trPr>
        <w:tc>
          <w:tcPr>
            <w:tcW w:w="1220" w:type="dxa"/>
            <w:vAlign w:val="bottom"/>
            <w:gridSpan w:val="8"/>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0000FF"/>
                <w:w w:val="98"/>
              </w:rPr>
              <w:t>ARTICLE VIII</w:t>
            </w:r>
          </w:p>
        </w:tc>
        <w:tc>
          <w:tcPr>
            <w:tcW w:w="8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GENERAL MATTERS</w:t>
            </w:r>
          </w:p>
        </w:tc>
        <w:tc>
          <w:tcPr>
            <w:tcW w:w="1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11</w:t>
            </w:r>
          </w:p>
        </w:tc>
      </w:tr>
      <w:tr>
        <w:trPr>
          <w:trHeight w:val="245"/>
        </w:trPr>
        <w:tc>
          <w:tcPr>
            <w:tcW w:w="102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8.1</w:t>
            </w: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Checks</w:t>
            </w: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Certificates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Definitions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Seal</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8.10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Stock</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8.11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8.12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Registered Stockholders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8.13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Facsimile Signature</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19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0000FF"/>
                <w:w w:val="98"/>
              </w:rPr>
              <w:t>ARTICLE IX</w:t>
            </w:r>
          </w:p>
        </w:tc>
        <w:tc>
          <w:tcPr>
            <w:tcW w:w="84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AMENDMENTS</w:t>
            </w:r>
          </w:p>
        </w:tc>
        <w:tc>
          <w:tcPr>
            <w:tcW w:w="1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13</w:t>
            </w: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9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ARTICLE X</w:t>
            </w:r>
          </w:p>
        </w:tc>
        <w:tc>
          <w:tcPr>
            <w:tcW w:w="20" w:type="dxa"/>
            <w:vAlign w:val="bottom"/>
            <w:tcBorders>
              <w:top w:val="single" w:sz="8" w:color="0000FF"/>
            </w:tcBorders>
          </w:tcPr>
          <w:p>
            <w:pPr>
              <w:spacing w:after="0"/>
              <w:rPr>
                <w:sz w:val="18"/>
                <w:szCs w:val="18"/>
                <w:color w:val="auto"/>
              </w:rPr>
            </w:pPr>
          </w:p>
        </w:tc>
        <w:tc>
          <w:tcPr>
            <w:tcW w:w="180" w:type="dxa"/>
            <w:vAlign w:val="bottom"/>
            <w:gridSpan w:val="3"/>
          </w:tcPr>
          <w:p>
            <w:pPr>
              <w:spacing w:after="0"/>
              <w:rPr>
                <w:sz w:val="18"/>
                <w:szCs w:val="18"/>
                <w:color w:val="auto"/>
              </w:rPr>
            </w:pPr>
          </w:p>
        </w:tc>
        <w:tc>
          <w:tcPr>
            <w:tcW w:w="84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color w:val="0000FF"/>
                <w:w w:val="98"/>
              </w:rPr>
              <w:t>ARTICLE XI</w:t>
            </w:r>
          </w:p>
        </w:tc>
        <w:tc>
          <w:tcPr>
            <w:tcW w:w="8420" w:type="dxa"/>
            <w:vAlign w:val="bottom"/>
          </w:tcPr>
          <w:p>
            <w:pPr>
              <w:spacing w:after="0"/>
              <w:rPr>
                <w:sz w:val="18"/>
                <w:szCs w:val="18"/>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r>
      <w:tr>
        <w:trPr>
          <w:trHeight w:val="245"/>
        </w:trPr>
        <w:tc>
          <w:tcPr>
            <w:tcW w:w="60" w:type="dxa"/>
            <w:vAlign w:val="bottom"/>
            <w:gridSpan w:val="2"/>
          </w:tcPr>
          <w:p>
            <w:pPr>
              <w:spacing w:after="0"/>
              <w:rPr>
                <w:sz w:val="21"/>
                <w:szCs w:val="21"/>
                <w:color w:val="auto"/>
              </w:rPr>
            </w:pPr>
          </w:p>
        </w:tc>
        <w:tc>
          <w:tcPr>
            <w:tcW w:w="9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Securities</w:t>
            </w: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11.2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 of transfer</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bl>
    <w:p>
      <w:pPr>
        <w:sectPr>
          <w:pgSz w:w="11900" w:h="16838" w:orient="portrait"/>
          <w:cols w:equalWidth="0" w:num="1">
            <w:col w:w="9820"/>
          </w:cols>
          <w:pgMar w:left="1040" w:top="931" w:right="10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OFFICES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Registered Office.</w:t>
      </w:r>
    </w:p>
    <w:p>
      <w:pPr>
        <w:spacing w:after="0" w:line="243" w:lineRule="exact"/>
        <w:rPr>
          <w:sz w:val="20"/>
          <w:szCs w:val="20"/>
          <w:color w:val="auto"/>
        </w:rPr>
      </w:pPr>
    </w:p>
    <w:p>
      <w:pPr>
        <w:ind w:right="300" w:firstLine="1386"/>
        <w:spacing w:after="0" w:line="266" w:lineRule="auto"/>
        <w:rPr>
          <w:sz w:val="20"/>
          <w:szCs w:val="20"/>
          <w:color w:val="auto"/>
        </w:rPr>
      </w:pPr>
      <w:r>
        <w:rPr>
          <w:rFonts w:ascii="Times New Roman" w:cs="Times New Roman" w:eastAsia="Times New Roman" w:hAnsi="Times New Roman"/>
          <w:sz w:val="18"/>
          <w:szCs w:val="18"/>
          <w:color w:val="auto"/>
        </w:rPr>
        <w:t>The registered office of the corporation shall be in the City of Dover, County of Kent, State of Delaware. The name of the registered agent of the corporation at such location is National Registered Agents, Inc.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Other Offices.</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Board of Directors may at any time establish other offices at any place or places where the corporation is qualified to do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Place Of Meetings.</w:t>
      </w:r>
    </w:p>
    <w:p>
      <w:pPr>
        <w:spacing w:after="0" w:line="216" w:lineRule="exact"/>
        <w:rPr>
          <w:sz w:val="20"/>
          <w:szCs w:val="20"/>
          <w:color w:val="auto"/>
        </w:rPr>
      </w:pPr>
    </w:p>
    <w:p>
      <w:pPr>
        <w:ind w:firstLine="1386"/>
        <w:spacing w:after="0" w:line="266"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Annual Meeting.</w:t>
      </w:r>
    </w:p>
    <w:p>
      <w:pPr>
        <w:spacing w:after="0" w:line="243" w:lineRule="exact"/>
        <w:rPr>
          <w:sz w:val="20"/>
          <w:szCs w:val="20"/>
          <w:color w:val="auto"/>
        </w:rPr>
      </w:pPr>
    </w:p>
    <w:p>
      <w:pPr>
        <w:ind w:firstLine="1386"/>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Special Meeting.</w:t>
      </w:r>
    </w:p>
    <w:p>
      <w:pPr>
        <w:spacing w:after="0" w:line="243" w:lineRule="exact"/>
        <w:rPr>
          <w:sz w:val="20"/>
          <w:szCs w:val="20"/>
          <w:color w:val="auto"/>
        </w:rPr>
      </w:pPr>
    </w:p>
    <w:p>
      <w:pPr>
        <w:ind w:right="180" w:firstLine="1386"/>
        <w:spacing w:after="0" w:line="242" w:lineRule="auto"/>
        <w:rPr>
          <w:sz w:val="20"/>
          <w:szCs w:val="20"/>
          <w:color w:val="auto"/>
        </w:rPr>
      </w:pPr>
      <w:r>
        <w:rPr>
          <w:rFonts w:ascii="Times New Roman" w:cs="Times New Roman" w:eastAsia="Times New Roman" w:hAnsi="Times New Roman"/>
          <w:sz w:val="18"/>
          <w:szCs w:val="18"/>
          <w:color w:val="auto"/>
        </w:rPr>
        <w:t>A special meeting of the stockholders may be called at any time by the Board of Directors, the chairman of the board, the chief executive officer, the president or by one or more stockholders holding shares in the aggregate entitled to cast not less than ten percent of the votes at that meeting.</w:t>
      </w:r>
    </w:p>
    <w:p>
      <w:pPr>
        <w:spacing w:after="0" w:line="211" w:lineRule="exact"/>
        <w:rPr>
          <w:sz w:val="20"/>
          <w:szCs w:val="20"/>
          <w:color w:val="auto"/>
        </w:rPr>
      </w:pPr>
    </w:p>
    <w:p>
      <w:pPr>
        <w:ind w:firstLine="1386"/>
        <w:spacing w:after="0" w:line="238" w:lineRule="auto"/>
        <w:rPr>
          <w:sz w:val="20"/>
          <w:szCs w:val="20"/>
          <w:color w:val="auto"/>
        </w:rPr>
      </w:pPr>
      <w:r>
        <w:rPr>
          <w:rFonts w:ascii="Times New Roman" w:cs="Times New Roman" w:eastAsia="Times New Roman" w:hAnsi="Times New Roman"/>
          <w:sz w:val="18"/>
          <w:szCs w:val="18"/>
          <w:color w:val="auto"/>
        </w:rPr>
        <w:t>If a special meeting is called by any person or persons other than the Board of Directors, the chairman of the board, the chief executive officer or the president, the request shall be in writing, specifying the time of such meeting and the general nature of the business proposed to be transacted, and shall be delivered personally or sent by registered mail or by telegraphic or other facsimile transmission to the chairman of the board, the chief executive officer,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Notice Of Stockholders’ Meetings.</w:t>
      </w:r>
    </w:p>
    <w:p>
      <w:pPr>
        <w:spacing w:after="0" w:line="216" w:lineRule="exact"/>
        <w:rPr>
          <w:sz w:val="20"/>
          <w:szCs w:val="20"/>
          <w:color w:val="auto"/>
        </w:rPr>
      </w:pPr>
    </w:p>
    <w:p>
      <w:pPr>
        <w:ind w:firstLine="1386"/>
        <w:spacing w:after="0" w:line="264" w:lineRule="auto"/>
        <w:rPr>
          <w:sz w:val="20"/>
          <w:szCs w:val="20"/>
          <w:color w:val="auto"/>
        </w:rPr>
      </w:pPr>
      <w:r>
        <w:rPr>
          <w:rFonts w:ascii="Times New Roman" w:cs="Times New Roman" w:eastAsia="Times New Roman" w:hAnsi="Times New Roman"/>
          <w:sz w:val="17"/>
          <w:szCs w:val="17"/>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278" w:right="35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Manner Of Giving Notice; Affidavit Of Notice.</w:t>
      </w:r>
    </w:p>
    <w:p>
      <w:pPr>
        <w:spacing w:after="0" w:line="243" w:lineRule="exact"/>
        <w:rPr>
          <w:sz w:val="20"/>
          <w:szCs w:val="20"/>
          <w:color w:val="auto"/>
        </w:rPr>
      </w:pPr>
    </w:p>
    <w:p>
      <w:pPr>
        <w:ind w:right="60" w:firstLine="1386"/>
        <w:spacing w:after="0" w:line="239" w:lineRule="auto"/>
        <w:rPr>
          <w:sz w:val="20"/>
          <w:szCs w:val="20"/>
          <w:color w:val="auto"/>
        </w:rPr>
      </w:pPr>
      <w:r>
        <w:rPr>
          <w:rFonts w:ascii="Times New Roman" w:cs="Times New Roman" w:eastAsia="Times New Roman" w:hAnsi="Times New Roman"/>
          <w:sz w:val="18"/>
          <w:szCs w:val="18"/>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Quorum.</w:t>
      </w:r>
    </w:p>
    <w:p>
      <w:pPr>
        <w:spacing w:after="0" w:line="243" w:lineRule="exact"/>
        <w:rPr>
          <w:sz w:val="20"/>
          <w:szCs w:val="20"/>
          <w:color w:val="auto"/>
        </w:rPr>
      </w:pPr>
    </w:p>
    <w:p>
      <w:pPr>
        <w:ind w:right="220" w:firstLine="1386"/>
        <w:spacing w:after="0"/>
        <w:rPr>
          <w:sz w:val="20"/>
          <w:szCs w:val="20"/>
          <w:color w:val="auto"/>
        </w:rPr>
      </w:pPr>
      <w:r>
        <w:rPr>
          <w:rFonts w:ascii="Times New Roman" w:cs="Times New Roman" w:eastAsia="Times New Roman" w:hAnsi="Times New Roman"/>
          <w:sz w:val="18"/>
          <w:szCs w:val="18"/>
          <w:color w:val="auto"/>
        </w:rPr>
        <w:t>The holders of one-third of the shares of stock issued and outstanding and entitled to vote thereat, present in person or represented by proxy, shall constitute a quorum at all meetings of the stockholders for the transaction of business except as otherwise required by statute or by the certificate of incorporation. If, however, such quorum is not present or represented at any meeting of the stockholders, then either (a) the chairman of the meeting or</w:t>
      </w:r>
    </w:p>
    <w:p>
      <w:pPr>
        <w:spacing w:after="0" w:line="2" w:lineRule="exact"/>
        <w:rPr>
          <w:sz w:val="20"/>
          <w:szCs w:val="20"/>
          <w:color w:val="auto"/>
        </w:rPr>
      </w:pPr>
    </w:p>
    <w:p>
      <w:pPr>
        <w:ind w:right="100" w:firstLine="98"/>
        <w:spacing w:after="0" w:line="243"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of the shares of stock entitled to vote who are present, in person or by proxy, shall have power to adjourn the meeting to another place (if any), date or time.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Adjourned Meeting; Notice.</w:t>
      </w:r>
    </w:p>
    <w:p>
      <w:pPr>
        <w:spacing w:after="0" w:line="243" w:lineRule="exact"/>
        <w:rPr>
          <w:sz w:val="20"/>
          <w:szCs w:val="20"/>
          <w:color w:val="auto"/>
        </w:rPr>
      </w:pPr>
    </w:p>
    <w:p>
      <w:pPr>
        <w:ind w:firstLine="1386"/>
        <w:spacing w:after="0" w:line="237" w:lineRule="auto"/>
        <w:rPr>
          <w:sz w:val="20"/>
          <w:szCs w:val="20"/>
          <w:color w:val="auto"/>
        </w:rPr>
      </w:pPr>
      <w:r>
        <w:rPr>
          <w:rFonts w:ascii="Times New Roman" w:cs="Times New Roman" w:eastAsia="Times New Roman" w:hAnsi="Times New Roman"/>
          <w:sz w:val="18"/>
          <w:szCs w:val="18"/>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Organization; Conduct of Business.</w:t>
      </w:r>
    </w:p>
    <w:p>
      <w:pPr>
        <w:spacing w:after="0" w:line="297" w:lineRule="exact"/>
        <w:rPr>
          <w:sz w:val="20"/>
          <w:szCs w:val="20"/>
          <w:color w:val="auto"/>
        </w:rPr>
      </w:pPr>
    </w:p>
    <w:p>
      <w:pPr>
        <w:ind w:left="2300" w:right="60" w:hanging="546"/>
        <w:spacing w:after="0" w:line="242" w:lineRule="auto"/>
        <w:tabs>
          <w:tab w:leader="none" w:pos="2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as the Board of Directors may have designated or, in the absence of such a person, the chief executive officer, or in his or her absence, the president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38" w:lineRule="exact"/>
        <w:rPr>
          <w:rFonts w:ascii="Times New Roman" w:cs="Times New Roman" w:eastAsia="Times New Roman" w:hAnsi="Times New Roman"/>
          <w:sz w:val="18"/>
          <w:szCs w:val="18"/>
          <w:color w:val="auto"/>
        </w:rPr>
      </w:pPr>
    </w:p>
    <w:p>
      <w:pPr>
        <w:ind w:left="2300" w:right="100" w:hanging="546"/>
        <w:spacing w:after="0" w:line="250" w:lineRule="auto"/>
        <w:tabs>
          <w:tab w:leader="none" w:pos="2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Voting.</w:t>
      </w:r>
    </w:p>
    <w:p>
      <w:pPr>
        <w:spacing w:after="0" w:line="229" w:lineRule="exact"/>
        <w:rPr>
          <w:sz w:val="20"/>
          <w:szCs w:val="20"/>
          <w:color w:val="auto"/>
        </w:rPr>
      </w:pPr>
    </w:p>
    <w:p>
      <w:pPr>
        <w:ind w:right="160" w:firstLine="1386"/>
        <w:spacing w:after="0" w:line="250"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the provisions of Sections 217 and 218 of the General Corporation Law of Delaware (relating to voting rights of fiduciaries, pledgors and joint owners of stock and to voting trusts and other voting agreements).</w:t>
      </w:r>
    </w:p>
    <w:p>
      <w:pPr>
        <w:spacing w:after="0" w:line="204" w:lineRule="exact"/>
        <w:rPr>
          <w:sz w:val="20"/>
          <w:szCs w:val="20"/>
          <w:color w:val="auto"/>
        </w:rPr>
      </w:pPr>
    </w:p>
    <w:p>
      <w:pPr>
        <w:jc w:val="both"/>
        <w:ind w:right="120" w:firstLine="1386"/>
        <w:spacing w:after="0" w:line="250"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87" w:right="35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Waiver Of Notice.</w:t>
      </w:r>
    </w:p>
    <w:p>
      <w:pPr>
        <w:spacing w:after="0" w:line="216" w:lineRule="exact"/>
        <w:rPr>
          <w:sz w:val="20"/>
          <w:szCs w:val="20"/>
          <w:color w:val="auto"/>
        </w:rPr>
      </w:pPr>
    </w:p>
    <w:p>
      <w:pPr>
        <w:ind w:firstLine="1386"/>
        <w:spacing w:after="0" w:line="237"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Record Date For Stockholder Notice; Voting.</w:t>
      </w:r>
    </w:p>
    <w:p>
      <w:pPr>
        <w:spacing w:after="0" w:line="243" w:lineRule="exact"/>
        <w:rPr>
          <w:sz w:val="20"/>
          <w:szCs w:val="20"/>
          <w:color w:val="auto"/>
        </w:rPr>
      </w:pPr>
    </w:p>
    <w:p>
      <w:pPr>
        <w:ind w:right="140" w:firstLine="1386"/>
        <w:spacing w:after="0" w:line="24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20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If the Board of Directors does not so fix a record date:</w:t>
      </w:r>
    </w:p>
    <w:p>
      <w:pPr>
        <w:spacing w:after="0" w:line="293" w:lineRule="exact"/>
        <w:rPr>
          <w:sz w:val="20"/>
          <w:szCs w:val="20"/>
          <w:color w:val="auto"/>
        </w:rPr>
      </w:pPr>
    </w:p>
    <w:p>
      <w:pPr>
        <w:ind w:left="2300" w:right="20" w:hanging="546"/>
        <w:spacing w:after="0" w:line="242" w:lineRule="auto"/>
        <w:tabs>
          <w:tab w:leader="none" w:pos="2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51" w:lineRule="exact"/>
        <w:rPr>
          <w:rFonts w:ascii="Times New Roman" w:cs="Times New Roman" w:eastAsia="Times New Roman" w:hAnsi="Times New Roman"/>
          <w:sz w:val="18"/>
          <w:szCs w:val="18"/>
          <w:color w:val="auto"/>
        </w:rPr>
      </w:pPr>
    </w:p>
    <w:p>
      <w:pPr>
        <w:ind w:left="2300" w:hanging="546"/>
        <w:spacing w:after="0" w:line="250" w:lineRule="auto"/>
        <w:tabs>
          <w:tab w:leader="none" w:pos="2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of Directors adopts the resolution relating thereto.</w:t>
      </w:r>
    </w:p>
    <w:p>
      <w:pPr>
        <w:spacing w:after="0" w:line="325" w:lineRule="exact"/>
        <w:rPr>
          <w:sz w:val="20"/>
          <w:szCs w:val="20"/>
          <w:color w:val="auto"/>
        </w:rPr>
      </w:pPr>
    </w:p>
    <w:p>
      <w:pPr>
        <w:jc w:val="both"/>
        <w:ind w:right="60" w:firstLine="1386"/>
        <w:spacing w:after="0" w:line="250"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Proxies.</w:t>
      </w:r>
    </w:p>
    <w:p>
      <w:pPr>
        <w:spacing w:after="0" w:line="24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Powers.</w:t>
      </w:r>
    </w:p>
    <w:p>
      <w:pPr>
        <w:spacing w:after="0" w:line="243" w:lineRule="exact"/>
        <w:rPr>
          <w:sz w:val="20"/>
          <w:szCs w:val="20"/>
          <w:color w:val="auto"/>
        </w:rPr>
      </w:pPr>
    </w:p>
    <w:p>
      <w:pPr>
        <w:ind w:right="280" w:firstLine="1386"/>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7" w:right="37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Number Of Directors.</w:t>
      </w:r>
    </w:p>
    <w:p>
      <w:pPr>
        <w:spacing w:after="0" w:line="216" w:lineRule="exact"/>
        <w:rPr>
          <w:sz w:val="20"/>
          <w:szCs w:val="20"/>
          <w:color w:val="auto"/>
        </w:rPr>
      </w:pPr>
    </w:p>
    <w:p>
      <w:pPr>
        <w:jc w:val="both"/>
        <w:ind w:right="100" w:firstLine="1386"/>
        <w:spacing w:after="0" w:line="242" w:lineRule="auto"/>
        <w:rPr>
          <w:sz w:val="20"/>
          <w:szCs w:val="20"/>
          <w:color w:val="auto"/>
        </w:rPr>
      </w:pPr>
      <w:r>
        <w:rPr>
          <w:rFonts w:ascii="Times New Roman" w:cs="Times New Roman" w:eastAsia="Times New Roman" w:hAnsi="Times New Roman"/>
          <w:sz w:val="18"/>
          <w:szCs w:val="18"/>
          <w:color w:val="auto"/>
        </w:rPr>
        <w:t>Upon the adoption of these Bylaws, the number of directors constituting the entire Board of Directors shall be nine (9). Thereafter, this number may be changed by a resolution of the Board of Directors or of the stockholders. No reduction of the authorized number of directors shall have the effect of removing any director before such director’s term of office expires.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Election, Qualification And Term Of Office Of Directors.</w:t>
      </w:r>
    </w:p>
    <w:p>
      <w:pPr>
        <w:spacing w:after="0" w:line="243" w:lineRule="exact"/>
        <w:rPr>
          <w:sz w:val="20"/>
          <w:szCs w:val="20"/>
          <w:color w:val="auto"/>
        </w:rPr>
      </w:pPr>
    </w:p>
    <w:p>
      <w:pPr>
        <w:ind w:right="20" w:firstLine="1386"/>
        <w:spacing w:after="0" w:line="245"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wherein other qualifications for directors may be prescribed. The certificate of incorporation or these bylaws may prescribe other qualifications for directors.</w:t>
      </w:r>
    </w:p>
    <w:p>
      <w:pPr>
        <w:spacing w:after="0" w:line="20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Unless otherwise specified in the certificate of incorporation, elections of directors need not be by written ballot.</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Nomination.</w:t>
      </w:r>
    </w:p>
    <w:p>
      <w:pPr>
        <w:spacing w:after="0" w:line="243" w:lineRule="exact"/>
        <w:rPr>
          <w:sz w:val="20"/>
          <w:szCs w:val="20"/>
          <w:color w:val="auto"/>
        </w:rPr>
      </w:pPr>
    </w:p>
    <w:p>
      <w:pPr>
        <w:ind w:firstLine="1386"/>
        <w:spacing w:after="0" w:line="266" w:lineRule="auto"/>
        <w:rPr>
          <w:sz w:val="20"/>
          <w:szCs w:val="20"/>
          <w:color w:val="auto"/>
        </w:rPr>
      </w:pPr>
      <w:r>
        <w:rPr>
          <w:rFonts w:ascii="Times New Roman" w:cs="Times New Roman" w:eastAsia="Times New Roman" w:hAnsi="Times New Roman"/>
          <w:sz w:val="18"/>
          <w:szCs w:val="18"/>
          <w:color w:val="auto"/>
        </w:rPr>
        <w:t>Nominations for the election of directors by a stockholder must be received by the corporation no later than 35 business days prior to the date of the annual meeting.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Resignation And Vacancies.</w:t>
      </w:r>
    </w:p>
    <w:p>
      <w:pPr>
        <w:spacing w:after="0" w:line="243" w:lineRule="exact"/>
        <w:rPr>
          <w:sz w:val="20"/>
          <w:szCs w:val="20"/>
          <w:color w:val="auto"/>
        </w:rPr>
      </w:pPr>
    </w:p>
    <w:p>
      <w:pPr>
        <w:ind w:right="60" w:firstLine="1386"/>
        <w:spacing w:after="0"/>
        <w:rPr>
          <w:sz w:val="20"/>
          <w:szCs w:val="20"/>
          <w:color w:val="auto"/>
        </w:rPr>
      </w:pPr>
      <w:r>
        <w:rPr>
          <w:rFonts w:ascii="Times New Roman" w:cs="Times New Roman" w:eastAsia="Times New Roman" w:hAnsi="Times New Roman"/>
          <w:sz w:val="18"/>
          <w:szCs w:val="18"/>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2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w:t>
      </w:r>
    </w:p>
    <w:p>
      <w:pPr>
        <w:spacing w:after="0" w:line="50" w:lineRule="exact"/>
        <w:rPr>
          <w:sz w:val="20"/>
          <w:szCs w:val="20"/>
          <w:color w:val="auto"/>
        </w:rPr>
      </w:pPr>
    </w:p>
    <w:p>
      <w:pPr>
        <w:ind w:left="2300" w:right="160" w:hanging="546"/>
        <w:spacing w:after="0" w:line="250" w:lineRule="auto"/>
        <w:tabs>
          <w:tab w:leader="none" w:pos="2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230" w:lineRule="exact"/>
        <w:rPr>
          <w:rFonts w:ascii="Times New Roman" w:cs="Times New Roman" w:eastAsia="Times New Roman" w:hAnsi="Times New Roman"/>
          <w:sz w:val="18"/>
          <w:szCs w:val="18"/>
          <w:color w:val="auto"/>
        </w:rPr>
      </w:pPr>
    </w:p>
    <w:p>
      <w:pPr>
        <w:ind w:left="2300" w:right="260" w:hanging="546"/>
        <w:spacing w:after="0" w:line="242" w:lineRule="auto"/>
        <w:tabs>
          <w:tab w:leader="none" w:pos="2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or if no such director is in office, by a majority of all directors then in office, although less than a quorum, or by a sole remaining director.</w:t>
      </w:r>
    </w:p>
    <w:p>
      <w:pPr>
        <w:spacing w:after="0" w:line="333" w:lineRule="exact"/>
        <w:rPr>
          <w:sz w:val="20"/>
          <w:szCs w:val="20"/>
          <w:color w:val="auto"/>
        </w:rPr>
      </w:pPr>
    </w:p>
    <w:p>
      <w:pPr>
        <w:ind w:firstLine="1386"/>
        <w:spacing w:after="0" w:line="245" w:lineRule="auto"/>
        <w:rPr>
          <w:sz w:val="20"/>
          <w:szCs w:val="20"/>
          <w:color w:val="auto"/>
        </w:rPr>
      </w:pPr>
      <w:r>
        <w:rPr>
          <w:rFonts w:ascii="Times New Roman" w:cs="Times New Roman" w:eastAsia="Times New Roman" w:hAnsi="Times New Roman"/>
          <w:sz w:val="18"/>
          <w:szCs w:val="18"/>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94" w:lineRule="exact"/>
        <w:rPr>
          <w:sz w:val="20"/>
          <w:szCs w:val="20"/>
          <w:color w:val="auto"/>
        </w:rPr>
      </w:pPr>
    </w:p>
    <w:p>
      <w:pPr>
        <w:jc w:val="both"/>
        <w:ind w:right="140" w:firstLine="1386"/>
        <w:spacing w:after="0" w:line="242" w:lineRule="auto"/>
        <w:rPr>
          <w:sz w:val="20"/>
          <w:szCs w:val="20"/>
          <w:color w:val="auto"/>
        </w:rPr>
      </w:pPr>
      <w:r>
        <w:rPr>
          <w:rFonts w:ascii="Times New Roman" w:cs="Times New Roman" w:eastAsia="Times New Roman" w:hAnsi="Times New Roman"/>
          <w:sz w:val="18"/>
          <w:szCs w:val="18"/>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7"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Place Of Meetings; Meetings By Telephone.</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Board of Directors of the corporation may hold meetings, both regular and special, either within or outside the State of Delaware.</w:t>
      </w:r>
    </w:p>
    <w:p>
      <w:pPr>
        <w:spacing w:after="0" w:line="225" w:lineRule="exact"/>
        <w:rPr>
          <w:sz w:val="20"/>
          <w:szCs w:val="20"/>
          <w:color w:val="auto"/>
        </w:rPr>
      </w:pPr>
    </w:p>
    <w:p>
      <w:pPr>
        <w:ind w:right="40" w:firstLine="1386"/>
        <w:spacing w:after="0" w:line="24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u w:val="single" w:color="auto"/>
          <w:color w:val="auto"/>
        </w:rPr>
        <w:t>Regular Meetings.</w:t>
      </w:r>
    </w:p>
    <w:p>
      <w:pPr>
        <w:spacing w:after="0" w:line="243" w:lineRule="exact"/>
        <w:rPr>
          <w:sz w:val="20"/>
          <w:szCs w:val="20"/>
          <w:color w:val="auto"/>
        </w:rPr>
      </w:pPr>
    </w:p>
    <w:p>
      <w:pPr>
        <w:ind w:right="380" w:firstLine="1386"/>
        <w:spacing w:after="0" w:line="266"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u w:val="single" w:color="auto"/>
          <w:color w:val="auto"/>
        </w:rPr>
        <w:t>Special Meetings; Notice.</w:t>
      </w:r>
    </w:p>
    <w:p>
      <w:pPr>
        <w:spacing w:after="0" w:line="243" w:lineRule="exact"/>
        <w:rPr>
          <w:sz w:val="20"/>
          <w:szCs w:val="20"/>
          <w:color w:val="auto"/>
        </w:rPr>
      </w:pPr>
    </w:p>
    <w:p>
      <w:pPr>
        <w:ind w:right="360" w:firstLine="1386"/>
        <w:spacing w:after="0" w:line="266"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chairman of the board, the chief executive officer, the president, any vice president, the secretary or any two directors.</w:t>
      </w:r>
    </w:p>
    <w:p>
      <w:pPr>
        <w:spacing w:after="0" w:line="189" w:lineRule="exact"/>
        <w:rPr>
          <w:sz w:val="20"/>
          <w:szCs w:val="20"/>
          <w:color w:val="auto"/>
        </w:rPr>
      </w:pPr>
    </w:p>
    <w:p>
      <w:pPr>
        <w:ind w:firstLine="1386"/>
        <w:spacing w:after="0" w:line="237" w:lineRule="auto"/>
        <w:rPr>
          <w:sz w:val="20"/>
          <w:szCs w:val="20"/>
          <w:color w:val="auto"/>
        </w:rPr>
      </w:pPr>
      <w:r>
        <w:rPr>
          <w:rFonts w:ascii="Times New Roman" w:cs="Times New Roman" w:eastAsia="Times New Roman" w:hAnsi="Times New Roman"/>
          <w:sz w:val="18"/>
          <w:szCs w:val="18"/>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u w:val="single" w:color="auto"/>
          <w:color w:val="auto"/>
        </w:rPr>
        <w:t>Quorum.</w:t>
      </w:r>
    </w:p>
    <w:p>
      <w:pPr>
        <w:spacing w:after="0" w:line="243" w:lineRule="exact"/>
        <w:rPr>
          <w:sz w:val="20"/>
          <w:szCs w:val="20"/>
          <w:color w:val="auto"/>
        </w:rPr>
      </w:pPr>
    </w:p>
    <w:p>
      <w:pPr>
        <w:ind w:right="20" w:firstLine="1386"/>
        <w:spacing w:after="0" w:line="245"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number of directors then in office shall constitute a quorum for the transaction of business, provided, however, that a quorum shall not be less than 1/3 of the total number of directors constituting the entire authorized Board of Directors, as determined in Section 3.2 above. If a quorum is not present at any meeting of the Board of Directors, then the directors present thereat may adjourn the meeting from time to time, without notice other than announcement at the meeting, until a quorum is present.</w:t>
      </w:r>
    </w:p>
    <w:p>
      <w:pPr>
        <w:spacing w:after="0" w:line="208" w:lineRule="exact"/>
        <w:rPr>
          <w:sz w:val="20"/>
          <w:szCs w:val="20"/>
          <w:color w:val="auto"/>
        </w:rPr>
      </w:pPr>
    </w:p>
    <w:p>
      <w:pPr>
        <w:ind w:right="160" w:firstLine="1386"/>
        <w:spacing w:after="0" w:line="266" w:lineRule="auto"/>
        <w:rPr>
          <w:sz w:val="20"/>
          <w:szCs w:val="20"/>
          <w:color w:val="auto"/>
        </w:rPr>
      </w:pPr>
      <w:r>
        <w:rPr>
          <w:rFonts w:ascii="Times New Roman" w:cs="Times New Roman" w:eastAsia="Times New Roman" w:hAnsi="Times New Roman"/>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u w:val="single" w:color="auto"/>
          <w:color w:val="auto"/>
        </w:rPr>
        <w:t>Waiver Of Notice.</w:t>
      </w:r>
    </w:p>
    <w:p>
      <w:pPr>
        <w:spacing w:after="0" w:line="243" w:lineRule="exact"/>
        <w:rPr>
          <w:sz w:val="20"/>
          <w:szCs w:val="20"/>
          <w:color w:val="auto"/>
        </w:rPr>
      </w:pPr>
    </w:p>
    <w:p>
      <w:pPr>
        <w:ind w:firstLine="1386"/>
        <w:spacing w:after="0"/>
        <w:rPr>
          <w:sz w:val="20"/>
          <w:szCs w:val="20"/>
          <w:color w:val="auto"/>
        </w:rPr>
      </w:pPr>
      <w:r>
        <w:rPr>
          <w:rFonts w:ascii="Times New Roman" w:cs="Times New Roman" w:eastAsia="Times New Roman" w:hAnsi="Times New Roman"/>
          <w:sz w:val="18"/>
          <w:szCs w:val="18"/>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887" w:right="37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Board Action By Written Consent Without A Meeting.</w:t>
      </w:r>
    </w:p>
    <w:p>
      <w:pPr>
        <w:spacing w:after="0" w:line="216" w:lineRule="exact"/>
        <w:rPr>
          <w:sz w:val="20"/>
          <w:szCs w:val="20"/>
          <w:color w:val="auto"/>
        </w:rPr>
      </w:pPr>
    </w:p>
    <w:p>
      <w:pPr>
        <w:ind w:right="80" w:firstLine="1386"/>
        <w:spacing w:after="0" w:line="239"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211" w:lineRule="exact"/>
        <w:rPr>
          <w:sz w:val="20"/>
          <w:szCs w:val="20"/>
          <w:color w:val="auto"/>
        </w:rPr>
      </w:pPr>
    </w:p>
    <w:p>
      <w:pPr>
        <w:ind w:right="20" w:firstLine="1386"/>
        <w:spacing w:after="0" w:line="250" w:lineRule="auto"/>
        <w:rPr>
          <w:sz w:val="20"/>
          <w:szCs w:val="20"/>
          <w:color w:val="auto"/>
        </w:rPr>
      </w:pPr>
      <w:r>
        <w:rPr>
          <w:rFonts w:ascii="Times New Roman" w:cs="Times New Roman" w:eastAsia="Times New Roman" w:hAnsi="Times New Roman"/>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u w:val="single" w:color="auto"/>
          <w:color w:val="auto"/>
        </w:rPr>
        <w:t>Fees And Compensation Of Directors.</w:t>
      </w:r>
    </w:p>
    <w:p>
      <w:pPr>
        <w:spacing w:after="0" w:line="243" w:lineRule="exact"/>
        <w:rPr>
          <w:sz w:val="20"/>
          <w:szCs w:val="20"/>
          <w:color w:val="auto"/>
        </w:rPr>
      </w:pPr>
    </w:p>
    <w:p>
      <w:pPr>
        <w:ind w:right="100" w:firstLine="1386"/>
        <w:spacing w:after="0" w:line="24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 The maximum aggregate compensation permitted for all non- executive directors for their service as a member of the Board of Directors shall be US$1,000,000.</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b w:val="1"/>
          <w:bCs w:val="1"/>
          <w:u w:val="single" w:color="auto"/>
          <w:color w:val="auto"/>
        </w:rPr>
        <w:t>Approval Of Loans To Officers.</w:t>
      </w:r>
    </w:p>
    <w:p>
      <w:pPr>
        <w:spacing w:after="0" w:line="229" w:lineRule="exact"/>
        <w:rPr>
          <w:sz w:val="20"/>
          <w:szCs w:val="20"/>
          <w:color w:val="auto"/>
        </w:rPr>
      </w:pPr>
    </w:p>
    <w:p>
      <w:pPr>
        <w:ind w:firstLine="1386"/>
        <w:spacing w:after="0" w:line="241" w:lineRule="auto"/>
        <w:rPr>
          <w:sz w:val="20"/>
          <w:szCs w:val="20"/>
          <w:color w:val="auto"/>
        </w:rPr>
      </w:pPr>
      <w:r>
        <w:rPr>
          <w:rFonts w:ascii="Times New Roman" w:cs="Times New Roman" w:eastAsia="Times New Roman" w:hAnsi="Times New Roman"/>
          <w:sz w:val="18"/>
          <w:szCs w:val="18"/>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u w:val="single" w:color="auto"/>
          <w:color w:val="auto"/>
        </w:rPr>
        <w:t>Removal Of Directors.</w:t>
      </w:r>
    </w:p>
    <w:p>
      <w:pPr>
        <w:spacing w:after="0" w:line="243" w:lineRule="exact"/>
        <w:rPr>
          <w:sz w:val="20"/>
          <w:szCs w:val="20"/>
          <w:color w:val="auto"/>
        </w:rPr>
      </w:pPr>
    </w:p>
    <w:p>
      <w:pPr>
        <w:ind w:right="60" w:firstLine="1386"/>
        <w:spacing w:after="0" w:line="242" w:lineRule="auto"/>
        <w:rPr>
          <w:sz w:val="20"/>
          <w:szCs w:val="20"/>
          <w:color w:val="auto"/>
        </w:rPr>
      </w:pPr>
      <w:r>
        <w:rPr>
          <w:rFonts w:ascii="Times New Roman" w:cs="Times New Roman" w:eastAsia="Times New Roman" w:hAnsi="Times New Roman"/>
          <w:sz w:val="18"/>
          <w:szCs w:val="18"/>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198" w:lineRule="exact"/>
        <w:rPr>
          <w:sz w:val="20"/>
          <w:szCs w:val="20"/>
          <w:color w:val="auto"/>
        </w:rPr>
      </w:pPr>
    </w:p>
    <w:p>
      <w:pPr>
        <w:ind w:right="640" w:firstLine="1386"/>
        <w:spacing w:after="0" w:line="266" w:lineRule="auto"/>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 office.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b w:val="1"/>
          <w:bCs w:val="1"/>
          <w:u w:val="single" w:color="auto"/>
          <w:color w:val="auto"/>
        </w:rPr>
        <w:t>Chairman Of The Board Of Directors.</w:t>
      </w:r>
    </w:p>
    <w:p>
      <w:pPr>
        <w:spacing w:after="0" w:line="243" w:lineRule="exact"/>
        <w:rPr>
          <w:sz w:val="20"/>
          <w:szCs w:val="20"/>
          <w:color w:val="auto"/>
        </w:rPr>
      </w:pPr>
    </w:p>
    <w:p>
      <w:pPr>
        <w:ind w:right="540" w:firstLine="1386"/>
        <w:spacing w:after="0" w:line="266" w:lineRule="auto"/>
        <w:rPr>
          <w:sz w:val="20"/>
          <w:szCs w:val="20"/>
          <w:color w:val="auto"/>
        </w:rPr>
      </w:pPr>
      <w:r>
        <w:rPr>
          <w:rFonts w:ascii="Times New Roman" w:cs="Times New Roman" w:eastAsia="Times New Roman" w:hAnsi="Times New Roman"/>
          <w:sz w:val="18"/>
          <w:szCs w:val="18"/>
          <w:color w:val="auto"/>
        </w:rPr>
        <w:t>The corporation may also have, at the discretion of the Board of Directors, a chairman of the Board of Directors who shall not be considered an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887" w:right="35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Committees Of Directors.</w:t>
      </w:r>
    </w:p>
    <w:p>
      <w:pPr>
        <w:spacing w:after="0" w:line="189" w:lineRule="exact"/>
        <w:rPr>
          <w:sz w:val="20"/>
          <w:szCs w:val="20"/>
          <w:color w:val="auto"/>
        </w:rPr>
      </w:pPr>
    </w:p>
    <w:p>
      <w:pPr>
        <w:ind w:right="140" w:firstLine="1386"/>
        <w:spacing w:after="0" w:line="237" w:lineRule="auto"/>
        <w:rPr>
          <w:sz w:val="20"/>
          <w:szCs w:val="20"/>
          <w:color w:val="auto"/>
        </w:rPr>
      </w:pPr>
      <w:r>
        <w:rPr>
          <w:rFonts w:ascii="Times New Roman" w:cs="Times New Roman" w:eastAsia="Times New Roman" w:hAnsi="Times New Roman"/>
          <w:sz w:val="18"/>
          <w:szCs w:val="18"/>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w:t>
      </w:r>
    </w:p>
    <w:p>
      <w:pPr>
        <w:spacing w:after="0" w:line="3" w:lineRule="exact"/>
        <w:rPr>
          <w:sz w:val="20"/>
          <w:szCs w:val="20"/>
          <w:color w:val="auto"/>
        </w:rPr>
      </w:pPr>
    </w:p>
    <w:p>
      <w:pPr>
        <w:ind w:left="660" w:right="6320" w:hanging="562"/>
        <w:spacing w:after="0" w:line="481" w:lineRule="auto"/>
        <w:tabs>
          <w:tab w:leader="none" w:pos="3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adopting, amending or repealing any Bylaw of the corporation. 4.2 </w:t>
      </w:r>
      <w:r>
        <w:rPr>
          <w:rFonts w:ascii="Times New Roman" w:cs="Times New Roman" w:eastAsia="Times New Roman" w:hAnsi="Times New Roman"/>
          <w:sz w:val="18"/>
          <w:szCs w:val="18"/>
          <w:b w:val="1"/>
          <w:bCs w:val="1"/>
          <w:u w:val="single" w:color="auto"/>
          <w:color w:val="auto"/>
        </w:rPr>
        <w:t>Committee Minutes.</w:t>
      </w:r>
    </w:p>
    <w:p>
      <w:pPr>
        <w:ind w:left="660" w:right="1200" w:firstLine="738"/>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committee shall keep regular minutes of its meetings and report the same to the Board of Directors when required. 4.3 </w:t>
      </w:r>
      <w:r>
        <w:rPr>
          <w:rFonts w:ascii="Times New Roman" w:cs="Times New Roman" w:eastAsia="Times New Roman" w:hAnsi="Times New Roman"/>
          <w:sz w:val="18"/>
          <w:szCs w:val="18"/>
          <w:b w:val="1"/>
          <w:bCs w:val="1"/>
          <w:u w:val="single" w:color="auto"/>
          <w:color w:val="auto"/>
        </w:rPr>
        <w:t>Meetings And Action Of Committees.</w:t>
      </w:r>
    </w:p>
    <w:p>
      <w:pPr>
        <w:spacing w:after="0" w:line="1" w:lineRule="exact"/>
        <w:rPr>
          <w:sz w:val="20"/>
          <w:szCs w:val="20"/>
          <w:color w:val="auto"/>
        </w:rPr>
      </w:pPr>
    </w:p>
    <w:p>
      <w:pPr>
        <w:ind w:firstLine="1386"/>
        <w:spacing w:after="0" w:line="239" w:lineRule="auto"/>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 Section 3.6 (place of meetings and meetings by telephone), Section 3.7 (regular meetings), Section 3.8 (special meetings and notice), Section 3.9 (quorum), Section 3.10 (waiver of notice), and Section 3.11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Officers.</w:t>
      </w:r>
    </w:p>
    <w:p>
      <w:pPr>
        <w:spacing w:after="0" w:line="229" w:lineRule="exact"/>
        <w:rPr>
          <w:sz w:val="20"/>
          <w:szCs w:val="20"/>
          <w:color w:val="auto"/>
        </w:rPr>
      </w:pPr>
    </w:p>
    <w:p>
      <w:pPr>
        <w:ind w:right="180" w:firstLine="1386"/>
        <w:spacing w:after="0" w:line="245" w:lineRule="auto"/>
        <w:rPr>
          <w:sz w:val="20"/>
          <w:szCs w:val="20"/>
          <w:color w:val="auto"/>
        </w:rPr>
      </w:pPr>
      <w:r>
        <w:rPr>
          <w:rFonts w:ascii="Times New Roman" w:cs="Times New Roman" w:eastAsia="Times New Roman" w:hAnsi="Times New Roman"/>
          <w:sz w:val="18"/>
          <w:szCs w:val="18"/>
          <w:color w:val="auto"/>
        </w:rPr>
        <w:t>The officers of the corporation shall be a president, a secretary, and a chief financial officer. The corporation may also have, at the discretion of the Board of Directors, a chief executive officer,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Appointment Of Officers.</w:t>
      </w:r>
    </w:p>
    <w:p>
      <w:pPr>
        <w:spacing w:after="0" w:line="243" w:lineRule="exact"/>
        <w:rPr>
          <w:sz w:val="20"/>
          <w:szCs w:val="20"/>
          <w:color w:val="auto"/>
        </w:rPr>
      </w:pPr>
    </w:p>
    <w:p>
      <w:pPr>
        <w:ind w:right="340" w:firstLine="1386"/>
        <w:spacing w:after="0" w:line="266" w:lineRule="auto"/>
        <w:rPr>
          <w:sz w:val="20"/>
          <w:szCs w:val="20"/>
          <w:color w:val="auto"/>
        </w:rPr>
      </w:pPr>
      <w:r>
        <w:rPr>
          <w:rFonts w:ascii="Times New Roman" w:cs="Times New Roman" w:eastAsia="Times New Roman" w:hAnsi="Times New Roman"/>
          <w:sz w:val="18"/>
          <w:szCs w:val="18"/>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319" w:right="35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Subordinate Officers.</w:t>
      </w:r>
    </w:p>
    <w:p>
      <w:pPr>
        <w:spacing w:after="0" w:line="216" w:lineRule="exact"/>
        <w:rPr>
          <w:sz w:val="20"/>
          <w:szCs w:val="20"/>
          <w:color w:val="auto"/>
        </w:rPr>
      </w:pPr>
    </w:p>
    <w:p>
      <w:pPr>
        <w:ind w:firstLine="1386"/>
        <w:spacing w:after="0" w:line="242"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Removal And Resignation Of Officers.</w:t>
      </w:r>
    </w:p>
    <w:p>
      <w:pPr>
        <w:spacing w:after="0" w:line="243" w:lineRule="exact"/>
        <w:rPr>
          <w:sz w:val="20"/>
          <w:szCs w:val="20"/>
          <w:color w:val="auto"/>
        </w:rPr>
      </w:pPr>
    </w:p>
    <w:p>
      <w:pPr>
        <w:jc w:val="both"/>
        <w:ind w:right="100" w:firstLine="1386"/>
        <w:spacing w:after="0" w:line="250"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2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w:t>
      </w:r>
    </w:p>
    <w:p>
      <w:pPr>
        <w:spacing w:after="0" w:line="16" w:lineRule="exact"/>
        <w:rPr>
          <w:sz w:val="20"/>
          <w:szCs w:val="20"/>
          <w:color w:val="auto"/>
        </w:rPr>
      </w:pPr>
    </w:p>
    <w:p>
      <w:pPr>
        <w:ind w:right="120" w:firstLine="90"/>
        <w:spacing w:after="0" w:line="239" w:lineRule="auto"/>
        <w:rPr>
          <w:sz w:val="20"/>
          <w:szCs w:val="20"/>
          <w:color w:val="auto"/>
        </w:rPr>
      </w:pPr>
      <w:r>
        <w:rPr>
          <w:rFonts w:ascii="Times New Roman" w:cs="Times New Roman" w:eastAsia="Times New Roman" w:hAnsi="Times New Roman"/>
          <w:sz w:val="18"/>
          <w:szCs w:val="18"/>
          <w:color w:val="auto"/>
        </w:rPr>
        <w:t>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Vacancies In Offices.</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of Directors.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Chief Executive Officer.</w:t>
      </w:r>
    </w:p>
    <w:p>
      <w:pPr>
        <w:spacing w:after="0" w:line="202" w:lineRule="exact"/>
        <w:rPr>
          <w:sz w:val="20"/>
          <w:szCs w:val="20"/>
          <w:color w:val="auto"/>
        </w:rPr>
      </w:pPr>
    </w:p>
    <w:p>
      <w:pPr>
        <w:ind w:right="140" w:firstLine="1386"/>
        <w:spacing w:after="0" w:line="242" w:lineRule="auto"/>
        <w:rPr>
          <w:sz w:val="20"/>
          <w:szCs w:val="20"/>
          <w:color w:val="auto"/>
        </w:rPr>
      </w:pPr>
      <w:r>
        <w:rPr>
          <w:rFonts w:ascii="Times New Roman" w:cs="Times New Roman" w:eastAsia="Times New Roman" w:hAnsi="Times New Roman"/>
          <w:sz w:val="18"/>
          <w:szCs w:val="18"/>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w:t>
      </w:r>
    </w:p>
    <w:p>
      <w:pPr>
        <w:spacing w:after="0" w:line="212" w:lineRule="exact"/>
        <w:rPr>
          <w:sz w:val="20"/>
          <w:szCs w:val="20"/>
          <w:color w:val="auto"/>
        </w:rPr>
      </w:pPr>
    </w:p>
    <w:p>
      <w:pPr>
        <w:ind w:right="460" w:firstLine="1386"/>
        <w:spacing w:after="0" w:line="266" w:lineRule="auto"/>
        <w:rPr>
          <w:sz w:val="20"/>
          <w:szCs w:val="20"/>
          <w:color w:val="auto"/>
        </w:rPr>
      </w:pPr>
      <w:r>
        <w:rPr>
          <w:rFonts w:ascii="Times New Roman" w:cs="Times New Roman" w:eastAsia="Times New Roman" w:hAnsi="Times New Roman"/>
          <w:sz w:val="18"/>
          <w:szCs w:val="18"/>
          <w:color w:val="auto"/>
        </w:rPr>
        <w:t>The person serving as chief executive officer shall also be the acting President of the corporation whenever no other person is then serving in such capacity.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President.</w:t>
      </w:r>
    </w:p>
    <w:p>
      <w:pPr>
        <w:spacing w:after="0" w:line="243" w:lineRule="exact"/>
        <w:rPr>
          <w:sz w:val="20"/>
          <w:szCs w:val="20"/>
          <w:color w:val="auto"/>
        </w:rPr>
      </w:pPr>
    </w:p>
    <w:p>
      <w:pPr>
        <w:ind w:right="140" w:firstLine="1386"/>
        <w:spacing w:after="0" w:line="245" w:lineRule="auto"/>
        <w:rPr>
          <w:sz w:val="20"/>
          <w:szCs w:val="20"/>
          <w:color w:val="auto"/>
        </w:rPr>
      </w:pPr>
      <w:r>
        <w:rPr>
          <w:rFonts w:ascii="Times New Roman" w:cs="Times New Roman" w:eastAsia="Times New Roman" w:hAnsi="Times New Roman"/>
          <w:sz w:val="18"/>
          <w:szCs w:val="18"/>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94" w:lineRule="exact"/>
        <w:rPr>
          <w:sz w:val="20"/>
          <w:szCs w:val="20"/>
          <w:color w:val="auto"/>
        </w:rPr>
      </w:pPr>
    </w:p>
    <w:p>
      <w:pPr>
        <w:ind w:right="460" w:firstLine="1386"/>
        <w:spacing w:after="0" w:line="266" w:lineRule="auto"/>
        <w:rPr>
          <w:sz w:val="20"/>
          <w:szCs w:val="20"/>
          <w:color w:val="auto"/>
        </w:rPr>
      </w:pPr>
      <w:r>
        <w:rPr>
          <w:rFonts w:ascii="Times New Roman" w:cs="Times New Roman" w:eastAsia="Times New Roman" w:hAnsi="Times New Roman"/>
          <w:sz w:val="18"/>
          <w:szCs w:val="18"/>
          <w:color w:val="auto"/>
        </w:rPr>
        <w:t>The person serving as president shall also be the acting chief executive officer of the corporation whenever no other person is then serving in such capacity.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Vice Presidents.</w:t>
      </w:r>
    </w:p>
    <w:p>
      <w:pPr>
        <w:spacing w:after="0" w:line="243" w:lineRule="exact"/>
        <w:rPr>
          <w:sz w:val="20"/>
          <w:szCs w:val="20"/>
          <w:color w:val="auto"/>
        </w:rPr>
      </w:pPr>
    </w:p>
    <w:p>
      <w:pPr>
        <w:ind w:right="160" w:firstLine="1386"/>
        <w:spacing w:after="0" w:line="242" w:lineRule="auto"/>
        <w:rPr>
          <w:sz w:val="20"/>
          <w:szCs w:val="20"/>
          <w:color w:val="auto"/>
        </w:rPr>
      </w:pPr>
      <w:r>
        <w:rPr>
          <w:rFonts w:ascii="Times New Roman" w:cs="Times New Roman" w:eastAsia="Times New Roman" w:hAnsi="Times New Roman"/>
          <w:sz w:val="18"/>
          <w:szCs w:val="18"/>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Secretary.</w:t>
      </w:r>
    </w:p>
    <w:p>
      <w:pPr>
        <w:spacing w:after="0" w:line="243" w:lineRule="exact"/>
        <w:rPr>
          <w:sz w:val="20"/>
          <w:szCs w:val="20"/>
          <w:color w:val="auto"/>
        </w:rPr>
      </w:pPr>
    </w:p>
    <w:p>
      <w:pPr>
        <w:ind w:firstLine="1386"/>
        <w:spacing w:after="0" w:line="245" w:lineRule="auto"/>
        <w:rPr>
          <w:sz w:val="20"/>
          <w:szCs w:val="20"/>
          <w:color w:val="auto"/>
        </w:rPr>
      </w:pPr>
      <w:r>
        <w:rPr>
          <w:rFonts w:ascii="Times New Roman" w:cs="Times New Roman" w:eastAsia="Times New Roman" w:hAnsi="Times New Roman"/>
          <w:sz w:val="18"/>
          <w:szCs w:val="18"/>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87" w:right="339" w:bottom="1440" w:gutter="0" w:footer="0" w:header="0"/>
          <w:type w:val="continuous"/>
        </w:sectPr>
      </w:pPr>
    </w:p>
    <w:bookmarkStart w:id="133" w:name="page134"/>
    <w:bookmarkEnd w:id="133"/>
    <w:p>
      <w:pPr>
        <w:ind w:firstLine="1386"/>
        <w:spacing w:after="0"/>
        <w:rPr>
          <w:sz w:val="20"/>
          <w:szCs w:val="20"/>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21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Chief Financial Officer.</w:t>
      </w:r>
    </w:p>
    <w:p>
      <w:pPr>
        <w:spacing w:after="0" w:line="243" w:lineRule="exact"/>
        <w:rPr>
          <w:sz w:val="20"/>
          <w:szCs w:val="20"/>
          <w:color w:val="auto"/>
        </w:rPr>
      </w:pPr>
    </w:p>
    <w:p>
      <w:pPr>
        <w:ind w:right="280" w:firstLine="1386"/>
        <w:spacing w:after="0" w:line="250" w:lineRule="auto"/>
        <w:rPr>
          <w:sz w:val="20"/>
          <w:szCs w:val="20"/>
          <w:color w:val="auto"/>
        </w:rPr>
      </w:pPr>
      <w:r>
        <w:rPr>
          <w:rFonts w:ascii="Times New Roman" w:cs="Times New Roman" w:eastAsia="Times New Roman" w:hAnsi="Times New Roman"/>
          <w:sz w:val="18"/>
          <w:szCs w:val="18"/>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member of the Board of Directors.</w:t>
      </w:r>
    </w:p>
    <w:p>
      <w:pPr>
        <w:spacing w:after="0" w:line="204" w:lineRule="exact"/>
        <w:rPr>
          <w:sz w:val="20"/>
          <w:szCs w:val="20"/>
          <w:color w:val="auto"/>
        </w:rPr>
      </w:pPr>
    </w:p>
    <w:p>
      <w:pPr>
        <w:jc w:val="both"/>
        <w:ind w:right="100" w:firstLine="1386"/>
        <w:spacing w:after="0" w:line="245" w:lineRule="auto"/>
        <w:rPr>
          <w:sz w:val="20"/>
          <w:szCs w:val="20"/>
          <w:color w:val="auto"/>
        </w:rPr>
      </w:pPr>
      <w:r>
        <w:rPr>
          <w:rFonts w:ascii="Times New Roman" w:cs="Times New Roman" w:eastAsia="Times New Roman" w:hAnsi="Times New Roman"/>
          <w:sz w:val="18"/>
          <w:szCs w:val="18"/>
          <w:color w:val="auto"/>
        </w:rPr>
        <w:t>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or these Bylaws.</w:t>
      </w:r>
    </w:p>
    <w:p>
      <w:pPr>
        <w:spacing w:after="0" w:line="194" w:lineRule="exact"/>
        <w:rPr>
          <w:sz w:val="20"/>
          <w:szCs w:val="20"/>
          <w:color w:val="auto"/>
        </w:rPr>
      </w:pPr>
    </w:p>
    <w:p>
      <w:pPr>
        <w:jc w:val="both"/>
        <w:ind w:right="260" w:firstLine="1386"/>
        <w:spacing w:after="0" w:line="245" w:lineRule="auto"/>
        <w:rPr>
          <w:sz w:val="20"/>
          <w:szCs w:val="20"/>
          <w:color w:val="auto"/>
        </w:rPr>
      </w:pPr>
      <w:r>
        <w:rPr>
          <w:rFonts w:ascii="Times New Roman" w:cs="Times New Roman" w:eastAsia="Times New Roman" w:hAnsi="Times New Roman"/>
          <w:sz w:val="18"/>
          <w:szCs w:val="18"/>
          <w:color w:val="auto"/>
        </w:rPr>
        <w:t>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Treasurer.</w:t>
      </w:r>
    </w:p>
    <w:p>
      <w:pPr>
        <w:spacing w:after="0" w:line="243" w:lineRule="exact"/>
        <w:rPr>
          <w:sz w:val="20"/>
          <w:szCs w:val="20"/>
          <w:color w:val="auto"/>
        </w:rPr>
      </w:pPr>
    </w:p>
    <w:p>
      <w:pPr>
        <w:ind w:right="40" w:firstLine="1386"/>
        <w:spacing w:after="0" w:line="250" w:lineRule="auto"/>
        <w:rPr>
          <w:sz w:val="20"/>
          <w:szCs w:val="20"/>
          <w:color w:val="auto"/>
        </w:rPr>
      </w:pPr>
      <w:r>
        <w:rPr>
          <w:rFonts w:ascii="Times New Roman" w:cs="Times New Roman" w:eastAsia="Times New Roman" w:hAnsi="Times New Roman"/>
          <w:sz w:val="18"/>
          <w:szCs w:val="18"/>
          <w:color w:val="auto"/>
        </w:rPr>
        <w:t>The treasurer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w:t>
      </w:r>
    </w:p>
    <w:p>
      <w:pPr>
        <w:spacing w:after="0" w:line="204" w:lineRule="exact"/>
        <w:rPr>
          <w:sz w:val="20"/>
          <w:szCs w:val="20"/>
          <w:color w:val="auto"/>
        </w:rPr>
      </w:pPr>
    </w:p>
    <w:p>
      <w:pPr>
        <w:ind w:firstLine="1386"/>
        <w:spacing w:after="0" w:line="239" w:lineRule="auto"/>
        <w:rPr>
          <w:sz w:val="20"/>
          <w:szCs w:val="20"/>
          <w:color w:val="auto"/>
        </w:rPr>
      </w:pPr>
      <w:r>
        <w:rPr>
          <w:rFonts w:ascii="Times New Roman" w:cs="Times New Roman" w:eastAsia="Times New Roman" w:hAnsi="Times New Roman"/>
          <w:sz w:val="18"/>
          <w:szCs w:val="18"/>
          <w:color w:val="auto"/>
        </w:rPr>
        <w:t>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 transactions as treasurer. He or she shall have the general powers and duties usually vested in the office of treasurer of a corporation and shall have such other powers and perform such other duties as may be prescribed by the Board of Directors or these Bylaws.</w:t>
      </w:r>
    </w:p>
    <w:p>
      <w:pPr>
        <w:spacing w:after="0" w:line="21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 serving as the treasurer shall also be the acting chief financial officer of the corporation whenever no other person is then serving in such capacity.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Representation Of Shares Of Other Corporations.</w:t>
      </w:r>
    </w:p>
    <w:p>
      <w:pPr>
        <w:spacing w:after="0" w:line="243" w:lineRule="exact"/>
        <w:rPr>
          <w:sz w:val="20"/>
          <w:szCs w:val="20"/>
          <w:color w:val="auto"/>
        </w:rPr>
      </w:pPr>
    </w:p>
    <w:p>
      <w:pPr>
        <w:ind w:right="120" w:firstLine="1386"/>
        <w:spacing w:after="0" w:line="242" w:lineRule="auto"/>
        <w:rPr>
          <w:sz w:val="20"/>
          <w:szCs w:val="20"/>
          <w:color w:val="auto"/>
        </w:rPr>
      </w:pPr>
      <w:r>
        <w:rPr>
          <w:rFonts w:ascii="Times New Roman" w:cs="Times New Roman" w:eastAsia="Times New Roman" w:hAnsi="Times New Roman"/>
          <w:sz w:val="18"/>
          <w:szCs w:val="18"/>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134" w:right="35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Authority And Duties Of Officers.</w:t>
      </w:r>
    </w:p>
    <w:p>
      <w:pPr>
        <w:spacing w:after="0" w:line="216" w:lineRule="exact"/>
        <w:rPr>
          <w:sz w:val="20"/>
          <w:szCs w:val="20"/>
          <w:color w:val="auto"/>
        </w:rPr>
      </w:pPr>
    </w:p>
    <w:p>
      <w:pPr>
        <w:ind w:right="120" w:firstLine="1386"/>
        <w:spacing w:after="0" w:line="250" w:lineRule="auto"/>
        <w:rPr>
          <w:sz w:val="20"/>
          <w:szCs w:val="20"/>
          <w:color w:val="auto"/>
        </w:rPr>
      </w:pPr>
      <w:r>
        <w:rPr>
          <w:rFonts w:ascii="Times New Roman" w:cs="Times New Roman" w:eastAsia="Times New Roman" w:hAnsi="Times New Roman"/>
          <w:sz w:val="18"/>
          <w:szCs w:val="18"/>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OF DIRECTORS, OFFICERS, EMPLOYEES, AND OTHER AGENTS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Indemnification Of Directors And Officers.</w:t>
      </w:r>
    </w:p>
    <w:p>
      <w:pPr>
        <w:spacing w:after="0" w:line="243" w:lineRule="exact"/>
        <w:rPr>
          <w:sz w:val="20"/>
          <w:szCs w:val="20"/>
          <w:color w:val="auto"/>
        </w:rPr>
      </w:pPr>
    </w:p>
    <w:p>
      <w:pPr>
        <w:ind w:firstLine="1386"/>
        <w:spacing w:after="0" w:line="258" w:lineRule="auto"/>
        <w:rPr>
          <w:sz w:val="20"/>
          <w:szCs w:val="20"/>
          <w:color w:val="auto"/>
        </w:rPr>
      </w:pPr>
      <w:r>
        <w:rPr>
          <w:rFonts w:ascii="Times New Roman" w:cs="Times New Roman" w:eastAsia="Times New Roman" w:hAnsi="Times New Roman"/>
          <w:sz w:val="17"/>
          <w:szCs w:val="17"/>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Indemnification Of Others.</w:t>
      </w:r>
    </w:p>
    <w:p>
      <w:pPr>
        <w:spacing w:after="0" w:line="243" w:lineRule="exact"/>
        <w:rPr>
          <w:sz w:val="20"/>
          <w:szCs w:val="20"/>
          <w:color w:val="auto"/>
        </w:rPr>
      </w:pPr>
    </w:p>
    <w:p>
      <w:pPr>
        <w:ind w:right="120" w:firstLine="1386"/>
        <w:spacing w:after="0" w:line="237" w:lineRule="auto"/>
        <w:rPr>
          <w:sz w:val="20"/>
          <w:szCs w:val="20"/>
          <w:color w:val="auto"/>
        </w:rPr>
      </w:pPr>
      <w:r>
        <w:rPr>
          <w:rFonts w:ascii="Times New Roman" w:cs="Times New Roman" w:eastAsia="Times New Roman" w:hAnsi="Times New Roman"/>
          <w:sz w:val="18"/>
          <w:szCs w:val="18"/>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Payment Of Expenses In Advance.</w:t>
      </w:r>
    </w:p>
    <w:p>
      <w:pPr>
        <w:spacing w:after="0" w:line="243" w:lineRule="exact"/>
        <w:rPr>
          <w:sz w:val="20"/>
          <w:szCs w:val="20"/>
          <w:color w:val="auto"/>
        </w:rPr>
      </w:pPr>
    </w:p>
    <w:p>
      <w:pPr>
        <w:ind w:right="40" w:firstLine="1386"/>
        <w:spacing w:after="0" w:line="242" w:lineRule="auto"/>
        <w:rPr>
          <w:sz w:val="20"/>
          <w:szCs w:val="20"/>
          <w:color w:val="auto"/>
        </w:rPr>
      </w:pPr>
      <w:r>
        <w:rPr>
          <w:rFonts w:ascii="Times New Roman" w:cs="Times New Roman" w:eastAsia="Times New Roman" w:hAnsi="Times New Roman"/>
          <w:sz w:val="18"/>
          <w:szCs w:val="18"/>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Indemnity Not Exclusive.</w:t>
      </w:r>
    </w:p>
    <w:p>
      <w:pPr>
        <w:spacing w:after="0" w:line="229" w:lineRule="exact"/>
        <w:rPr>
          <w:sz w:val="20"/>
          <w:szCs w:val="20"/>
          <w:color w:val="auto"/>
        </w:rPr>
      </w:pPr>
    </w:p>
    <w:p>
      <w:pPr>
        <w:ind w:right="260" w:firstLine="1386"/>
        <w:spacing w:after="0" w:line="245" w:lineRule="auto"/>
        <w:rPr>
          <w:sz w:val="20"/>
          <w:szCs w:val="20"/>
          <w:color w:val="auto"/>
        </w:rPr>
      </w:pPr>
      <w:r>
        <w:rPr>
          <w:rFonts w:ascii="Times New Roman" w:cs="Times New Roman" w:eastAsia="Times New Roman" w:hAnsi="Times New Roman"/>
          <w:sz w:val="18"/>
          <w:szCs w:val="18"/>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Insurance.</w:t>
      </w:r>
    </w:p>
    <w:p>
      <w:pPr>
        <w:spacing w:after="0" w:line="243" w:lineRule="exact"/>
        <w:rPr>
          <w:sz w:val="20"/>
          <w:szCs w:val="20"/>
          <w:color w:val="auto"/>
        </w:rPr>
      </w:pPr>
    </w:p>
    <w:p>
      <w:pPr>
        <w:ind w:right="20" w:firstLine="1386"/>
        <w:spacing w:after="0" w:line="242"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887" w:right="35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Conflicts.</w:t>
      </w:r>
    </w:p>
    <w:p>
      <w:pPr>
        <w:spacing w:after="0" w:line="216" w:lineRule="exact"/>
        <w:rPr>
          <w:sz w:val="20"/>
          <w:szCs w:val="20"/>
          <w:color w:val="auto"/>
        </w:rPr>
      </w:pPr>
    </w:p>
    <w:p>
      <w:pPr>
        <w:ind w:right="140" w:firstLine="1386"/>
        <w:spacing w:after="0" w:line="250" w:lineRule="auto"/>
        <w:rPr>
          <w:sz w:val="20"/>
          <w:szCs w:val="20"/>
          <w:color w:val="auto"/>
        </w:rPr>
      </w:pPr>
      <w:r>
        <w:rPr>
          <w:rFonts w:ascii="Times New Roman" w:cs="Times New Roman" w:eastAsia="Times New Roman" w:hAnsi="Times New Roman"/>
          <w:sz w:val="18"/>
          <w:szCs w:val="18"/>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257" w:lineRule="exact"/>
        <w:rPr>
          <w:sz w:val="20"/>
          <w:szCs w:val="20"/>
          <w:color w:val="auto"/>
        </w:rPr>
      </w:pPr>
    </w:p>
    <w:p>
      <w:pPr>
        <w:ind w:left="2300" w:right="20" w:hanging="546"/>
        <w:spacing w:after="0" w:line="272" w:lineRule="auto"/>
        <w:tabs>
          <w:tab w:leader="none" w:pos="2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212" w:lineRule="exact"/>
        <w:rPr>
          <w:rFonts w:ascii="Times New Roman" w:cs="Times New Roman" w:eastAsia="Times New Roman" w:hAnsi="Times New Roman"/>
          <w:sz w:val="17"/>
          <w:szCs w:val="17"/>
          <w:color w:val="auto"/>
        </w:rPr>
      </w:pPr>
    </w:p>
    <w:p>
      <w:pPr>
        <w:ind w:left="2300" w:hanging="546"/>
        <w:spacing w:after="0"/>
        <w:tabs>
          <w:tab w:leader="none" w:pos="2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would be inconsistent with any condition expressly imposed by a court in approving a settlement.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RECORDS AND REPORTS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Maintenance And Inspection Of Records.</w:t>
      </w:r>
    </w:p>
    <w:p>
      <w:pPr>
        <w:spacing w:after="0" w:line="189" w:lineRule="exact"/>
        <w:rPr>
          <w:sz w:val="20"/>
          <w:szCs w:val="20"/>
          <w:color w:val="auto"/>
        </w:rPr>
      </w:pPr>
    </w:p>
    <w:p>
      <w:pPr>
        <w:ind w:right="140" w:firstLine="1386"/>
        <w:spacing w:after="0" w:line="250" w:lineRule="auto"/>
        <w:rPr>
          <w:sz w:val="20"/>
          <w:szCs w:val="20"/>
          <w:color w:val="auto"/>
        </w:rPr>
      </w:pPr>
      <w:r>
        <w:rPr>
          <w:rFonts w:ascii="Times New Roman" w:cs="Times New Roman" w:eastAsia="Times New Roman" w:hAnsi="Times New Roman"/>
          <w:sz w:val="18"/>
          <w:szCs w:val="18"/>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204" w:lineRule="exact"/>
        <w:rPr>
          <w:sz w:val="20"/>
          <w:szCs w:val="20"/>
          <w:color w:val="auto"/>
        </w:rPr>
      </w:pPr>
    </w:p>
    <w:p>
      <w:pPr>
        <w:ind w:firstLine="1386"/>
        <w:spacing w:after="0" w:line="241" w:lineRule="auto"/>
        <w:rPr>
          <w:sz w:val="20"/>
          <w:szCs w:val="20"/>
          <w:color w:val="auto"/>
        </w:rPr>
      </w:pPr>
      <w:r>
        <w:rPr>
          <w:rFonts w:ascii="Times New Roman" w:cs="Times New Roman" w:eastAsia="Times New Roman" w:hAnsi="Times New Roman"/>
          <w:sz w:val="18"/>
          <w:szCs w:val="18"/>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211" w:lineRule="exact"/>
        <w:rPr>
          <w:sz w:val="20"/>
          <w:szCs w:val="20"/>
          <w:color w:val="auto"/>
        </w:rPr>
      </w:pPr>
    </w:p>
    <w:p>
      <w:pPr>
        <w:ind w:firstLine="1386"/>
        <w:spacing w:after="0" w:line="239" w:lineRule="auto"/>
        <w:rPr>
          <w:sz w:val="20"/>
          <w:szCs w:val="20"/>
          <w:color w:val="auto"/>
        </w:rPr>
      </w:pPr>
      <w:r>
        <w:rPr>
          <w:rFonts w:ascii="Times New Roman" w:cs="Times New Roman" w:eastAsia="Times New Roman" w:hAnsi="Times New Roman"/>
          <w:sz w:val="18"/>
          <w:szCs w:val="18"/>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Inspection By Directors.</w:t>
      </w:r>
    </w:p>
    <w:p>
      <w:pPr>
        <w:spacing w:after="0" w:line="243" w:lineRule="exact"/>
        <w:rPr>
          <w:sz w:val="20"/>
          <w:szCs w:val="20"/>
          <w:color w:val="auto"/>
        </w:rPr>
      </w:pPr>
    </w:p>
    <w:p>
      <w:pPr>
        <w:ind w:right="100" w:firstLine="1386"/>
        <w:spacing w:after="0" w:line="242" w:lineRule="auto"/>
        <w:rPr>
          <w:sz w:val="20"/>
          <w:szCs w:val="20"/>
          <w:color w:val="auto"/>
        </w:rPr>
      </w:pPr>
      <w:r>
        <w:rPr>
          <w:rFonts w:ascii="Times New Roman" w:cs="Times New Roman" w:eastAsia="Times New Roman" w:hAnsi="Times New Roman"/>
          <w:sz w:val="18"/>
          <w:szCs w:val="18"/>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200" w:lineRule="exact"/>
        <w:rPr>
          <w:sz w:val="20"/>
          <w:szCs w:val="20"/>
          <w:color w:val="auto"/>
        </w:rPr>
      </w:pPr>
    </w:p>
    <w:p>
      <w:pPr>
        <w:spacing w:after="0" w:line="25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23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GENERAL MATTERS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Checks.</w:t>
      </w:r>
    </w:p>
    <w:p>
      <w:pPr>
        <w:spacing w:after="0" w:line="243" w:lineRule="exact"/>
        <w:rPr>
          <w:sz w:val="20"/>
          <w:szCs w:val="20"/>
          <w:color w:val="auto"/>
        </w:rPr>
      </w:pPr>
    </w:p>
    <w:p>
      <w:pPr>
        <w:ind w:right="80" w:firstLine="1386"/>
        <w:spacing w:after="0" w:line="242" w:lineRule="auto"/>
        <w:rPr>
          <w:sz w:val="20"/>
          <w:szCs w:val="20"/>
          <w:color w:val="auto"/>
        </w:rPr>
      </w:pPr>
      <w:r>
        <w:rPr>
          <w:rFonts w:ascii="Times New Roman" w:cs="Times New Roman" w:eastAsia="Times New Roman" w:hAnsi="Times New Roman"/>
          <w:sz w:val="18"/>
          <w:szCs w:val="18"/>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887" w:right="359" w:bottom="1440" w:gutter="0" w:footer="0" w:header="0"/>
          <w:type w:val="continuous"/>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Execution Of Corporate Contracts And Instruments.</w:t>
      </w:r>
    </w:p>
    <w:p>
      <w:pPr>
        <w:spacing w:after="0" w:line="243" w:lineRule="exact"/>
        <w:rPr>
          <w:sz w:val="20"/>
          <w:szCs w:val="20"/>
          <w:color w:val="auto"/>
        </w:rPr>
      </w:pPr>
    </w:p>
    <w:p>
      <w:pPr>
        <w:ind w:firstLine="1386"/>
        <w:spacing w:after="0"/>
        <w:rPr>
          <w:sz w:val="20"/>
          <w:szCs w:val="20"/>
          <w:color w:val="auto"/>
        </w:rPr>
      </w:pPr>
      <w:r>
        <w:rPr>
          <w:rFonts w:ascii="Times New Roman" w:cs="Times New Roman" w:eastAsia="Times New Roman" w:hAnsi="Times New Roman"/>
          <w:sz w:val="18"/>
          <w:szCs w:val="18"/>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Stock Certificates; Partly Paid Shares.</w:t>
      </w:r>
    </w:p>
    <w:p>
      <w:pPr>
        <w:spacing w:after="0" w:line="216" w:lineRule="exact"/>
        <w:rPr>
          <w:sz w:val="20"/>
          <w:szCs w:val="20"/>
          <w:color w:val="auto"/>
        </w:rPr>
      </w:pPr>
    </w:p>
    <w:p>
      <w:pPr>
        <w:ind w:right="20" w:firstLine="1386"/>
        <w:spacing w:after="0" w:line="241" w:lineRule="auto"/>
        <w:rPr>
          <w:sz w:val="20"/>
          <w:szCs w:val="20"/>
          <w:color w:val="auto"/>
        </w:rPr>
      </w:pPr>
      <w:r>
        <w:rPr>
          <w:rFonts w:ascii="Times New Roman" w:cs="Times New Roman" w:eastAsia="Times New Roman" w:hAnsi="Times New Roman"/>
          <w:sz w:val="18"/>
          <w:szCs w:val="18"/>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211" w:lineRule="exact"/>
        <w:rPr>
          <w:sz w:val="20"/>
          <w:szCs w:val="20"/>
          <w:color w:val="auto"/>
        </w:rPr>
      </w:pPr>
    </w:p>
    <w:p>
      <w:pPr>
        <w:ind w:right="140" w:firstLine="1386"/>
        <w:spacing w:after="0" w:line="239"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Special Designation On Certificates.</w:t>
      </w:r>
    </w:p>
    <w:p>
      <w:pPr>
        <w:spacing w:after="0" w:line="243" w:lineRule="exact"/>
        <w:rPr>
          <w:sz w:val="20"/>
          <w:szCs w:val="20"/>
          <w:color w:val="auto"/>
        </w:rPr>
      </w:pPr>
    </w:p>
    <w:p>
      <w:pPr>
        <w:ind w:right="100" w:firstLine="1386"/>
        <w:spacing w:after="0" w:line="239"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Lost Certificates.</w:t>
      </w:r>
    </w:p>
    <w:p>
      <w:pPr>
        <w:spacing w:after="0" w:line="229" w:lineRule="exact"/>
        <w:rPr>
          <w:sz w:val="20"/>
          <w:szCs w:val="20"/>
          <w:color w:val="auto"/>
        </w:rPr>
      </w:pPr>
    </w:p>
    <w:p>
      <w:pPr>
        <w:ind w:right="140" w:firstLine="1386"/>
        <w:spacing w:after="0" w:line="242" w:lineRule="auto"/>
        <w:rPr>
          <w:sz w:val="20"/>
          <w:szCs w:val="20"/>
          <w:color w:val="auto"/>
        </w:rPr>
      </w:pPr>
      <w:r>
        <w:rPr>
          <w:rFonts w:ascii="Times New Roman" w:cs="Times New Roman" w:eastAsia="Times New Roman" w:hAnsi="Times New Roman"/>
          <w:sz w:val="18"/>
          <w:szCs w:val="18"/>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Construction; Definitions.</w:t>
      </w:r>
    </w:p>
    <w:p>
      <w:pPr>
        <w:spacing w:after="0" w:line="243" w:lineRule="exact"/>
        <w:rPr>
          <w:sz w:val="20"/>
          <w:szCs w:val="20"/>
          <w:color w:val="auto"/>
        </w:rPr>
      </w:pPr>
    </w:p>
    <w:p>
      <w:pPr>
        <w:ind w:right="20" w:firstLine="1386"/>
        <w:spacing w:after="0" w:line="250"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Dividends.</w:t>
      </w:r>
    </w:p>
    <w:p>
      <w:pPr>
        <w:spacing w:after="0" w:line="243" w:lineRule="exact"/>
        <w:rPr>
          <w:sz w:val="20"/>
          <w:szCs w:val="20"/>
          <w:color w:val="auto"/>
        </w:rPr>
      </w:pPr>
    </w:p>
    <w:p>
      <w:pPr>
        <w:ind w:right="180" w:firstLine="1386"/>
        <w:spacing w:after="0" w:line="250" w:lineRule="auto"/>
        <w:rPr>
          <w:sz w:val="20"/>
          <w:szCs w:val="20"/>
          <w:color w:val="auto"/>
        </w:rPr>
      </w:pPr>
      <w:r>
        <w:rPr>
          <w:rFonts w:ascii="Times New Roman" w:cs="Times New Roman" w:eastAsia="Times New Roman" w:hAnsi="Times New Roman"/>
          <w:sz w:val="18"/>
          <w:szCs w:val="18"/>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30" w:right="339" w:bottom="1440" w:gutter="0" w:footer="0" w:header="0"/>
        </w:sectPr>
      </w:pPr>
    </w:p>
    <w:bookmarkStart w:id="137" w:name="page138"/>
    <w:bookmarkEnd w:id="137"/>
    <w:p>
      <w:pPr>
        <w:jc w:val="both"/>
        <w:ind w:right="80" w:firstLine="1386"/>
        <w:spacing w:after="0" w:line="242" w:lineRule="auto"/>
        <w:rPr>
          <w:sz w:val="20"/>
          <w:szCs w:val="20"/>
          <w:color w:val="auto"/>
        </w:rPr>
      </w:pPr>
      <w:r>
        <w:rPr>
          <w:rFonts w:ascii="Times New Roman" w:cs="Times New Roman" w:eastAsia="Times New Roman" w:hAnsi="Times New Roman"/>
          <w:sz w:val="18"/>
          <w:szCs w:val="18"/>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Fiscal Year.</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of Directors and may be changed by the Board of Directors.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Seal.</w:t>
      </w:r>
    </w:p>
    <w:p>
      <w:pPr>
        <w:spacing w:after="0" w:line="243" w:lineRule="exact"/>
        <w:rPr>
          <w:sz w:val="20"/>
          <w:szCs w:val="20"/>
          <w:color w:val="auto"/>
        </w:rPr>
      </w:pPr>
    </w:p>
    <w:p>
      <w:pPr>
        <w:ind w:firstLine="1386"/>
        <w:spacing w:after="0" w:line="266" w:lineRule="auto"/>
        <w:rPr>
          <w:sz w:val="20"/>
          <w:szCs w:val="20"/>
          <w:color w:val="auto"/>
        </w:rPr>
      </w:pPr>
      <w:r>
        <w:rPr>
          <w:rFonts w:ascii="Times New Roman" w:cs="Times New Roman" w:eastAsia="Times New Roman" w:hAnsi="Times New Roman"/>
          <w:sz w:val="18"/>
          <w:szCs w:val="18"/>
          <w:color w:val="auto"/>
        </w:rPr>
        <w:t>The corporation may adopt a corporate seal, which may be altered at pleasure, and may use the same by causing it or a facsimile thereof, to be impressed or affixed or in any other manner reproduced.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Transfer Of Stock.</w:t>
      </w:r>
    </w:p>
    <w:p>
      <w:pPr>
        <w:spacing w:after="0" w:line="243" w:lineRule="exact"/>
        <w:rPr>
          <w:sz w:val="20"/>
          <w:szCs w:val="20"/>
          <w:color w:val="auto"/>
        </w:rPr>
      </w:pPr>
    </w:p>
    <w:p>
      <w:pPr>
        <w:ind w:right="260" w:firstLine="1386"/>
        <w:spacing w:after="0" w:line="250" w:lineRule="auto"/>
        <w:rPr>
          <w:sz w:val="20"/>
          <w:szCs w:val="20"/>
          <w:color w:val="auto"/>
        </w:rPr>
      </w:pPr>
      <w:r>
        <w:rPr>
          <w:rFonts w:ascii="Times New Roman" w:cs="Times New Roman" w:eastAsia="Times New Roman" w:hAnsi="Times New Roman"/>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b w:val="1"/>
          <w:bCs w:val="1"/>
          <w:u w:val="single" w:color="auto"/>
          <w:color w:val="auto"/>
        </w:rPr>
        <w:t>Stock Transfer Agreements.</w:t>
      </w:r>
    </w:p>
    <w:p>
      <w:pPr>
        <w:spacing w:after="0" w:line="243" w:lineRule="exact"/>
        <w:rPr>
          <w:sz w:val="20"/>
          <w:szCs w:val="20"/>
          <w:color w:val="auto"/>
        </w:rPr>
      </w:pPr>
    </w:p>
    <w:p>
      <w:pPr>
        <w:ind w:right="120" w:firstLine="1386"/>
        <w:spacing w:after="0" w:line="242"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b w:val="1"/>
          <w:bCs w:val="1"/>
          <w:u w:val="single" w:color="auto"/>
          <w:color w:val="auto"/>
        </w:rPr>
        <w:t>Registered Stockholders.</w:t>
      </w:r>
    </w:p>
    <w:p>
      <w:pPr>
        <w:spacing w:after="0" w:line="243" w:lineRule="exact"/>
        <w:rPr>
          <w:sz w:val="20"/>
          <w:szCs w:val="20"/>
          <w:color w:val="auto"/>
        </w:rPr>
      </w:pPr>
    </w:p>
    <w:p>
      <w:pPr>
        <w:ind w:right="100" w:firstLine="1386"/>
        <w:spacing w:after="0" w:line="245" w:lineRule="auto"/>
        <w:rPr>
          <w:sz w:val="20"/>
          <w:szCs w:val="20"/>
          <w:color w:val="auto"/>
        </w:rPr>
      </w:pPr>
      <w:r>
        <w:rPr>
          <w:rFonts w:ascii="Times New Roman" w:cs="Times New Roman" w:eastAsia="Times New Roman" w:hAnsi="Times New Roman"/>
          <w:sz w:val="18"/>
          <w:szCs w:val="18"/>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b w:val="1"/>
          <w:bCs w:val="1"/>
          <w:u w:val="single" w:color="auto"/>
          <w:color w:val="auto"/>
        </w:rPr>
        <w:t>Facsimile Signature.</w:t>
      </w:r>
    </w:p>
    <w:p>
      <w:pPr>
        <w:spacing w:after="0" w:line="243" w:lineRule="exact"/>
        <w:rPr>
          <w:sz w:val="20"/>
          <w:szCs w:val="20"/>
          <w:color w:val="auto"/>
        </w:rPr>
      </w:pPr>
    </w:p>
    <w:p>
      <w:pPr>
        <w:ind w:firstLine="1386"/>
        <w:spacing w:after="0" w:line="266" w:lineRule="auto"/>
        <w:rPr>
          <w:sz w:val="20"/>
          <w:szCs w:val="20"/>
          <w:color w:val="auto"/>
        </w:rPr>
      </w:pPr>
      <w:r>
        <w:rPr>
          <w:rFonts w:ascii="Times New Roman" w:cs="Times New Roman" w:eastAsia="Times New Roman" w:hAnsi="Times New Roman"/>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ind w:left="1400"/>
        <w:spacing w:after="0" w:line="226" w:lineRule="auto"/>
        <w:rPr>
          <w:sz w:val="20"/>
          <w:szCs w:val="20"/>
          <w:color w:val="auto"/>
        </w:rPr>
      </w:pPr>
      <w:r>
        <w:rPr>
          <w:rFonts w:ascii="Times New Roman" w:cs="Times New Roman" w:eastAsia="Times New Roman" w:hAnsi="Times New Roman"/>
          <w:sz w:val="18"/>
          <w:szCs w:val="18"/>
          <w:color w:val="auto"/>
        </w:rPr>
        <w:t>The Bylaws of the corporation may be adopted, amended or repealed by the</w:t>
      </w:r>
    </w:p>
    <w:p>
      <w:pPr>
        <w:jc w:val="both"/>
        <w:ind w:right="140" w:firstLine="90"/>
        <w:spacing w:after="0" w:line="239" w:lineRule="auto"/>
        <w:rPr>
          <w:sz w:val="20"/>
          <w:szCs w:val="20"/>
          <w:color w:val="auto"/>
        </w:rPr>
      </w:pPr>
      <w:r>
        <w:rPr>
          <w:rFonts w:ascii="Times New Roman" w:cs="Times New Roman" w:eastAsia="Times New Roman" w:hAnsi="Times New Roman"/>
          <w:sz w:val="18"/>
          <w:szCs w:val="18"/>
          <w:color w:val="auto"/>
        </w:rPr>
        <w:t>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Notwithstanding anything herein or in the Certificate of Incorporation to the contrary, for such time as the Corporation is admitted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List of ASX Limited (the “ASX”), the following shall apply:</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34" w:right="339" w:bottom="1440" w:gutter="0" w:footer="0" w:header="0"/>
          <w:type w:val="continuous"/>
        </w:sectPr>
      </w:pPr>
    </w:p>
    <w:bookmarkStart w:id="138" w:name="page139"/>
    <w:bookmarkEnd w:id="138"/>
    <w:p>
      <w:pPr>
        <w:jc w:val="both"/>
        <w:ind w:left="2300" w:hanging="546"/>
        <w:spacing w:after="0" w:line="242" w:lineRule="auto"/>
        <w:tabs>
          <w:tab w:leader="none" w:pos="2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any express written waiver (whether before or after the relevant act is taken) by ASX, if the Official Listing Rules of ASX or any other rules of ASX which are applicable to the Corporation from time to time (collectively the “Listing Rules”) prohibit an act being done, the Corporation shall not have the power or authority to take such act.</w:t>
      </w:r>
    </w:p>
    <w:p>
      <w:pPr>
        <w:spacing w:after="0" w:line="251" w:lineRule="exact"/>
        <w:rPr>
          <w:sz w:val="20"/>
          <w:szCs w:val="20"/>
          <w:color w:val="auto"/>
        </w:rPr>
      </w:pPr>
    </w:p>
    <w:p>
      <w:pPr>
        <w:ind w:left="2300" w:right="60" w:hanging="546"/>
        <w:spacing w:after="0" w:line="266" w:lineRule="auto"/>
        <w:tabs>
          <w:tab w:leader="none" w:pos="2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Certificate of Incorporation or these Bylaws shall prevent an act being done that the Listing Rules require to be done.</w:t>
      </w:r>
    </w:p>
    <w:p>
      <w:pPr>
        <w:spacing w:after="0" w:line="216" w:lineRule="exact"/>
        <w:rPr>
          <w:sz w:val="20"/>
          <w:szCs w:val="20"/>
          <w:color w:val="auto"/>
        </w:rPr>
      </w:pPr>
    </w:p>
    <w:p>
      <w:pPr>
        <w:ind w:left="2300" w:right="20" w:hanging="546"/>
        <w:spacing w:after="0" w:line="242" w:lineRule="auto"/>
        <w:tabs>
          <w:tab w:leader="none" w:pos="2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Listing Rules require an act to be done or not to be done, the Board of Directors (and any committee or subcommittee thereof) and each officer of the Corporation shall have authority to cause such act to be done or not to be done (as the case may be).</w:t>
      </w:r>
    </w:p>
    <w:p>
      <w:pPr>
        <w:spacing w:after="0" w:line="251" w:lineRule="exact"/>
        <w:rPr>
          <w:sz w:val="20"/>
          <w:szCs w:val="20"/>
          <w:color w:val="auto"/>
        </w:rPr>
      </w:pPr>
    </w:p>
    <w:p>
      <w:pPr>
        <w:ind w:left="2300" w:right="80" w:hanging="546"/>
        <w:spacing w:after="0" w:line="266" w:lineRule="auto"/>
        <w:tabs>
          <w:tab w:leader="none" w:pos="2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Listing Rules require the Certificate of Incorporation or these Bylaws to contain a provision and such document does not contain such provision, such applicable document shall, and shall be deemed to, contain such provision.</w:t>
      </w:r>
    </w:p>
    <w:p>
      <w:pPr>
        <w:spacing w:after="0" w:line="216" w:lineRule="exact"/>
        <w:rPr>
          <w:sz w:val="20"/>
          <w:szCs w:val="20"/>
          <w:color w:val="auto"/>
        </w:rPr>
      </w:pPr>
    </w:p>
    <w:p>
      <w:pPr>
        <w:ind w:left="2300" w:right="680" w:hanging="546"/>
        <w:spacing w:after="0" w:line="296" w:lineRule="auto"/>
        <w:tabs>
          <w:tab w:leader="none" w:pos="2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Listing Rules require the Certificate of Incorporation or these Bylaws not to contain any provision otherwise contained herein or therein, such provision shall be, and shall be deemed to be, excluded from such document.</w:t>
      </w:r>
    </w:p>
    <w:p>
      <w:pPr>
        <w:spacing w:after="0" w:line="193" w:lineRule="exact"/>
        <w:rPr>
          <w:sz w:val="20"/>
          <w:szCs w:val="20"/>
          <w:color w:val="auto"/>
        </w:rPr>
      </w:pPr>
    </w:p>
    <w:p>
      <w:pPr>
        <w:ind w:left="2300" w:right="100" w:hanging="546"/>
        <w:spacing w:after="0" w:line="242" w:lineRule="auto"/>
        <w:tabs>
          <w:tab w:leader="none" w:pos="2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Certificate of Incorporation or these Bylaws is or becomes inconsistent with the Listing Rules, such inconsistency shall not affect the validity or enforceability of any other provision of such document, and such document shall not contain that provision to the extent of the inconsistency.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43" w:lineRule="exact"/>
        <w:rPr>
          <w:sz w:val="20"/>
          <w:szCs w:val="20"/>
          <w:color w:val="auto"/>
        </w:rPr>
      </w:pPr>
    </w:p>
    <w:p>
      <w:pPr>
        <w:ind w:right="200" w:firstLine="1386"/>
        <w:spacing w:after="0" w:line="245" w:lineRule="auto"/>
        <w:rPr>
          <w:sz w:val="20"/>
          <w:szCs w:val="20"/>
          <w:color w:val="auto"/>
        </w:rPr>
      </w:pPr>
      <w:r>
        <w:rPr>
          <w:rFonts w:ascii="Times New Roman" w:cs="Times New Roman" w:eastAsia="Times New Roman" w:hAnsi="Times New Roman"/>
          <w:sz w:val="18"/>
          <w:szCs w:val="18"/>
          <w:color w:val="auto"/>
        </w:rPr>
        <w:t>To the extent that any provision of these Bylaws is found to be invalid or unenforceable, such invalidity or unenforceability shall not affect the validity or enforceability of any other provision of these Bylaws, and following any determination by a court of competent jurisdiction that any provision of these Bylaws is invalid or unenforceable, these Bylaws shall contain only such provisions (A) as were in effect immediately prior to such determination and (B) were not so determined to be invalid or unenforceable.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Restricted Securities</w:t>
      </w:r>
    </w:p>
    <w:p>
      <w:pPr>
        <w:spacing w:after="0" w:line="243" w:lineRule="exact"/>
        <w:rPr>
          <w:sz w:val="20"/>
          <w:szCs w:val="20"/>
          <w:color w:val="auto"/>
        </w:rPr>
      </w:pPr>
    </w:p>
    <w:p>
      <w:pPr>
        <w:ind w:right="40" w:firstLine="1386"/>
        <w:spacing w:after="0" w:line="237" w:lineRule="auto"/>
        <w:rPr>
          <w:sz w:val="20"/>
          <w:szCs w:val="20"/>
          <w:color w:val="auto"/>
        </w:rPr>
      </w:pPr>
      <w:r>
        <w:rPr>
          <w:rFonts w:ascii="Times New Roman" w:cs="Times New Roman" w:eastAsia="Times New Roman" w:hAnsi="Times New Roman"/>
          <w:sz w:val="18"/>
          <w:szCs w:val="18"/>
          <w:color w:val="auto"/>
        </w:rPr>
        <w:t>In connection with the corporation's admission to the Official List of the ASX and its listing of CHESS Depositary Interests (“CDIs”) (with each CDI representing an interest in one twenty-fifth of a share of Common Stock) on the ASX, certain stockholders (each a “Restricted Stockholder”) were required by the ASX to enter into an escrow (each an “Escrow Agreement”) under which each stockholder agreed, among other things, to certain restrictions and prohibitions from engaging in transactions in the shares of capital stock (including capital stock in the form of CDIs) held or acquired by the stockholder (including shares of capital stock that may be acquired upon exercise of a stock option, warrant or other right) or shares of capital stock which attach to or arise from such capital stock (collectively, the “Restricted Securities”) for a period of time identified in the Escrow Agreement (the “Lock-Up Period”).</w:t>
      </w:r>
    </w:p>
    <w:p>
      <w:pPr>
        <w:spacing w:after="0" w:line="216" w:lineRule="exact"/>
        <w:rPr>
          <w:sz w:val="20"/>
          <w:szCs w:val="20"/>
          <w:color w:val="auto"/>
        </w:rPr>
      </w:pPr>
    </w:p>
    <w:p>
      <w:pPr>
        <w:ind w:right="320" w:firstLine="1386"/>
        <w:spacing w:after="0" w:line="266" w:lineRule="auto"/>
        <w:rPr>
          <w:sz w:val="20"/>
          <w:szCs w:val="20"/>
          <w:color w:val="auto"/>
        </w:rPr>
      </w:pPr>
      <w:r>
        <w:rPr>
          <w:rFonts w:ascii="Times New Roman" w:cs="Times New Roman" w:eastAsia="Times New Roman" w:hAnsi="Times New Roman"/>
          <w:sz w:val="18"/>
          <w:szCs w:val="18"/>
          <w:color w:val="auto"/>
        </w:rPr>
        <w:t>The corporation may refuse to acknowledge a disposal (including registering a transfer) of Restricted Securities during the Lock-Up Period except as permitted by the ASX or the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945" w:right="35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Registration of transfer</w:t>
      </w:r>
    </w:p>
    <w:p>
      <w:pPr>
        <w:spacing w:after="0" w:line="216" w:lineRule="exact"/>
        <w:rPr>
          <w:sz w:val="20"/>
          <w:szCs w:val="20"/>
          <w:color w:val="auto"/>
        </w:rPr>
      </w:pPr>
    </w:p>
    <w:p>
      <w:pPr>
        <w:ind w:right="20" w:firstLine="1440"/>
        <w:spacing w:after="0" w:line="242" w:lineRule="auto"/>
        <w:rPr>
          <w:sz w:val="20"/>
          <w:szCs w:val="20"/>
          <w:color w:val="auto"/>
        </w:rPr>
      </w:pPr>
      <w:r>
        <w:rPr>
          <w:rFonts w:ascii="Times New Roman" w:cs="Times New Roman" w:eastAsia="Times New Roman" w:hAnsi="Times New Roman"/>
          <w:sz w:val="18"/>
          <w:szCs w:val="18"/>
          <w:color w:val="auto"/>
        </w:rPr>
        <w:t>The corporation may refuse to acknowledge or register any transfer of shares of the corporation's capital stock (including CDIs) held or acquired by a stockholder (including shares of the corporation's capital stock that may be acquired upon exercise of a stock option, warrant or other right) or shares of the corporation's capital stock which attach to or arise from such shares which are not made:</w:t>
      </w:r>
    </w:p>
    <w:p>
      <w:pPr>
        <w:spacing w:after="0" w:line="238" w:lineRule="exact"/>
        <w:rPr>
          <w:sz w:val="20"/>
          <w:szCs w:val="20"/>
          <w:color w:val="auto"/>
        </w:rPr>
      </w:pPr>
    </w:p>
    <w:p>
      <w:pPr>
        <w:ind w:left="2300" w:hanging="546"/>
        <w:spacing w:after="0" w:line="266" w:lineRule="auto"/>
        <w:tabs>
          <w:tab w:leader="none" w:pos="2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Regulation S of the Securities Act of 1933 (U.S.), as amended to date and the rules and regulations promulgated thereunder (the “U.S. Securities Act”) (Rule 901 through Rule 905 and preliminary notes);</w:t>
      </w:r>
    </w:p>
    <w:p>
      <w:pPr>
        <w:spacing w:after="0" w:line="216" w:lineRule="exact"/>
        <w:rPr>
          <w:rFonts w:ascii="Times New Roman" w:cs="Times New Roman" w:eastAsia="Times New Roman" w:hAnsi="Times New Roman"/>
          <w:sz w:val="18"/>
          <w:szCs w:val="18"/>
          <w:color w:val="auto"/>
        </w:rPr>
      </w:pPr>
    </w:p>
    <w:p>
      <w:pPr>
        <w:ind w:left="2300" w:hanging="546"/>
        <w:spacing w:after="0"/>
        <w:tabs>
          <w:tab w:leader="none" w:pos="2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registration under the U.S. Securities Act; or</w:t>
      </w:r>
    </w:p>
    <w:p>
      <w:pPr>
        <w:spacing w:after="0" w:line="265" w:lineRule="exact"/>
        <w:rPr>
          <w:rFonts w:ascii="Times New Roman" w:cs="Times New Roman" w:eastAsia="Times New Roman" w:hAnsi="Times New Roman"/>
          <w:sz w:val="18"/>
          <w:szCs w:val="18"/>
          <w:color w:val="auto"/>
        </w:rPr>
      </w:pPr>
    </w:p>
    <w:p>
      <w:pPr>
        <w:ind w:left="2300" w:hanging="546"/>
        <w:spacing w:after="0"/>
        <w:tabs>
          <w:tab w:leader="none" w:pos="2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available exemption from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887" w:right="3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333-268529) of Life360, Inc. of our report dated March 23, 2023, relating to the consolidated financial statements, which appears in this Form 10-K.</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BDO USA, LLP</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23, 2023</w:t>
      </w:r>
    </w:p>
    <w:p>
      <w:pPr>
        <w:sectPr>
          <w:pgSz w:w="11900" w:h="16838" w:orient="portrait"/>
          <w:cols w:equalWidth="0" w:num="1">
            <w:col w:w="11240"/>
          </w:cols>
          <w:pgMar w:left="320" w:top="88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Hulls, certify that:</w:t>
      </w:r>
    </w:p>
    <w:p>
      <w:pPr>
        <w:spacing w:after="0" w:line="185"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Life360, Inc. (the “registrant”);</w:t>
      </w:r>
    </w:p>
    <w:p>
      <w:pPr>
        <w:spacing w:after="0" w:line="198" w:lineRule="exact"/>
        <w:rPr>
          <w:rFonts w:ascii="Times New Roman" w:cs="Times New Roman" w:eastAsia="Times New Roman" w:hAnsi="Times New Roman"/>
          <w:sz w:val="18"/>
          <w:szCs w:val="18"/>
          <w:color w:val="auto"/>
        </w:rPr>
      </w:pPr>
    </w:p>
    <w:p>
      <w:pPr>
        <w:jc w:val="both"/>
        <w:ind w:left="280" w:hanging="272"/>
        <w:spacing w:after="0" w:line="226" w:lineRule="auto"/>
        <w:tabs>
          <w:tab w:leader="none" w:pos="3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50" w:lineRule="auto"/>
        <w:tabs>
          <w:tab w:leader="none" w:pos="4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900" w:hanging="244"/>
        <w:spacing w:after="0" w:line="237" w:lineRule="auto"/>
        <w:tabs>
          <w:tab w:leader="none" w:pos="10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1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900" w:hanging="244"/>
        <w:spacing w:after="0" w:line="237" w:lineRule="auto"/>
        <w:tabs>
          <w:tab w:leader="none" w:pos="104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1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Burke, certify that:</w:t>
      </w:r>
    </w:p>
    <w:p>
      <w:pPr>
        <w:spacing w:after="0" w:line="198"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Life360, Inc. (the “registrant”);</w:t>
      </w:r>
    </w:p>
    <w:p>
      <w:pPr>
        <w:spacing w:after="0" w:line="184" w:lineRule="exact"/>
        <w:rPr>
          <w:rFonts w:ascii="Times New Roman" w:cs="Times New Roman" w:eastAsia="Times New Roman" w:hAnsi="Times New Roman"/>
          <w:sz w:val="18"/>
          <w:szCs w:val="18"/>
          <w:color w:val="auto"/>
        </w:rPr>
      </w:pPr>
    </w:p>
    <w:p>
      <w:pPr>
        <w:jc w:val="both"/>
        <w:ind w:left="280" w:hanging="272"/>
        <w:spacing w:after="0" w:line="231" w:lineRule="auto"/>
        <w:tabs>
          <w:tab w:leader="none" w:pos="3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280" w:hanging="272"/>
        <w:spacing w:after="0" w:line="237" w:lineRule="auto"/>
        <w:tabs>
          <w:tab w:leader="none" w:pos="3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4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244"/>
        <w:spacing w:after="0" w:line="231" w:lineRule="auto"/>
        <w:tabs>
          <w:tab w:leader="none" w:pos="9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0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900" w:hanging="244"/>
        <w:spacing w:after="0" w:line="226" w:lineRule="auto"/>
        <w:tabs>
          <w:tab w:leader="none" w:pos="97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280" w:hanging="272"/>
        <w:spacing w:after="0" w:line="237" w:lineRule="auto"/>
        <w:tabs>
          <w:tab w:leader="none" w:pos="3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900" w:hanging="244"/>
        <w:spacing w:after="0" w:line="250" w:lineRule="auto"/>
        <w:tabs>
          <w:tab w:leader="none" w:pos="11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900" w:hanging="244"/>
        <w:spacing w:after="0" w:line="237" w:lineRule="auto"/>
        <w:tabs>
          <w:tab w:leader="none" w:pos="104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30"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of Life360, Inc. (the “Company”), on Form 10-K for the year ended December 31, 2022 (the “Report”), I, Chris Hulls, Chief Executive Officer of the Company, hereby certify pursuant to 18 U.S.C. § 1350, as adopted pursuant to § 906 of the 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right="340" w:hanging="644"/>
        <w:spacing w:after="0" w:line="237" w:lineRule="auto"/>
        <w:tabs>
          <w:tab w:leader="none" w:pos="12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20" w:val="left"/>
          <w:tab w:leader="none" w:pos="590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4517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Chris Hulls</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13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of Life360, Inc. (the “Company”), on Form 10-K for the year ended December 31, 2022 (the “Report”), I, Russell Burke, Chief Financial Officer of the Company, hereby certify pursuant to 18 U.S.C. § 1350, as adopted pursuant to § 906 of the 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37"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920" w:val="left"/>
          <w:tab w:leader="none" w:pos="5920" w:val="left"/>
          <w:tab w:leader="none" w:pos="65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March 23, 2023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26035</wp:posOffset>
            </wp:positionV>
            <wp:extent cx="24517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Russell Burke</w:t>
      </w:r>
    </w:p>
    <w:p>
      <w:pPr>
        <w:spacing w:after="0" w:line="7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1"/>
    </w:lvl>
  </w:abstractNum>
  <w:abstractNum w:abstractNumId="23">
    <w:nsid w:val="5577F8E1"/>
    <w:multiLevelType w:val="hybridMultilevel"/>
    <w:lvl w:ilvl="0">
      <w:lvlJc w:val="left"/>
      <w:lvlText w:val="(%1)"/>
      <w:numFmt w:val="lowerRoman"/>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Letter"/>
      <w:start w:val="2"/>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Roman"/>
      <w:start w:val="2"/>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bullet"/>
      <w:start w:val="1"/>
    </w:lvl>
  </w:abstractNum>
  <w:abstractNum w:abstractNumId="36">
    <w:nsid w:val="3855585C"/>
    <w:multiLevelType w:val="hybridMultilevel"/>
    <w:lvl w:ilvl="0">
      <w:lvlJc w:val="left"/>
      <w:lvlText w:val="2"/>
      <w:numFmt w:val="bullet"/>
      <w:start w:val="1"/>
    </w:lvl>
  </w:abstractNum>
  <w:abstractNum w:abstractNumId="37">
    <w:nsid w:val="70A64E2A"/>
    <w:multiLevelType w:val="hybridMultilevel"/>
    <w:lvl w:ilvl="0">
      <w:lvlJc w:val="left"/>
      <w:lvlText w:val="3"/>
      <w:numFmt w:val="bullet"/>
      <w:start w:val="1"/>
    </w:lvl>
  </w:abstractNum>
  <w:abstractNum w:abstractNumId="38">
    <w:nsid w:val="6A2342EC"/>
    <w:multiLevelType w:val="hybridMultilevel"/>
    <w:lvl w:ilvl="0">
      <w:lvlJc w:val="left"/>
      <w:lvlText w:val="4"/>
      <w:numFmt w:val="bullet"/>
      <w:start w:val="1"/>
    </w:lvl>
  </w:abstractNum>
  <w:abstractNum w:abstractNumId="39">
    <w:nsid w:val="2A487CB0"/>
    <w:multiLevelType w:val="hybridMultilevel"/>
    <w:lvl w:ilvl="0">
      <w:lvlJc w:val="left"/>
      <w:lvlText w:val="5"/>
      <w:numFmt w:val="bullet"/>
      <w:start w:val="1"/>
    </w:lvl>
  </w:abstractNum>
  <w:abstractNum w:abstractNumId="40">
    <w:nsid w:val="1D4ED43B"/>
    <w:multiLevelType w:val="hybridMultilevel"/>
    <w:lvl w:ilvl="0">
      <w:lvlJc w:val="left"/>
      <w:lvlText w:val="6"/>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8" Type="http://schemas.openxmlformats.org/officeDocument/2006/relationships/image" Target="media/image164.png"/><Relationship Id="rId196"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171" Type="http://schemas.openxmlformats.org/officeDocument/2006/relationships/hyperlink" Target="https://www.sec.gov/Archives/edgar/data/1581760/000119312522120522/d328928dex21.htm" TargetMode="External"/><Relationship Id="rId172" Type="http://schemas.openxmlformats.org/officeDocument/2006/relationships/hyperlink" Target="https://www.sec.gov/Archives/edgar/data/1581760/000119312522120522/d328928dex22.htm" TargetMode="External"/><Relationship Id="rId173" Type="http://schemas.openxmlformats.org/officeDocument/2006/relationships/hyperlink" Target="https://www.sec.gov/Archives/edgar/data/1581760/000119312522120522/d328928dex23.htm" TargetMode="External"/><Relationship Id="rId174" Type="http://schemas.openxmlformats.org/officeDocument/2006/relationships/hyperlink" Target="https://www.sec.gov/Archives/edgar/data/1581760/000119312522120522/d328928dex24.htm" TargetMode="External"/><Relationship Id="rId175" Type="http://schemas.openxmlformats.org/officeDocument/2006/relationships/hyperlink" Target="https://www.sec.gov/Archives/edgar/data/1581760/000119312522120522/d328928dex25.htm" TargetMode="External"/><Relationship Id="rId176" Type="http://schemas.openxmlformats.org/officeDocument/2006/relationships/hyperlink" Target="https://www.sec.gov/Archives/edgar/data/1581760/000119312522120522/d328928dex31.htm" TargetMode="External"/><Relationship Id="rId177" Type="http://schemas.openxmlformats.org/officeDocument/2006/relationships/hyperlink" Target="https://www.sec.gov/Archives/edgar/data/1581760/000119312522120522/d328928dex41.htm" TargetMode="External"/><Relationship Id="rId179" Type="http://schemas.openxmlformats.org/officeDocument/2006/relationships/hyperlink" Target="https://www.sec.gov/Archives/edgar/data/1581760/000119312522120522/d328928dex101.htm" TargetMode="External"/><Relationship Id="rId180" Type="http://schemas.openxmlformats.org/officeDocument/2006/relationships/hyperlink" Target="https://www.sec.gov/Archives/edgar/data/1581760/000119312522120522/d328928dex102.htm" TargetMode="External"/><Relationship Id="rId181" Type="http://schemas.openxmlformats.org/officeDocument/2006/relationships/hyperlink" Target="https://www.sec.gov/Archives/edgar/data/1581760/000119312522120522/d328928dex103.htm" TargetMode="External"/><Relationship Id="rId182" Type="http://schemas.openxmlformats.org/officeDocument/2006/relationships/hyperlink" Target="https://www.sec.gov/Archives/edgar/data/1581760/000119312522120522/d328928dex104.htm" TargetMode="External"/><Relationship Id="rId183" Type="http://schemas.openxmlformats.org/officeDocument/2006/relationships/hyperlink" Target="https://www.sec.gov/Archives/edgar/data/1581760/000119312522120522/d328928dex105.htm" TargetMode="External"/><Relationship Id="rId184" Type="http://schemas.openxmlformats.org/officeDocument/2006/relationships/hyperlink" Target="https://www.sec.gov/Archives/edgar/data/1581760/000119312522120522/d328928dex106.htm" TargetMode="External"/><Relationship Id="rId185" Type="http://schemas.openxmlformats.org/officeDocument/2006/relationships/hyperlink" Target="https://www.sec.gov/Archives/edgar/data/1581760/000119312522120522/d328928dex108.htm" TargetMode="External"/><Relationship Id="rId186" Type="http://schemas.openxmlformats.org/officeDocument/2006/relationships/hyperlink" Target="https://www.sec.gov/Archives/edgar/data/1581760/000119312522120522/d328928dex109.htm" TargetMode="External"/><Relationship Id="rId187" Type="http://schemas.openxmlformats.org/officeDocument/2006/relationships/hyperlink" Target="https://www.sec.gov/Archives/edgar/data/1581760/000119312522120522/d328928dex1010.htm" TargetMode="External"/><Relationship Id="rId188" Type="http://schemas.openxmlformats.org/officeDocument/2006/relationships/hyperlink" Target="https://www.sec.gov/Archives/edgar/data/1581760/000119312522120522/d328928dex1011.htm" TargetMode="External"/><Relationship Id="rId189" Type="http://schemas.openxmlformats.org/officeDocument/2006/relationships/hyperlink" Target="https://www.sec.gov/Archives/edgar/data/1581760/000119312522172365/d328928dex1013.htm" TargetMode="External"/><Relationship Id="rId190" Type="http://schemas.openxmlformats.org/officeDocument/2006/relationships/hyperlink" Target="https://www.sec.gov/Archives/edgar/data/1581760/000119312522172365/d328928dex1014.htm" TargetMode="External"/><Relationship Id="rId191" Type="http://schemas.openxmlformats.org/officeDocument/2006/relationships/hyperlink" Target="https://www.sec.gov/Archives/edgar/data/1581760/000119312522120522/d328928dex1015.htm" TargetMode="External"/><Relationship Id="rId192" Type="http://schemas.openxmlformats.org/officeDocument/2006/relationships/hyperlink" Target="https://www.sec.gov/Archives/edgar/data/1581760/000119312522120522/d328928dex1016.htm" TargetMode="External"/><Relationship Id="rId193" Type="http://schemas.openxmlformats.org/officeDocument/2006/relationships/hyperlink" Target="https://www.sec.gov/Archives/edgar/data/1581760/000119312522120522/d328928dex1017.htm" TargetMode="External"/><Relationship Id="rId194" Type="http://schemas.openxmlformats.org/officeDocument/2006/relationships/hyperlink" Target="https://www.sec.gov/Archives/edgar/data/1581760/000119312522172365/d328928dex1018.htm" TargetMode="External"/><Relationship Id="rId195" Type="http://schemas.openxmlformats.org/officeDocument/2006/relationships/hyperlink" Target="https://www.sec.gov/Archives/edgar/data/1581760/000119312522172365/d328928dex1019.htm" TargetMode="External"/><Relationship Id="rId197" Type="http://schemas.openxmlformats.org/officeDocument/2006/relationships/hyperlink" Target="https://www.sec.gov/Archives/edgar/data/1581760/000119312522172365/d328928dex1031.htm" TargetMode="External"/><Relationship Id="rId198" Type="http://schemas.openxmlformats.org/officeDocument/2006/relationships/hyperlink" Target="https://www.sec.gov/Archives/edgar/data/1581760/000119312522172365/d328928dex1032.htm" TargetMode="External"/><Relationship Id="rId199" Type="http://schemas.openxmlformats.org/officeDocument/2006/relationships/hyperlink" Target="https://www.sec.gov/Archives/edgar/data/1581760/000119312522172365/d328928dex1033.htm" TargetMode="External"/><Relationship Id="rId200" Type="http://schemas.openxmlformats.org/officeDocument/2006/relationships/hyperlink" Target="https://www.sec.gov/Archives/edgar/data/1581760/000119312522172365/d328928dex1034.htm" TargetMode="External"/><Relationship Id="rId201" Type="http://schemas.openxmlformats.org/officeDocument/2006/relationships/hyperlink" Target="https://www.sec.gov/Archives/edgar/data/1581760/000119312522172365/d328928dex1035.htm" TargetMode="External"/><Relationship Id="rId202" Type="http://schemas.openxmlformats.org/officeDocument/2006/relationships/hyperlink" Target="https://www.sec.gov/Archives/edgar/data/1581760/000119312522172365/d328928dex1036.htm" TargetMode="External"/><Relationship Id="rId203" Type="http://schemas.openxmlformats.org/officeDocument/2006/relationships/hyperlink" Target="https://www.sec.gov/Archives/edgar/data/1581760/000119312522172365/d328928dex1037.htm" TargetMode="External"/><Relationship Id="rId204" Type="http://schemas.openxmlformats.org/officeDocument/2006/relationships/hyperlink" Target="https://www.sec.gov/Archives/edgar/data/1581760/000119312522120522/d32892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2023-03-23T13:46:51Z</dcterms:created>
  <dcterms:modified xsi:type="dcterms:W3CDTF">2023-03-23T13:46:51Z</dcterms:modified>
</cp:coreProperties>
</file>