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500380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517525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21"/>
          <w:szCs w:val="21"/>
          <w:b w:val="1"/>
          <w:bCs w:val="1"/>
          <w:color w:val="auto"/>
        </w:rPr>
        <w:t>SECURITIES AND EXCHANGE COMMISSION</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Washington, D.C. 20549</w:t>
      </w:r>
    </w:p>
    <w:p>
      <w:pPr>
        <w:spacing w:after="0" w:line="5" w:lineRule="exact"/>
        <w:rPr>
          <w:sz w:val="24"/>
          <w:szCs w:val="24"/>
          <w:color w:val="auto"/>
        </w:rPr>
      </w:pPr>
    </w:p>
    <w:p>
      <w:pPr>
        <w:ind w:left="5200"/>
        <w:spacing w:after="0"/>
        <w:rPr>
          <w:sz w:val="20"/>
          <w:szCs w:val="20"/>
          <w:color w:val="auto"/>
        </w:rPr>
      </w:pPr>
      <w:r>
        <w:rPr>
          <w:rFonts w:ascii="Arial" w:cs="Arial" w:eastAsia="Arial" w:hAnsi="Arial"/>
          <w:sz w:val="13"/>
          <w:szCs w:val="13"/>
          <w:color w:val="auto"/>
        </w:rPr>
        <w:t>______________</w:t>
      </w:r>
    </w:p>
    <w:p>
      <w:pPr>
        <w:spacing w:after="0" w:line="21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FORM 8-K</w:t>
      </w:r>
    </w:p>
    <w:p>
      <w:pPr>
        <w:spacing w:after="0" w:line="167"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CURRENT REPORT</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Pursuant to Section 13 or 15(d) of the</w:t>
      </w:r>
    </w:p>
    <w:p>
      <w:pPr>
        <w:jc w:val="center"/>
        <w:ind w:right="20"/>
        <w:spacing w:after="0"/>
        <w:rPr>
          <w:sz w:val="20"/>
          <w:szCs w:val="20"/>
          <w:color w:val="auto"/>
        </w:rPr>
      </w:pPr>
      <w:r>
        <w:rPr>
          <w:rFonts w:ascii="Arial" w:cs="Arial" w:eastAsia="Arial" w:hAnsi="Arial"/>
          <w:sz w:val="12"/>
          <w:szCs w:val="12"/>
          <w:b w:val="1"/>
          <w:bCs w:val="1"/>
          <w:color w:val="auto"/>
        </w:rPr>
        <w:t>Securities Exchange Act of 1934</w:t>
      </w:r>
    </w:p>
    <w:p>
      <w:pPr>
        <w:spacing w:after="0" w:line="145"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Date of Report (Date of earliest event reported): March 16, 2023</w:t>
      </w:r>
    </w:p>
    <w:p>
      <w:pPr>
        <w:spacing w:after="0" w:line="263"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Life360, Inc.</w:t>
      </w: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(Exact name of registrant as specified in its charter)</w:t>
      </w:r>
    </w:p>
    <w:p>
      <w:pPr>
        <w:sectPr>
          <w:pgSz w:w="11900" w:h="16838" w:orient="portrait"/>
          <w:cols w:equalWidth="0" w:num="1">
            <w:col w:w="11300"/>
          </w:cols>
          <w:pgMar w:left="300" w:top="940" w:right="299" w:bottom="1065" w:gutter="0" w:footer="0" w:header="0"/>
        </w:sectPr>
      </w:pPr>
    </w:p>
    <w:p>
      <w:pPr>
        <w:spacing w:after="0" w:line="145" w:lineRule="exact"/>
        <w:rPr>
          <w:sz w:val="24"/>
          <w:szCs w:val="24"/>
          <w:color w:val="auto"/>
        </w:rPr>
      </w:pPr>
    </w:p>
    <w:p>
      <w:pPr>
        <w:ind w:left="164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jc w:val="center"/>
        <w:ind w:right="2480"/>
        <w:spacing w:after="0"/>
        <w:rPr>
          <w:sz w:val="20"/>
          <w:szCs w:val="20"/>
          <w:color w:val="auto"/>
        </w:rPr>
      </w:pPr>
      <w:r>
        <w:rPr>
          <w:rFonts w:ascii="Arial" w:cs="Arial" w:eastAsia="Arial" w:hAnsi="Arial"/>
          <w:sz w:val="10"/>
          <w:szCs w:val="10"/>
          <w:b w:val="1"/>
          <w:bCs w:val="1"/>
          <w:color w:val="auto"/>
        </w:rPr>
        <w:t>000-56424</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26-0197666</w:t>
      </w:r>
    </w:p>
    <w:p>
      <w:pPr>
        <w:spacing w:after="0" w:line="78" w:lineRule="exact"/>
        <w:rPr>
          <w:sz w:val="24"/>
          <w:szCs w:val="24"/>
          <w:color w:val="auto"/>
        </w:rPr>
      </w:pPr>
    </w:p>
    <w:p>
      <w:pPr>
        <w:sectPr>
          <w:pgSz w:w="11900" w:h="16838" w:orient="portrait"/>
          <w:cols w:equalWidth="0" w:num="3">
            <w:col w:w="4680" w:space="720"/>
            <w:col w:w="3000" w:space="720"/>
            <w:col w:w="2180"/>
          </w:cols>
          <w:pgMar w:left="300" w:top="940" w:right="299" w:bottom="1065" w:gutter="0" w:footer="0" w:header="0"/>
          <w:type w:val="continuous"/>
        </w:sectPr>
      </w:pPr>
    </w:p>
    <w:p>
      <w:pPr>
        <w:ind w:left="1180"/>
        <w:spacing w:after="0"/>
        <w:rPr>
          <w:sz w:val="20"/>
          <w:szCs w:val="20"/>
          <w:color w:val="auto"/>
        </w:rPr>
      </w:pPr>
      <w:r>
        <w:rPr>
          <w:rFonts w:ascii="Arial" w:cs="Arial" w:eastAsia="Arial" w:hAnsi="Arial"/>
          <w:sz w:val="11"/>
          <w:szCs w:val="11"/>
          <w:color w:val="auto"/>
        </w:rPr>
        <w:t>(State or other jurisdiction of</w:t>
      </w:r>
    </w:p>
    <w:p>
      <w:pPr>
        <w:spacing w:after="0" w:line="26" w:lineRule="exact"/>
        <w:rPr>
          <w:sz w:val="24"/>
          <w:szCs w:val="24"/>
          <w:color w:val="auto"/>
        </w:rPr>
      </w:pPr>
    </w:p>
    <w:p>
      <w:pPr>
        <w:ind w:left="1160"/>
        <w:spacing w:after="0"/>
        <w:rPr>
          <w:sz w:val="20"/>
          <w:szCs w:val="20"/>
          <w:color w:val="auto"/>
        </w:rPr>
      </w:pPr>
      <w:r>
        <w:rPr>
          <w:rFonts w:ascii="Arial" w:cs="Arial" w:eastAsia="Arial" w:hAnsi="Arial"/>
          <w:sz w:val="11"/>
          <w:szCs w:val="1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1"/>
          <w:szCs w:val="11"/>
          <w:color w:val="auto"/>
        </w:rPr>
        <w:t>(I.R.S. Employer</w:t>
      </w:r>
    </w:p>
    <w:p>
      <w:pPr>
        <w:spacing w:after="0" w:line="26" w:lineRule="exact"/>
        <w:rPr>
          <w:sz w:val="24"/>
          <w:szCs w:val="24"/>
          <w:color w:val="auto"/>
        </w:rPr>
      </w:pPr>
    </w:p>
    <w:p>
      <w:pPr>
        <w:spacing w:after="0"/>
        <w:rPr>
          <w:sz w:val="20"/>
          <w:szCs w:val="20"/>
          <w:color w:val="auto"/>
        </w:rPr>
      </w:pPr>
      <w:r>
        <w:rPr>
          <w:rFonts w:ascii="Arial" w:cs="Arial" w:eastAsia="Arial" w:hAnsi="Arial"/>
          <w:sz w:val="11"/>
          <w:szCs w:val="11"/>
          <w:color w:val="auto"/>
        </w:rPr>
        <w:t>Identification No.)</w:t>
      </w:r>
    </w:p>
    <w:p>
      <w:pPr>
        <w:spacing w:after="0" w:line="122" w:lineRule="exact"/>
        <w:rPr>
          <w:sz w:val="24"/>
          <w:szCs w:val="24"/>
          <w:color w:val="auto"/>
        </w:rPr>
      </w:pPr>
    </w:p>
    <w:p>
      <w:pPr>
        <w:sectPr>
          <w:pgSz w:w="11900" w:h="16838" w:orient="portrait"/>
          <w:cols w:equalWidth="0" w:num="3">
            <w:col w:w="4280" w:space="720"/>
            <w:col w:w="3240" w:space="720"/>
            <w:col w:w="2340"/>
          </w:cols>
          <w:pgMar w:left="300" w:top="940" w:right="299" w:bottom="1065" w:gutter="0" w:footer="0" w:header="0"/>
          <w:type w:val="continuous"/>
        </w:sectPr>
      </w:pPr>
    </w:p>
    <w:p>
      <w:pPr>
        <w:jc w:val="center"/>
        <w:ind w:right="20"/>
        <w:spacing w:after="0"/>
        <w:rPr>
          <w:sz w:val="20"/>
          <w:szCs w:val="20"/>
          <w:color w:val="auto"/>
        </w:rPr>
      </w:pPr>
      <w:r>
        <w:rPr>
          <w:rFonts w:ascii="Arial" w:cs="Arial" w:eastAsia="Arial" w:hAnsi="Arial"/>
          <w:sz w:val="12"/>
          <w:szCs w:val="12"/>
          <w:b w:val="1"/>
          <w:bCs w:val="1"/>
          <w:color w:val="auto"/>
        </w:rPr>
        <w:t>1900 South Norfolk Street, Suite 310</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San Mateo, CA 94403</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11"/>
          <w:szCs w:val="11"/>
          <w:color w:val="auto"/>
        </w:rPr>
        <w:t>(Address of principal executive offices, including zip code)</w:t>
      </w:r>
    </w:p>
    <w:p>
      <w:pPr>
        <w:spacing w:after="0" w:line="22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(415) 484-5244</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12"/>
          <w:szCs w:val="12"/>
          <w:color w:val="auto"/>
        </w:rPr>
        <w:t>(Registrant’s telephone number, including area code)</w:t>
      </w:r>
    </w:p>
    <w:p>
      <w:pPr>
        <w:spacing w:after="0" w:line="20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Not applicable.</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10"/>
          <w:szCs w:val="10"/>
          <w:color w:val="auto"/>
        </w:rPr>
        <w:t>(Former name or former address, if changed since last report)</w:t>
      </w:r>
    </w:p>
    <w:p>
      <w:pPr>
        <w:spacing w:after="0" w:line="96" w:lineRule="exact"/>
        <w:rPr>
          <w:sz w:val="24"/>
          <w:szCs w:val="24"/>
          <w:color w:val="auto"/>
        </w:rPr>
      </w:pPr>
    </w:p>
    <w:p>
      <w:pPr>
        <w:ind w:left="5200"/>
        <w:spacing w:after="0"/>
        <w:rPr>
          <w:sz w:val="20"/>
          <w:szCs w:val="20"/>
          <w:color w:val="auto"/>
        </w:rPr>
      </w:pPr>
      <w:r>
        <w:rPr>
          <w:rFonts w:ascii="Arial" w:cs="Arial" w:eastAsia="Arial" w:hAnsi="Arial"/>
          <w:sz w:val="13"/>
          <w:szCs w:val="13"/>
          <w:color w:val="auto"/>
        </w:rPr>
        <w:t>______________</w:t>
      </w:r>
    </w:p>
    <w:p>
      <w:pPr>
        <w:sectPr>
          <w:pgSz w:w="11900" w:h="16838" w:orient="portrait"/>
          <w:cols w:equalWidth="0" w:num="1">
            <w:col w:w="11300"/>
          </w:cols>
          <w:pgMar w:left="300" w:top="940" w:right="299" w:bottom="1065" w:gutter="0" w:footer="0" w:header="0"/>
          <w:type w:val="continuous"/>
        </w:sectPr>
      </w:pPr>
    </w:p>
    <w:p>
      <w:pPr>
        <w:spacing w:after="0" w:line="225"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68" w:lineRule="exact"/>
        <w:rPr>
          <w:sz w:val="24"/>
          <w:szCs w:val="24"/>
          <w:color w:val="auto"/>
        </w:rPr>
      </w:pPr>
    </w:p>
    <w:p>
      <w:pPr>
        <w:ind w:left="600" w:hanging="361"/>
        <w:spacing w:after="0"/>
        <w:tabs>
          <w:tab w:leader="none" w:pos="6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05" w:lineRule="exact"/>
        <w:rPr>
          <w:rFonts w:ascii="MS PGothic" w:cs="MS PGothic" w:eastAsia="MS PGothic" w:hAnsi="MS PGothic"/>
          <w:sz w:val="12"/>
          <w:szCs w:val="12"/>
          <w:color w:val="auto"/>
        </w:rPr>
      </w:pPr>
    </w:p>
    <w:p>
      <w:pPr>
        <w:ind w:left="600" w:hanging="361"/>
        <w:spacing w:after="0"/>
        <w:tabs>
          <w:tab w:leader="none" w:pos="6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05" w:lineRule="exact"/>
        <w:rPr>
          <w:rFonts w:ascii="MS PGothic" w:cs="MS PGothic" w:eastAsia="MS PGothic" w:hAnsi="MS PGothic"/>
          <w:sz w:val="12"/>
          <w:szCs w:val="12"/>
          <w:color w:val="auto"/>
        </w:rPr>
      </w:pPr>
    </w:p>
    <w:p>
      <w:pPr>
        <w:ind w:left="600" w:hanging="361"/>
        <w:spacing w:after="0"/>
        <w:tabs>
          <w:tab w:leader="none" w:pos="6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05" w:lineRule="exact"/>
        <w:rPr>
          <w:rFonts w:ascii="MS PGothic" w:cs="MS PGothic" w:eastAsia="MS PGothic" w:hAnsi="MS PGothic"/>
          <w:sz w:val="12"/>
          <w:szCs w:val="12"/>
          <w:color w:val="auto"/>
        </w:rPr>
      </w:pPr>
    </w:p>
    <w:p>
      <w:pPr>
        <w:ind w:left="600" w:hanging="361"/>
        <w:spacing w:after="0"/>
        <w:tabs>
          <w:tab w:leader="none" w:pos="6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256"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46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Trading Symbol(s)</w:t>
            </w:r>
          </w:p>
        </w:tc>
        <w:tc>
          <w:tcPr>
            <w:tcW w:w="4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Name of each exchange on which registered</w:t>
            </w:r>
          </w:p>
        </w:tc>
      </w:tr>
      <w:tr>
        <w:trPr>
          <w:trHeight w:val="142"/>
        </w:trPr>
        <w:tc>
          <w:tcPr>
            <w:tcW w:w="4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7"/>
              </w:rPr>
              <w:t>None.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7"/>
              </w:rPr>
              <w:t>None.</w:t>
            </w:r>
          </w:p>
        </w:tc>
        <w:tc>
          <w:tcPr>
            <w:tcW w:w="4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3"/>
              </w:rPr>
              <w:t>None.</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both"/>
        <w:ind w:right="20"/>
        <w:spacing w:after="0" w:line="260"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7"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18" w:lineRule="exact"/>
        <w:rPr>
          <w:sz w:val="24"/>
          <w:szCs w:val="24"/>
          <w:color w:val="auto"/>
        </w:rPr>
      </w:pPr>
    </w:p>
    <w:p>
      <w:pPr>
        <w:jc w:val="both"/>
        <w:ind w:right="20"/>
        <w:spacing w:after="0" w:line="150"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107315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124460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spacing w:after="0"/>
        <w:tabs>
          <w:tab w:leader="none" w:pos="600" w:val="left"/>
        </w:tabs>
        <w:rPr>
          <w:sz w:val="20"/>
          <w:szCs w:val="20"/>
          <w:color w:val="auto"/>
        </w:rPr>
      </w:pPr>
      <w:r>
        <w:rPr>
          <w:rFonts w:ascii="Arial" w:cs="Arial" w:eastAsia="Arial" w:hAnsi="Arial"/>
          <w:sz w:val="12"/>
          <w:szCs w:val="12"/>
          <w:b w:val="1"/>
          <w:bCs w:val="1"/>
          <w:color w:val="auto"/>
        </w:rPr>
        <w:t>Item 2.02</w:t>
      </w:r>
      <w:r>
        <w:rPr>
          <w:sz w:val="20"/>
          <w:szCs w:val="20"/>
          <w:color w:val="auto"/>
        </w:rPr>
        <w:tab/>
      </w:r>
      <w:r>
        <w:rPr>
          <w:rFonts w:ascii="Arial" w:cs="Arial" w:eastAsia="Arial" w:hAnsi="Arial"/>
          <w:sz w:val="10"/>
          <w:szCs w:val="10"/>
          <w:b w:val="1"/>
          <w:bCs w:val="1"/>
          <w:color w:val="auto"/>
        </w:rPr>
        <w:t>Results of Operations and Financial Condition.</w:t>
      </w:r>
    </w:p>
    <w:p>
      <w:pPr>
        <w:spacing w:after="0" w:line="11" w:lineRule="exact"/>
        <w:rPr>
          <w:sz w:val="24"/>
          <w:szCs w:val="24"/>
          <w:color w:val="auto"/>
        </w:rPr>
      </w:pPr>
    </w:p>
    <w:p>
      <w:pPr>
        <w:jc w:val="both"/>
        <w:ind w:firstLine="432"/>
        <w:spacing w:after="0" w:line="243" w:lineRule="auto"/>
        <w:rPr>
          <w:sz w:val="20"/>
          <w:szCs w:val="20"/>
          <w:color w:val="auto"/>
        </w:rPr>
      </w:pPr>
      <w:r>
        <w:rPr>
          <w:rFonts w:ascii="Arial" w:cs="Arial" w:eastAsia="Arial" w:hAnsi="Arial"/>
          <w:sz w:val="12"/>
          <w:szCs w:val="12"/>
          <w:color w:val="auto"/>
        </w:rPr>
        <w:t>We are furnishing this Current Report on Form 8-K in connection with the disclosure of information, in the form of textual information from a media release issued on March 16, 2023. A copy of the media release is furnished as Exhibit 99.1 to this Current Report on Form 8-K.</w:t>
      </w:r>
    </w:p>
    <w:p>
      <w:pPr>
        <w:spacing w:after="0" w:line="301" w:lineRule="exact"/>
        <w:rPr>
          <w:sz w:val="24"/>
          <w:szCs w:val="24"/>
          <w:color w:val="auto"/>
        </w:rPr>
      </w:pPr>
    </w:p>
    <w:p>
      <w:pPr>
        <w:spacing w:after="0"/>
        <w:tabs>
          <w:tab w:leader="none" w:pos="600" w:val="left"/>
        </w:tabs>
        <w:rPr>
          <w:sz w:val="20"/>
          <w:szCs w:val="20"/>
          <w:color w:val="auto"/>
        </w:rPr>
      </w:pPr>
      <w:r>
        <w:rPr>
          <w:rFonts w:ascii="Arial" w:cs="Arial" w:eastAsia="Arial" w:hAnsi="Arial"/>
          <w:sz w:val="12"/>
          <w:szCs w:val="12"/>
          <w:b w:val="1"/>
          <w:bCs w:val="1"/>
          <w:color w:val="auto"/>
        </w:rPr>
        <w:t>Item 7.01</w:t>
      </w:r>
      <w:r>
        <w:rPr>
          <w:sz w:val="20"/>
          <w:szCs w:val="20"/>
          <w:color w:val="auto"/>
        </w:rPr>
        <w:tab/>
      </w:r>
      <w:r>
        <w:rPr>
          <w:rFonts w:ascii="Arial" w:cs="Arial" w:eastAsia="Arial" w:hAnsi="Arial"/>
          <w:sz w:val="10"/>
          <w:szCs w:val="10"/>
          <w:b w:val="1"/>
          <w:bCs w:val="1"/>
          <w:color w:val="auto"/>
        </w:rPr>
        <w:t>Regulation FD Disclosure.</w:t>
      </w:r>
    </w:p>
    <w:p>
      <w:pPr>
        <w:spacing w:after="0" w:line="163" w:lineRule="exact"/>
        <w:rPr>
          <w:sz w:val="24"/>
          <w:szCs w:val="24"/>
          <w:color w:val="auto"/>
        </w:rPr>
      </w:pPr>
    </w:p>
    <w:p>
      <w:pPr>
        <w:jc w:val="both"/>
        <w:ind w:firstLine="432"/>
        <w:spacing w:after="0" w:line="306" w:lineRule="auto"/>
        <w:rPr>
          <w:sz w:val="20"/>
          <w:szCs w:val="20"/>
          <w:color w:val="auto"/>
        </w:rPr>
      </w:pPr>
      <w:r>
        <w:rPr>
          <w:rFonts w:ascii="Arial" w:cs="Arial" w:eastAsia="Arial" w:hAnsi="Arial"/>
          <w:sz w:val="11"/>
          <w:szCs w:val="11"/>
          <w:color w:val="auto"/>
        </w:rPr>
        <w:t>We are furnishing this Item 7.01 of this Current Report on Form 8-K in connection with the disclosure of information, in the form of the textual information from a PowerPoint presentation to be given during a conference call and webcast on March 16, 2023 at 6:30 p.m. Eastern Time. A copy of the PowerPoint presentation to be used for the conference call and webcast is furnished as Exhibit 99.2 to this Current Report on Form 8-K.</w:t>
      </w:r>
    </w:p>
    <w:p>
      <w:pPr>
        <w:spacing w:after="0" w:line="109" w:lineRule="exact"/>
        <w:rPr>
          <w:sz w:val="24"/>
          <w:szCs w:val="24"/>
          <w:color w:val="auto"/>
        </w:rPr>
      </w:pPr>
    </w:p>
    <w:p>
      <w:pPr>
        <w:jc w:val="both"/>
        <w:ind w:firstLine="432"/>
        <w:spacing w:after="0" w:line="247" w:lineRule="auto"/>
        <w:rPr>
          <w:sz w:val="20"/>
          <w:szCs w:val="20"/>
          <w:color w:val="auto"/>
        </w:rPr>
      </w:pPr>
      <w:r>
        <w:rPr>
          <w:rFonts w:ascii="Arial" w:cs="Arial" w:eastAsia="Arial" w:hAnsi="Arial"/>
          <w:sz w:val="12"/>
          <w:szCs w:val="12"/>
          <w:color w:val="auto"/>
        </w:rPr>
        <w:t>The information in Item 2.02 (including Exhibit 99.1) and Item 7.01 (including Exhibit 99.2) of this Current Report on Form 8-K is furnished and shall not be deemed to be “filed” for the purpose of Section 18 of the Securities Exchange Act of 1934, as amended (the “Exchange Act”) or otherwise subject to the liabilities of that section, nor shall it be deemed incorporated by reference into any filing under the Securities Act of 1933, as amended, or the Exchange Act, except as shall be expressly set forth by specific reference in such a filing.</w:t>
      </w:r>
    </w:p>
    <w:p>
      <w:pPr>
        <w:spacing w:after="0" w:line="141" w:lineRule="exact"/>
        <w:rPr>
          <w:sz w:val="24"/>
          <w:szCs w:val="24"/>
          <w:color w:val="auto"/>
        </w:rPr>
      </w:pPr>
    </w:p>
    <w:p>
      <w:pPr>
        <w:jc w:val="both"/>
        <w:ind w:right="20" w:firstLine="432"/>
        <w:spacing w:after="0" w:line="260" w:lineRule="auto"/>
        <w:rPr>
          <w:sz w:val="20"/>
          <w:szCs w:val="20"/>
          <w:color w:val="auto"/>
        </w:rPr>
      </w:pPr>
      <w:r>
        <w:rPr>
          <w:rFonts w:ascii="Arial" w:cs="Arial" w:eastAsia="Arial" w:hAnsi="Arial"/>
          <w:sz w:val="12"/>
          <w:szCs w:val="12"/>
          <w:color w:val="auto"/>
        </w:rPr>
        <w:t>The text included with this Item 2.02 and Item 7.01 of this Current Report on Form 8-K and the replay of the conference call and webcast will be available on our website located at www.life360.com, although we reserve the right to discontinue that availability at any time.</w:t>
      </w:r>
    </w:p>
    <w:p>
      <w:pPr>
        <w:spacing w:after="0" w:line="93"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1" w:lineRule="exact"/>
        <w:rPr>
          <w:sz w:val="24"/>
          <w:szCs w:val="24"/>
          <w:color w:val="auto"/>
        </w:rPr>
      </w:pPr>
    </w:p>
    <w:p>
      <w:pPr>
        <w:spacing w:after="0"/>
        <w:rPr>
          <w:sz w:val="20"/>
          <w:szCs w:val="20"/>
          <w:color w:val="auto"/>
        </w:rPr>
      </w:pPr>
      <w:r>
        <w:rPr>
          <w:rFonts w:ascii="Arial" w:cs="Arial" w:eastAsia="Arial" w:hAnsi="Arial"/>
          <w:sz w:val="12"/>
          <w:szCs w:val="12"/>
          <w:i w:val="1"/>
          <w:iCs w:val="1"/>
          <w:color w:val="auto"/>
        </w:rPr>
        <w:t>(d) Exhibits</w:t>
      </w:r>
    </w:p>
    <w:p>
      <w:pPr>
        <w:spacing w:after="0" w:line="179" w:lineRule="exact"/>
        <w:rPr>
          <w:sz w:val="24"/>
          <w:szCs w:val="24"/>
          <w:color w:val="auto"/>
        </w:rPr>
      </w:pPr>
    </w:p>
    <w:tbl>
      <w:tblPr>
        <w:tblLayout w:type="fixed"/>
        <w:tblInd w:w="0" w:type="dxa"/>
        <w:tblCellMar>
          <w:top w:w="0" w:type="dxa"/>
          <w:left w:w="0" w:type="dxa"/>
          <w:bottom w:w="0" w:type="dxa"/>
          <w:right w:w="0" w:type="dxa"/>
        </w:tblCellMar>
      </w:tblPr>
      <w:tr>
        <w:trPr>
          <w:trHeight w:val="123"/>
        </w:trPr>
        <w:tc>
          <w:tcPr>
            <w:tcW w:w="1020" w:type="dxa"/>
            <w:vAlign w:val="bottom"/>
          </w:tcPr>
          <w:p>
            <w:pPr>
              <w:spacing w:after="0"/>
              <w:rPr>
                <w:sz w:val="20"/>
                <w:szCs w:val="20"/>
                <w:color w:val="auto"/>
              </w:rPr>
            </w:pPr>
            <w:r>
              <w:rPr>
                <w:rFonts w:ascii="Arial" w:cs="Arial" w:eastAsia="Arial" w:hAnsi="Arial"/>
                <w:sz w:val="10"/>
                <w:szCs w:val="10"/>
                <w:b w:val="1"/>
                <w:bCs w:val="1"/>
                <w:color w:val="auto"/>
              </w:rPr>
              <w:t>Exhibit No.</w:t>
            </w:r>
          </w:p>
        </w:tc>
        <w:tc>
          <w:tcPr>
            <w:tcW w:w="2600" w:type="dxa"/>
            <w:vAlign w:val="bottom"/>
            <w:gridSpan w:val="2"/>
          </w:tcPr>
          <w:p>
            <w:pPr>
              <w:ind w:left="20"/>
              <w:spacing w:after="0"/>
              <w:rPr>
                <w:sz w:val="20"/>
                <w:szCs w:val="20"/>
                <w:color w:val="auto"/>
              </w:rPr>
            </w:pPr>
            <w:r>
              <w:rPr>
                <w:rFonts w:ascii="Arial" w:cs="Arial" w:eastAsia="Arial" w:hAnsi="Arial"/>
                <w:sz w:val="10"/>
                <w:szCs w:val="10"/>
                <w:b w:val="1"/>
                <w:bCs w:val="1"/>
                <w:color w:val="auto"/>
              </w:rPr>
              <w:t>Description</w:t>
            </w:r>
          </w:p>
        </w:tc>
      </w:tr>
      <w:tr>
        <w:trPr>
          <w:trHeight w:val="206"/>
        </w:trPr>
        <w:tc>
          <w:tcPr>
            <w:tcW w:w="1020" w:type="dxa"/>
            <w:vAlign w:val="bottom"/>
          </w:tcPr>
          <w:p>
            <w:pPr>
              <w:spacing w:after="0"/>
              <w:rPr>
                <w:sz w:val="20"/>
                <w:szCs w:val="20"/>
                <w:color w:val="auto"/>
              </w:rPr>
            </w:pPr>
            <w:r>
              <w:rPr>
                <w:rFonts w:ascii="Arial" w:cs="Arial" w:eastAsia="Arial" w:hAnsi="Arial"/>
                <w:sz w:val="12"/>
                <w:szCs w:val="12"/>
                <w:color w:val="auto"/>
              </w:rPr>
              <w:t>99.1</w:t>
            </w:r>
          </w:p>
        </w:tc>
        <w:tc>
          <w:tcPr>
            <w:tcW w:w="2600" w:type="dxa"/>
            <w:vAlign w:val="bottom"/>
            <w:tcBorders>
              <w:bottom w:val="single" w:sz="8" w:color="0000FF"/>
            </w:tcBorders>
            <w:gridSpan w:val="2"/>
          </w:tcPr>
          <w:p>
            <w:pPr>
              <w:ind w:left="20"/>
              <w:spacing w:after="0"/>
              <w:rPr>
                <w:sz w:val="20"/>
                <w:szCs w:val="20"/>
                <w:color w:val="auto"/>
              </w:rPr>
            </w:pPr>
            <w:r>
              <w:rPr>
                <w:rFonts w:ascii="Arial" w:cs="Arial" w:eastAsia="Arial" w:hAnsi="Arial"/>
                <w:sz w:val="12"/>
                <w:szCs w:val="12"/>
                <w:color w:val="0000FF"/>
                <w:w w:val="89"/>
              </w:rPr>
              <w:t>Media release of the Registrant dated March 16, 2023</w:t>
            </w:r>
          </w:p>
        </w:tc>
      </w:tr>
      <w:tr>
        <w:trPr>
          <w:trHeight w:val="169"/>
        </w:trPr>
        <w:tc>
          <w:tcPr>
            <w:tcW w:w="1020" w:type="dxa"/>
            <w:vAlign w:val="bottom"/>
          </w:tcPr>
          <w:p>
            <w:pPr>
              <w:spacing w:after="0"/>
              <w:rPr>
                <w:sz w:val="20"/>
                <w:szCs w:val="20"/>
                <w:color w:val="auto"/>
              </w:rPr>
            </w:pPr>
            <w:r>
              <w:rPr>
                <w:rFonts w:ascii="Arial" w:cs="Arial" w:eastAsia="Arial" w:hAnsi="Arial"/>
                <w:sz w:val="12"/>
                <w:szCs w:val="12"/>
                <w:color w:val="auto"/>
              </w:rPr>
              <w:t>99.2</w:t>
            </w:r>
          </w:p>
        </w:tc>
        <w:tc>
          <w:tcPr>
            <w:tcW w:w="1680" w:type="dxa"/>
            <w:vAlign w:val="bottom"/>
            <w:tcBorders>
              <w:bottom w:val="single" w:sz="8" w:color="0000FF"/>
            </w:tcBorders>
          </w:tcPr>
          <w:p>
            <w:pPr>
              <w:ind w:left="20"/>
              <w:spacing w:after="0"/>
              <w:rPr>
                <w:sz w:val="20"/>
                <w:szCs w:val="20"/>
                <w:color w:val="auto"/>
              </w:rPr>
            </w:pPr>
            <w:r>
              <w:rPr>
                <w:rFonts w:ascii="Arial" w:cs="Arial" w:eastAsia="Arial" w:hAnsi="Arial"/>
                <w:sz w:val="12"/>
                <w:szCs w:val="12"/>
                <w:color w:val="0000FF"/>
                <w:w w:val="90"/>
              </w:rPr>
              <w:t>Life360, Inc. Investor Presentation</w:t>
            </w:r>
          </w:p>
        </w:tc>
        <w:tc>
          <w:tcPr>
            <w:tcW w:w="920" w:type="dxa"/>
            <w:vAlign w:val="bottom"/>
          </w:tcPr>
          <w:p>
            <w:pPr>
              <w:spacing w:after="0"/>
              <w:rPr>
                <w:sz w:val="14"/>
                <w:szCs w:val="14"/>
                <w:color w:val="auto"/>
              </w:rPr>
            </w:pPr>
          </w:p>
        </w:tc>
      </w:tr>
    </w:tbl>
    <w:p>
      <w:pPr>
        <w:spacing w:after="0" w:line="200" w:lineRule="exact"/>
        <w:rPr>
          <w:sz w:val="24"/>
          <w:szCs w:val="24"/>
          <w:color w:val="auto"/>
        </w:rPr>
      </w:pPr>
    </w:p>
    <w:p>
      <w:pPr>
        <w:spacing w:after="0" w:line="327" w:lineRule="exact"/>
        <w:rPr>
          <w:sz w:val="24"/>
          <w:szCs w:val="24"/>
          <w:color w:val="auto"/>
        </w:rPr>
      </w:pPr>
    </w:p>
    <w:p>
      <w:pPr>
        <w:ind w:left="5260"/>
        <w:spacing w:after="0"/>
        <w:rPr>
          <w:sz w:val="20"/>
          <w:szCs w:val="20"/>
          <w:color w:val="auto"/>
        </w:rPr>
      </w:pPr>
      <w:r>
        <w:rPr>
          <w:rFonts w:ascii="Arial" w:cs="Arial" w:eastAsia="Arial" w:hAnsi="Arial"/>
          <w:sz w:val="12"/>
          <w:szCs w:val="12"/>
          <w:b w:val="1"/>
          <w:bCs w:val="1"/>
          <w:color w:val="auto"/>
        </w:rPr>
        <w:t>SIGNATURES</w:t>
      </w:r>
    </w:p>
    <w:p>
      <w:pPr>
        <w:spacing w:after="0" w:line="19" w:lineRule="exact"/>
        <w:rPr>
          <w:sz w:val="24"/>
          <w:szCs w:val="24"/>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1300"/>
          </w:cols>
          <w:pgMar w:left="300" w:top="940" w:right="299" w:bottom="1065"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7"/>
        </w:trPr>
        <w:tc>
          <w:tcPr>
            <w:tcW w:w="64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7820" w:type="dxa"/>
            <w:vAlign w:val="bottom"/>
            <w:gridSpan w:val="2"/>
          </w:tcPr>
          <w:p>
            <w:pPr>
              <w:ind w:left="1740"/>
              <w:spacing w:after="0"/>
              <w:rPr>
                <w:sz w:val="20"/>
                <w:szCs w:val="20"/>
                <w:color w:val="auto"/>
              </w:rPr>
            </w:pPr>
            <w:r>
              <w:rPr>
                <w:rFonts w:ascii="Arial" w:cs="Arial" w:eastAsia="Arial" w:hAnsi="Arial"/>
                <w:sz w:val="12"/>
                <w:szCs w:val="12"/>
                <w:b w:val="1"/>
                <w:bCs w:val="1"/>
                <w:color w:val="auto"/>
              </w:rPr>
              <w:t>LIFE360, INC.</w:t>
            </w:r>
          </w:p>
        </w:tc>
      </w:tr>
      <w:tr>
        <w:trPr>
          <w:trHeight w:val="324"/>
        </w:trPr>
        <w:tc>
          <w:tcPr>
            <w:tcW w:w="640" w:type="dxa"/>
            <w:vAlign w:val="bottom"/>
          </w:tcPr>
          <w:p>
            <w:pPr>
              <w:spacing w:after="0"/>
              <w:rPr>
                <w:sz w:val="20"/>
                <w:szCs w:val="20"/>
                <w:color w:val="auto"/>
              </w:rPr>
            </w:pPr>
            <w:r>
              <w:rPr>
                <w:rFonts w:ascii="Arial" w:cs="Arial" w:eastAsia="Arial" w:hAnsi="Arial"/>
                <w:sz w:val="12"/>
                <w:szCs w:val="12"/>
                <w:color w:val="auto"/>
              </w:rPr>
              <w:t>Dated:</w:t>
            </w:r>
          </w:p>
        </w:tc>
        <w:tc>
          <w:tcPr>
            <w:tcW w:w="2840" w:type="dxa"/>
            <w:vAlign w:val="bottom"/>
          </w:tcPr>
          <w:p>
            <w:pPr>
              <w:ind w:left="320"/>
              <w:spacing w:after="0"/>
              <w:rPr>
                <w:sz w:val="20"/>
                <w:szCs w:val="20"/>
                <w:color w:val="auto"/>
              </w:rPr>
            </w:pPr>
            <w:r>
              <w:rPr>
                <w:rFonts w:ascii="Arial" w:cs="Arial" w:eastAsia="Arial" w:hAnsi="Arial"/>
                <w:sz w:val="12"/>
                <w:szCs w:val="12"/>
                <w:color w:val="auto"/>
              </w:rPr>
              <w:t>March 16, 2023</w:t>
            </w:r>
          </w:p>
        </w:tc>
        <w:tc>
          <w:tcPr>
            <w:tcW w:w="2280" w:type="dxa"/>
            <w:vAlign w:val="bottom"/>
          </w:tcPr>
          <w:p>
            <w:pPr>
              <w:ind w:left="1740"/>
              <w:spacing w:after="0"/>
              <w:rPr>
                <w:sz w:val="20"/>
                <w:szCs w:val="20"/>
                <w:color w:val="auto"/>
              </w:rPr>
            </w:pPr>
            <w:r>
              <w:rPr>
                <w:rFonts w:ascii="Arial" w:cs="Arial" w:eastAsia="Arial" w:hAnsi="Arial"/>
                <w:sz w:val="12"/>
                <w:szCs w:val="12"/>
                <w:color w:val="auto"/>
              </w:rPr>
              <w:t>By:</w:t>
            </w:r>
          </w:p>
        </w:tc>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Russell Burke</w:t>
            </w:r>
          </w:p>
        </w:tc>
      </w:tr>
      <w:tr>
        <w:trPr>
          <w:trHeight w:val="142"/>
        </w:trPr>
        <w:tc>
          <w:tcPr>
            <w:tcW w:w="6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5540" w:type="dxa"/>
            <w:vAlign w:val="bottom"/>
          </w:tcPr>
          <w:p>
            <w:pPr>
              <w:ind w:left="20"/>
              <w:spacing w:after="0"/>
              <w:rPr>
                <w:sz w:val="20"/>
                <w:szCs w:val="20"/>
                <w:color w:val="auto"/>
              </w:rPr>
            </w:pPr>
            <w:r>
              <w:rPr>
                <w:rFonts w:ascii="Arial" w:cs="Arial" w:eastAsia="Arial" w:hAnsi="Arial"/>
                <w:sz w:val="12"/>
                <w:szCs w:val="12"/>
                <w:color w:val="auto"/>
              </w:rPr>
              <w:t>Russell Burke</w:t>
            </w:r>
          </w:p>
        </w:tc>
      </w:tr>
    </w:tbl>
    <w:p>
      <w:pPr>
        <w:spacing w:after="0" w:line="63" w:lineRule="exact"/>
        <w:rPr>
          <w:sz w:val="20"/>
          <w:szCs w:val="20"/>
          <w:color w:val="auto"/>
        </w:rPr>
      </w:pPr>
    </w:p>
    <w:p>
      <w:pPr>
        <w:ind w:left="5780"/>
        <w:spacing w:after="0"/>
        <w:rPr>
          <w:sz w:val="20"/>
          <w:szCs w:val="20"/>
          <w:color w:val="auto"/>
        </w:rPr>
      </w:pPr>
      <w:r>
        <w:rPr>
          <w:rFonts w:ascii="Arial" w:cs="Arial" w:eastAsia="Arial" w:hAnsi="Arial"/>
          <w:sz w:val="12"/>
          <w:szCs w:val="12"/>
          <w:color w:val="auto"/>
        </w:rPr>
        <w:t>Chief Financial Officer</w:t>
      </w:r>
    </w:p>
    <w:p>
      <w:pPr>
        <w:sectPr>
          <w:pgSz w:w="11900" w:h="16838" w:orient="portrait"/>
          <w:cols w:equalWidth="0" w:num="1">
            <w:col w:w="11300"/>
          </w:cols>
          <w:pgMar w:left="300" w:top="298" w:right="29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271780</wp:posOffset>
            </wp:positionV>
            <wp:extent cx="5516245" cy="79241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16245" cy="7924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24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16245"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90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1624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90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1624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90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1624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24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16245"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24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16245"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90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1624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3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16245"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90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1624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90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1624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24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16245"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24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16245"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1061720</wp:posOffset>
            </wp:positionH>
            <wp:positionV relativeFrom="page">
              <wp:posOffset>374650</wp:posOffset>
            </wp:positionV>
            <wp:extent cx="5516245" cy="79190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16245"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3985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3754755</wp:posOffset>
            </wp:positionV>
            <wp:extent cx="7130415" cy="18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3760470</wp:posOffset>
            </wp:positionV>
            <wp:extent cx="7130415" cy="18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3754755</wp:posOffset>
            </wp:positionV>
            <wp:extent cx="7130415" cy="18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2023-03-16T15:17:51Z</dcterms:created>
  <dcterms:modified xsi:type="dcterms:W3CDTF">2023-03-16T15:17:51Z</dcterms:modified>
</cp:coreProperties>
</file>