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03/25/2026</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24,265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312,497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4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("PRSUs") granted to the Reporting Person on April 9, 2025. In light of the performance-based vesting condition, this grant was not reportable under Section 16 until the performance metric was satisfied. On March 25, 2026, it was determined that the performance metric had been met. Each PRSU represents a contingent right to receive one share of the Issuer's common stock upon settlement. 25% of the PRSUs vested on January 1, 2026 with the remaining 75% converting to time-based RSUs and vesting in twelve equal quarterly installments thereafter, subject to the Reporting Person's continuous service through each vest dat</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167,632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03/27/2026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2026-03-27T17:52:33Z</dcterms:created>
  <dcterms:modified xsi:type="dcterms:W3CDTF">2026-03-27T17:52:33Z</dcterms:modified>
</cp:coreProperties>
</file>