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Life360,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LIF</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7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8"/>
                <w:szCs w:val="18"/>
                <w:color w:val="auto"/>
              </w:rPr>
            </w:pPr>
          </w:p>
        </w:tc>
        <w:tc>
          <w:tcPr>
            <w:tcW w:w="1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04/14/2025</w:t>
            </w: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7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3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7"/>
                <w:szCs w:val="17"/>
                <w:color w:val="0000FF"/>
              </w:rPr>
              <w:t>04/15/2025</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4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94403</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04/14/2025</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30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3.58</w:t>
            </w:r>
          </w:p>
        </w:tc>
        <w:tc>
          <w:tcPr>
            <w:tcW w:w="128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218,395</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3.58</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04/14/2025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05/19/2030</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68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450,514</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131,408 RSUs previously granted,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and becomes exercisable as to 1/48th of the total number of shares in equal monthly installments beginning on June 19, 2020, until such time as the option is 100% vested, subject to the continuing employment of the Reporting Person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13"/>
          <w:szCs w:val="13"/>
          <w:color w:val="008000"/>
        </w:rPr>
        <w:t>This Form 4/A is being filed to correct a clerical error in the original Form 4 filed on April 15, 2025. The original filing incorrectly reported the exercise of 20,000 stock options and the resulting amounts of securities beneficially owned by the Reporting Person in Table I, column 5 and Table II, column 9. This amendment reflects the correct number of options exercised and the resulting amounts of securities beneficially owned by the Reporting Person. All other information in the original filing remains unchanged.</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Allison Chang, Attorney-in-  </w:t>
      </w:r>
      <w:r>
        <w:rPr>
          <w:rFonts w:ascii="Times New Roman" w:cs="Times New Roman" w:eastAsia="Times New Roman" w:hAnsi="Times New Roman"/>
          <w:sz w:val="32"/>
          <w:szCs w:val="32"/>
          <w:color w:val="0000FF"/>
          <w:vertAlign w:val="subscript"/>
        </w:rPr>
        <w:t>04/16/2025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30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2025-04-16T20:49:48Z</dcterms:created>
  <dcterms:modified xsi:type="dcterms:W3CDTF">2025-04-16T20:49:48Z</dcterms:modified>
</cp:coreProperties>
</file>