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05/01/2025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3,125</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43.3</w:t>
            </w:r>
            <w:r>
              <w:rPr>
                <w:rFonts w:ascii="Times New Roman" w:cs="Times New Roman" w:eastAsia="Times New Roman" w:hAnsi="Times New Roman"/>
                <w:sz w:val="22"/>
                <w:szCs w:val="22"/>
                <w:color w:val="008000"/>
                <w:vertAlign w:val="superscript"/>
              </w:rPr>
              <w:t>(2)</w:t>
            </w:r>
          </w:p>
        </w:tc>
        <w:tc>
          <w:tcPr>
            <w:tcW w:w="1140" w:type="dxa"/>
            <w:vAlign w:val="bottom"/>
          </w:tcPr>
          <w:p>
            <w:pPr>
              <w:ind w:left="260"/>
              <w:spacing w:after="0" w:line="213" w:lineRule="exact"/>
              <w:rPr>
                <w:sz w:val="20"/>
                <w:szCs w:val="20"/>
                <w:color w:val="auto"/>
              </w:rPr>
            </w:pPr>
            <w:r>
              <w:rPr>
                <w:rFonts w:ascii="Times New Roman" w:cs="Times New Roman" w:eastAsia="Times New Roman" w:hAnsi="Times New Roman"/>
                <w:sz w:val="17"/>
                <w:szCs w:val="17"/>
                <w:color w:val="0000FF"/>
              </w:rPr>
              <w:t>32,903</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Held by</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The</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John</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Philip</w:t>
      </w:r>
    </w:p>
    <w:p>
      <w:pPr>
        <w:spacing w:after="0" w:line="18" w:lineRule="exact"/>
        <w:rPr>
          <w:sz w:val="20"/>
          <w:szCs w:val="20"/>
          <w:color w:val="auto"/>
        </w:rPr>
      </w:pPr>
    </w:p>
    <w:p>
      <w:pPr>
        <w:ind w:left="8460" w:right="220" w:hanging="10180"/>
        <w:spacing w:after="0"/>
        <w:tabs>
          <w:tab w:leader="none" w:pos="844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 xml:space="preserve">64,834 I </w:t>
      </w:r>
      <w:r>
        <w:rPr>
          <w:rFonts w:ascii="Times New Roman" w:cs="Times New Roman" w:eastAsia="Times New Roman" w:hAnsi="Times New Roman"/>
          <w:sz w:val="34"/>
          <w:szCs w:val="34"/>
          <w:color w:val="0000FF"/>
          <w:vertAlign w:val="superscript"/>
        </w:rPr>
        <w:t>Coghlan</w:t>
      </w:r>
      <w:r>
        <w:rPr>
          <w:rFonts w:ascii="Times New Roman" w:cs="Times New Roman" w:eastAsia="Times New Roman" w:hAnsi="Times New Roman"/>
          <w:sz w:val="17"/>
          <w:szCs w:val="17"/>
          <w:color w:val="0000FF"/>
        </w:rPr>
        <w:t xml:space="preserve"> 2024</w:t>
      </w:r>
    </w:p>
    <w:p>
      <w:pPr>
        <w:spacing w:after="0" w:line="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34"/>
                <w:szCs w:val="34"/>
                <w:color w:val="0000FF"/>
                <w:vertAlign w:val="subscript"/>
              </w:rPr>
              <w:t>1,742</w:t>
            </w:r>
            <w:r>
              <w:rPr>
                <w:rFonts w:ascii="Times New Roman" w:cs="Times New Roman" w:eastAsia="Times New Roman" w:hAnsi="Times New Roman"/>
                <w:sz w:val="11"/>
                <w:szCs w:val="11"/>
                <w:color w:val="008000"/>
              </w:rPr>
              <w:t>(4)(5)</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$43.00 to $43.56,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1,742 directly held shares to the John Coghlan Living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1,742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amount of shares held by the Reporting Person after giving effect to the transaction detailed in Footnote 3 of this Form 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05/05/2025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2025-05-05T16:27:09Z</dcterms:created>
  <dcterms:modified xsi:type="dcterms:W3CDTF">2025-05-05T16:27:09Z</dcterms:modified>
</cp:coreProperties>
</file>