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87,230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1,357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1/2 of the total number of shares on April 1, 2024 and thereafter vests and becomes exercisable as to 1/24th of the total number of shares in equal monthly installments,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0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terms for the stock option reported herein were inadvertently misreported on the Reporting Person's initial Form 3 filed on June 27, 2022, Form 3/A filed on June 29, 2022, and subsequent Forms 4 reporting transactions in the stock option, and have been corrected as of this Form 4.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12/17/2025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2025-12-17T17:13:14Z</dcterms:created>
  <dcterms:modified xsi:type="dcterms:W3CDTF">2025-12-17T17:13:14Z</dcterms:modified>
</cp:coreProperties>
</file>