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Antonoff Lauren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06/20/2024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57,806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31.25</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338,501</w:t>
            </w:r>
            <w:r>
              <w:rPr>
                <w:rFonts w:ascii="Times New Roman" w:cs="Times New Roman" w:eastAsia="Times New Roman" w:hAnsi="Times New Roman"/>
                <w:sz w:val="22"/>
                <w:szCs w:val="22"/>
                <w:color w:val="008000"/>
                <w:vertAlign w:val="superscript"/>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275,792 RSUs previously granted, each of which represents a contingent right to receive one share of the Issuer's common stock upon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42029"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2024-06-24T14:55:43Z</dcterms:created>
  <dcterms:modified xsi:type="dcterms:W3CDTF">2024-06-24T14:55:43Z</dcterms:modified>
</cp:coreProperties>
</file>