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2,810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244,754</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3,966</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2025,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4,309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number of common stock underlying CDIs as converted on a 1:3 common stock to CDI ratio.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8,219 shares of the Issuer's common stock. The number of shares held as reported herein represents Carthona Capital's proportionate ownership interest in ICCA Labs, LLC.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2025-06-02T19:53:19Z</dcterms:created>
  <dcterms:modified xsi:type="dcterms:W3CDTF">2025-06-02T19:53:19Z</dcterms:modified>
</cp:coreProperties>
</file>