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7,942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134,810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2,714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1/2 of the total number of shares on April 12, 2024 and thereafter vests and becomes exercisable as to 1/48th of the total number of shares in equal monthly installments,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2025-06-17T16:57:42Z</dcterms:created>
  <dcterms:modified xsi:type="dcterms:W3CDTF">2025-06-17T16:57:42Z</dcterms:modified>
</cp:coreProperties>
</file>