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103,090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2,036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1/2 of the total number of shares on April 12, 2024 and thereafter vests and becomes exercisable as to 1/48th of the total number of shares in equal monthly installments,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10/15/2025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2025-10-15T17:51:04Z</dcterms:created>
  <dcterms:modified xsi:type="dcterms:W3CDTF">2025-10-15T17:51:04Z</dcterms:modified>
</cp:coreProperties>
</file>