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0188829.xml.htm"/>
      <w:bookmarkStart w:id="1" w:name="kswkform4_17101888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Hulls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Life360, Inc.</w:t>
              </w:r>
            </w:hyperlink>
            <w:r>
              <w:rPr/>
              <w:t xml:space="preserve"> [ </w:t>
            </w:r>
            <w:r>
              <w:rPr>
                <w:rFonts w:ascii="Times;serif" w:hAnsi="Times;serif"/>
                <w:color w:val="0000FF"/>
                <w:sz w:val="24"/>
                <w:shd w:fill="FFFFFF" w:val="clear"/>
              </w:rPr>
              <w:t>NONE</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752"/>
        <w:gridCol w:w="131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2,849</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23.01</w:t>
            </w:r>
            <w:r>
              <w:rPr/>
              <w:t xml:space="preserve"> </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2,167,992</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29,960</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ICCA Labs, LLC</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1,171,291 shares of the Issuer's common stock underlying 3,513,874 Chess Depositary Interests ("CDIs"). The CDIs are traded on the Australian Securities Exchange (the "ASX") and are held by CHESS Depositary Nominees Pty, Limited, a subsidiary of ASX Limited, the company that operates the ASX. Also includes 45,669 restricted stock units,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the Issuer's common stock underlying 89,880 CDIs.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32498" TargetMode="External"/><Relationship Id="rId4" Type="http://schemas.openxmlformats.org/officeDocument/2006/relationships/hyperlink" Target="http://www.sec.gov/cgi-bin/browse-edgar?action=getcompany&amp;CIK=00015817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747</Words>
  <Characters>4063</Characters>
  <CharactersWithSpaces>4743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