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960"/>
        <w:spacing w:after="0"/>
        <w:rPr>
          <w:sz w:val="20"/>
          <w:szCs w:val="20"/>
          <w:color w:val="auto"/>
        </w:rPr>
      </w:pPr>
      <w:r>
        <w:rPr>
          <w:rFonts w:ascii="Times New Roman" w:cs="Times New Roman" w:eastAsia="Times New Roman" w:hAnsi="Times New Roman"/>
          <w:sz w:val="19"/>
          <w:szCs w:val="19"/>
          <w:color w:val="auto"/>
        </w:rPr>
        <w:t>______________</w:t>
      </w: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32" w:lineRule="exact"/>
        <w:rPr>
          <w:sz w:val="24"/>
          <w:szCs w:val="24"/>
          <w:color w:val="auto"/>
        </w:rPr>
      </w:pPr>
    </w:p>
    <w:p>
      <w:pPr>
        <w:ind w:left="4040" w:right="1540" w:hanging="4014"/>
        <w:spacing w:after="0" w:line="349" w:lineRule="auto"/>
        <w:tabs>
          <w:tab w:leader="none" w:pos="544"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6" w:lineRule="exact"/>
        <w:rPr>
          <w:sz w:val="24"/>
          <w:szCs w:val="24"/>
          <w:color w:val="auto"/>
        </w:rPr>
      </w:pPr>
    </w:p>
    <w:p>
      <w:pPr>
        <w:ind w:left="3640" w:right="1600" w:hanging="3614"/>
        <w:spacing w:after="0" w:line="552" w:lineRule="auto"/>
        <w:tabs>
          <w:tab w:leader="none" w:pos="47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000-56424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Life360,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1380" w:type="dxa"/>
        <w:tblCellMar>
          <w:top w:w="0" w:type="dxa"/>
          <w:left w:w="0" w:type="dxa"/>
          <w:bottom w:w="0" w:type="dxa"/>
          <w:right w:w="0" w:type="dxa"/>
        </w:tblCellMar>
      </w:tblPr>
      <w:tr>
        <w:trPr>
          <w:trHeight w:val="252"/>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26-0197666</w:t>
            </w:r>
          </w:p>
        </w:tc>
      </w:tr>
      <w:tr>
        <w:trPr>
          <w:trHeight w:val="252"/>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18"/>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1900 South Norfolk Street, Suite 310</w:t>
            </w:r>
          </w:p>
        </w:tc>
        <w:tc>
          <w:tcPr>
            <w:tcW w:w="3100" w:type="dxa"/>
            <w:vAlign w:val="bottom"/>
          </w:tcPr>
          <w:p>
            <w:pPr>
              <w:spacing w:after="0"/>
              <w:rPr>
                <w:sz w:val="24"/>
                <w:szCs w:val="24"/>
                <w:color w:val="auto"/>
              </w:rPr>
            </w:pPr>
          </w:p>
        </w:tc>
      </w:tr>
      <w:tr>
        <w:trPr>
          <w:trHeight w:val="260"/>
        </w:trPr>
        <w:tc>
          <w:tcPr>
            <w:tcW w:w="46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San Mateo, CA</w:t>
            </w:r>
          </w:p>
        </w:tc>
        <w:tc>
          <w:tcPr>
            <w:tcW w:w="3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94403</w:t>
            </w:r>
          </w:p>
        </w:tc>
      </w:tr>
      <w:tr>
        <w:trPr>
          <w:trHeight w:val="248"/>
        </w:trPr>
        <w:tc>
          <w:tcPr>
            <w:tcW w:w="4620" w:type="dxa"/>
            <w:vAlign w:val="bottom"/>
          </w:tcPr>
          <w:p>
            <w:pPr>
              <w:jc w:val="center"/>
              <w:ind w:right="16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w:t>
      </w:r>
      <w:r>
        <w:rPr>
          <w:rFonts w:ascii="Times New Roman" w:cs="Times New Roman" w:eastAsia="Times New Roman" w:hAnsi="Times New Roman"/>
          <w:sz w:val="18"/>
          <w:szCs w:val="18"/>
          <w:color w:val="auto"/>
        </w:rPr>
        <w:t>415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484-5244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 as amended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None.</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5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4"/>
          <w:szCs w:val="24"/>
          <w:color w:val="auto"/>
        </w:rPr>
      </w:pPr>
    </w:p>
    <w:tbl>
      <w:tblPr>
        <w:tblLayout w:type="fixed"/>
        <w:tblInd w:w="1400" w:type="dxa"/>
        <w:tblCellMar>
          <w:top w:w="0" w:type="dxa"/>
          <w:left w:w="0" w:type="dxa"/>
          <w:bottom w:w="0" w:type="dxa"/>
          <w:right w:w="0" w:type="dxa"/>
        </w:tblCellMar>
      </w:tblP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20" w:type="dxa"/>
            <w:vAlign w:val="bottom"/>
          </w:tcPr>
          <w:p>
            <w:pPr>
              <w:ind w:left="480"/>
              <w:spacing w:after="0"/>
              <w:rPr>
                <w:sz w:val="20"/>
                <w:szCs w:val="20"/>
                <w:color w:val="auto"/>
              </w:rPr>
            </w:pPr>
            <w:r>
              <w:rPr>
                <w:rFonts w:ascii="Wingdings" w:cs="Wingdings" w:eastAsia="Wingdings" w:hAnsi="Wingdings"/>
                <w:sz w:val="18"/>
                <w:szCs w:val="18"/>
                <w:b w:val="1"/>
                <w:bCs w:val="1"/>
                <w:color w:val="auto"/>
              </w:rPr>
              <w:t>x</w:t>
            </w:r>
          </w:p>
        </w:tc>
        <w:tc>
          <w:tcPr>
            <w:tcW w:w="35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rPr>
                <w:sz w:val="20"/>
                <w:szCs w:val="20"/>
                <w:color w:val="auto"/>
              </w:rPr>
            </w:pPr>
            <w:r>
              <w:rPr>
                <w:rFonts w:ascii="Wingdings" w:cs="Wingdings" w:eastAsia="Wingdings" w:hAnsi="Wingdings"/>
                <w:sz w:val="18"/>
                <w:szCs w:val="18"/>
                <w:b w:val="1"/>
                <w:bCs w:val="1"/>
                <w:color w:val="auto"/>
                <w:w w:val="86"/>
              </w:rPr>
              <w:t>o</w:t>
            </w:r>
          </w:p>
        </w:tc>
      </w:t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20" w:type="dxa"/>
            <w:vAlign w:val="bottom"/>
          </w:tcPr>
          <w:p>
            <w:pPr>
              <w:ind w:left="480"/>
              <w:spacing w:after="0"/>
              <w:rPr>
                <w:sz w:val="20"/>
                <w:szCs w:val="20"/>
                <w:color w:val="auto"/>
              </w:rPr>
            </w:pPr>
            <w:r>
              <w:rPr>
                <w:rFonts w:ascii="Wingdings" w:cs="Wingdings" w:eastAsia="Wingdings" w:hAnsi="Wingdings"/>
                <w:sz w:val="18"/>
                <w:szCs w:val="18"/>
                <w:b w:val="1"/>
                <w:bCs w:val="1"/>
                <w:color w:val="auto"/>
              </w:rPr>
              <w:t>o</w:t>
            </w:r>
          </w:p>
        </w:tc>
        <w:tc>
          <w:tcPr>
            <w:tcW w:w="35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rPr>
                <w:sz w:val="20"/>
                <w:szCs w:val="20"/>
                <w:color w:val="auto"/>
              </w:rPr>
            </w:pPr>
            <w:r>
              <w:rPr>
                <w:rFonts w:ascii="Wingdings" w:cs="Wingdings" w:eastAsia="Wingdings" w:hAnsi="Wingdings"/>
                <w:sz w:val="18"/>
                <w:szCs w:val="18"/>
                <w:b w:val="1"/>
                <w:bCs w:val="1"/>
                <w:color w:val="auto"/>
                <w:w w:val="86"/>
              </w:rPr>
              <w:t>o</w:t>
            </w: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720" w:type="dxa"/>
            <w:vAlign w:val="bottom"/>
          </w:tcPr>
          <w:p>
            <w:pPr>
              <w:ind w:left="480"/>
              <w:spacing w:after="0"/>
              <w:rPr>
                <w:sz w:val="20"/>
                <w:szCs w:val="20"/>
                <w:color w:val="auto"/>
              </w:rPr>
            </w:pPr>
            <w:r>
              <w:rPr>
                <w:rFonts w:ascii="Wingdings" w:cs="Wingdings" w:eastAsia="Wingdings" w:hAnsi="Wingdings"/>
                <w:sz w:val="18"/>
                <w:szCs w:val="18"/>
                <w:b w:val="1"/>
                <w:bCs w:val="1"/>
                <w:color w:val="auto"/>
              </w:rPr>
              <w:t>o</w:t>
            </w:r>
          </w:p>
        </w:tc>
        <w:tc>
          <w:tcPr>
            <w:tcW w:w="352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spacing w:after="0"/>
        <w:tabs>
          <w:tab w:leader="none" w:pos="8380" w:val="left"/>
          <w:tab w:leader="none" w:pos="91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May 3, 2024, the registrant had 69,625,755 shares of common stock, par value $0.001 per share, including shares underlying all issued and outstanding Chess Depositary Interests (“CDIs”), outstanding.</w:t>
      </w:r>
    </w:p>
    <w:p>
      <w:pPr>
        <w:sectPr>
          <w:pgSz w:w="11900" w:h="16838" w:orient="portrait"/>
          <w:cols w:equalWidth="0" w:num="1">
            <w:col w:w="11240"/>
          </w:cols>
          <w:pgMar w:left="320" w:top="1334" w:right="339" w:bottom="0" w:gutter="0" w:footer="0" w:header="0"/>
        </w:sectPr>
      </w:pPr>
    </w:p>
    <w:bookmarkStart w:id="1" w:name="page2"/>
    <w:bookmarkEnd w:id="1"/>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Life360, Inc.</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 for the Quarter Ended March 31, 2024</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2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300" w:type="dxa"/>
            <w:vAlign w:val="bottom"/>
            <w:gridSpan w:val="13"/>
          </w:tcPr>
          <w:p>
            <w:pPr>
              <w:spacing w:after="0"/>
              <w:rPr>
                <w:sz w:val="24"/>
                <w:szCs w:val="24"/>
                <w:color w:val="auto"/>
              </w:rPr>
            </w:pPr>
          </w:p>
        </w:tc>
        <w:tc>
          <w:tcPr>
            <w:tcW w:w="600" w:type="dxa"/>
            <w:vAlign w:val="bottom"/>
          </w:tcPr>
          <w:p>
            <w:pPr>
              <w:spacing w:after="0"/>
              <w:rPr>
                <w:sz w:val="24"/>
                <w:szCs w:val="24"/>
                <w:color w:val="auto"/>
              </w:rPr>
            </w:pPr>
          </w:p>
        </w:tc>
      </w:tr>
      <w:tr>
        <w:trPr>
          <w:trHeight w:val="318"/>
        </w:trPr>
        <w:tc>
          <w:tcPr>
            <w:tcW w:w="1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6160" w:type="dxa"/>
            <w:vAlign w:val="bottom"/>
            <w:gridSpan w:val="8"/>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3580" w:type="dxa"/>
            <w:vAlign w:val="bottom"/>
            <w:gridSpan w:val="2"/>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700" w:type="dxa"/>
            <w:vAlign w:val="bottom"/>
            <w:gridSpan w:val="3"/>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380" w:type="dxa"/>
            <w:vAlign w:val="bottom"/>
            <w:gridSpan w:val="7"/>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100" w:type="dxa"/>
            <w:vAlign w:val="bottom"/>
            <w:gridSpan w:val="6"/>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79"/>
        </w:trPr>
        <w:tc>
          <w:tcPr>
            <w:tcW w:w="1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760" w:type="dxa"/>
            <w:vAlign w:val="bottom"/>
          </w:tcPr>
          <w:p>
            <w:pPr>
              <w:spacing w:after="0"/>
              <w:rPr>
                <w:sz w:val="22"/>
                <w:szCs w:val="22"/>
                <w:color w:val="auto"/>
              </w:rPr>
            </w:pP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40" w:type="dxa"/>
            <w:vAlign w:val="bottom"/>
            <w:gridSpan w:val="4"/>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63"/>
        </w:trPr>
        <w:tc>
          <w:tcPr>
            <w:tcW w:w="1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66"/>
        </w:trPr>
        <w:tc>
          <w:tcPr>
            <w:tcW w:w="106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60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760" w:type="dxa"/>
            <w:vAlign w:val="bottom"/>
          </w:tcPr>
          <w:p>
            <w:pPr>
              <w:spacing w:after="0"/>
              <w:rPr>
                <w:sz w:val="22"/>
                <w:szCs w:val="22"/>
                <w:color w:val="auto"/>
              </w:rPr>
            </w:pPr>
          </w:p>
        </w:tc>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760" w:type="dxa"/>
            <w:vAlign w:val="bottom"/>
          </w:tcPr>
          <w:p>
            <w:pPr>
              <w:spacing w:after="0"/>
              <w:rPr>
                <w:sz w:val="22"/>
                <w:szCs w:val="22"/>
                <w:color w:val="auto"/>
              </w:rPr>
            </w:pPr>
          </w:p>
        </w:tc>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64"/>
        </w:trPr>
        <w:tc>
          <w:tcPr>
            <w:tcW w:w="120" w:type="dxa"/>
            <w:vAlign w:val="bottom"/>
          </w:tcPr>
          <w:p>
            <w:pPr>
              <w:spacing w:after="0"/>
              <w:rPr>
                <w:sz w:val="22"/>
                <w:szCs w:val="22"/>
                <w:color w:val="auto"/>
              </w:rPr>
            </w:pPr>
          </w:p>
        </w:tc>
        <w:tc>
          <w:tcPr>
            <w:tcW w:w="6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760" w:type="dxa"/>
            <w:vAlign w:val="bottom"/>
          </w:tcPr>
          <w:p>
            <w:pPr>
              <w:spacing w:after="0"/>
              <w:rPr>
                <w:sz w:val="22"/>
                <w:szCs w:val="22"/>
                <w:color w:val="auto"/>
              </w:rPr>
            </w:pPr>
          </w:p>
        </w:tc>
        <w:tc>
          <w:tcPr>
            <w:tcW w:w="43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760" w:type="dxa"/>
            <w:vAlign w:val="bottom"/>
            <w:gridSpan w:val="5"/>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34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66"/>
        </w:trPr>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this report, unless otherwise stated or the context otherwise indicates, the terms “Life360,” “the Company,” “we,” “us,” “our” and similar references refer to Life360, Inc. and its consolidated subsidiaries. The Life360 logo, and other trademarks, trade names or service marks of Life360, Inc. appearing in this Quarterly Report on Form 10-Q are the property of Life360, Inc. All other trademarks, trade names and service marks appearing in this Quarterly Report on Form 10-Q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the Private Securities Litigation Reform Act of 1995 that are based on our management’s beliefs and assumptions and on information currently available to our management. We intend such forward-looking statements to be covered by the safe harbor provisions for forward-looking statements contained in Section 21E of the Exchange Act. These forward-looking statements include statements regarding, among other things, (a) our expectations regarding our results of operations and key performance indicators, (b) key factors affecting our performance (c) our growth strategy, (d) our future financing plans, and (e) our anticipated needs for, and use of, working capital. They are generally identifiable by use of the words: “may,” “might,” “will,” “could,” “would,” “should,” “expect,” “plan,” “anticipate,” “intend,” “seek,” “believe,” “estimate,” “predict,” “potential,” “continue,” “contemplate,” “possible” or the negative of these terms or other comparable terminology, although not all forward-looking statements contain these words. We caution you the foregoing list may not contain all of the forward-looking statements made in this Quarterly Report on Form 10-Q. These forward-looking statements are subject to risks and uncertainties, many of which are outside of our control, including risks related to our business, market risks, our need for additional capital, and the risk that our products and services may not perform as expected, as described in greater detail under the heading “Risk Factors” in Part II, Item 1A in this Quarterly Report and Part I, Item 1A in our Annual Report on Form 10-K for the year ended December 31, 2023, filed with the U.S. Securities and Exchange Commission (“SEC”) on February 29, 2024 (“Annual Report”), as such risks may be updated in subsequent filings with the Australian Stock Exchange (“ASX”) or SEC. In light of these risks and uncertainties, there can be no assurance that the forward-looking statements contained in this filing will in fact occur. You should not place undue reliance on these forward-looking statements.</w:t>
      </w:r>
    </w:p>
    <w:p>
      <w:pPr>
        <w:spacing w:after="0" w:line="19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those discussed under “Item 1A. Risk Factors” and other sections in this Quarterly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U.S. $,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68,964</w:t>
            </w:r>
          </w:p>
        </w:tc>
      </w:tr>
      <w:tr>
        <w:trPr>
          <w:trHeight w:val="229"/>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42,180</w:t>
            </w:r>
          </w:p>
        </w:tc>
      </w:tr>
      <w:tr>
        <w:trPr>
          <w:trHeight w:val="229"/>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r>
      <w:tr>
        <w:trPr>
          <w:trHeight w:val="230"/>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capitalized to obtain contracts, net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9"/>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w:t>
            </w: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131,427</w:t>
            </w:r>
          </w:p>
        </w:tc>
      </w:tr>
      <w:tr>
        <w:trPr>
          <w:trHeight w:val="229"/>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r>
      <w:tr>
        <w:trPr>
          <w:trHeight w:val="229"/>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capitalized to obtain contracts, noncurrent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29"/>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 noncurrent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w:t>
            </w: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29"/>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45,441</w:t>
            </w:r>
          </w:p>
        </w:tc>
      </w:tr>
      <w:tr>
        <w:trPr>
          <w:trHeight w:val="229"/>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133,674</w:t>
            </w: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321,717</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8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r>
      <w:tr>
        <w:trPr>
          <w:trHeight w:val="230"/>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27,538</w:t>
            </w:r>
          </w:p>
        </w:tc>
      </w:tr>
      <w:tr>
        <w:trPr>
          <w:trHeight w:val="229"/>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current ($4,057 and $3,449 measured at fair value, respectively)</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30"/>
        </w:trPr>
        <w:tc>
          <w:tcPr>
            <w:tcW w:w="8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33,932</w:t>
            </w:r>
          </w:p>
        </w:tc>
      </w:tr>
      <w:tr>
        <w:trPr>
          <w:trHeight w:val="223"/>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70,815</w:t>
            </w:r>
          </w:p>
        </w:tc>
      </w:tr>
      <w:tr>
        <w:trPr>
          <w:trHeight w:val="230"/>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 noncurrent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liability, noncurrent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74,653</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8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5"/>
        </w:trPr>
        <w:tc>
          <w:tcPr>
            <w:tcW w:w="85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$0.001 par value; 100,000,000 shares authorized as of March 31, 2024 and December 31, 2023;</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4"/>
        </w:trPr>
        <w:tc>
          <w:tcPr>
            <w:tcW w:w="858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69,440,062 and 68,155,830 issued and outstanding as of March 31, 2024 and December 31, 2023,</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8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532,128</w:t>
            </w: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(285,143)</w:t>
            </w:r>
          </w:p>
        </w:tc>
      </w:tr>
      <w:tr>
        <w:trPr>
          <w:trHeight w:val="229"/>
        </w:trPr>
        <w:tc>
          <w:tcPr>
            <w:tcW w:w="8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5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318,776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321,717</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(Dollars in U.S. $, in thousands, except share and per share data)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0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5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51,664</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0" w:type="dxa"/>
            <w:vAlign w:val="bottom"/>
          </w:tcPr>
          <w:p>
            <w:pPr>
              <w:spacing w:after="0"/>
              <w:rPr>
                <w:sz w:val="1"/>
                <w:szCs w:val="1"/>
                <w:color w:val="auto"/>
              </w:rPr>
            </w:pPr>
          </w:p>
        </w:tc>
      </w:tr>
      <w:tr>
        <w:trPr>
          <w:trHeight w:val="22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68,143</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hardware revenue</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other revenue</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2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18,313</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49,830</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27,197</w:t>
            </w:r>
          </w:p>
        </w:tc>
        <w:tc>
          <w:tcPr>
            <w:tcW w:w="0" w:type="dxa"/>
            <w:vAlign w:val="bottom"/>
          </w:tcPr>
          <w:p>
            <w:pPr>
              <w:spacing w:after="0"/>
              <w:rPr>
                <w:sz w:val="1"/>
                <w:szCs w:val="1"/>
                <w:color w:val="auto"/>
              </w:rPr>
            </w:pPr>
          </w:p>
        </w:tc>
      </w:tr>
      <w:tr>
        <w:trPr>
          <w:trHeight w:val="230"/>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66,392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64,722</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00" w:type="dxa"/>
            <w:vAlign w:val="bottom"/>
            <w:vMerge w:val="continue"/>
          </w:tcPr>
          <w:p>
            <w:pPr>
              <w:spacing w:after="0"/>
              <w:rPr>
                <w:sz w:val="17"/>
                <w:szCs w:val="17"/>
                <w:color w:val="auto"/>
              </w:rPr>
            </w:pPr>
          </w:p>
        </w:tc>
        <w:tc>
          <w:tcPr>
            <w:tcW w:w="440" w:type="dxa"/>
            <w:vAlign w:val="bottom"/>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7"/>
                <w:szCs w:val="17"/>
                <w:color w:val="auto"/>
              </w:rPr>
            </w:pPr>
          </w:p>
        </w:tc>
        <w:tc>
          <w:tcPr>
            <w:tcW w:w="440" w:type="dxa"/>
            <w:vAlign w:val="bottom"/>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basic and diluted</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68,535,626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65,592,780</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U.S. $, in thousands, except share and per share data)</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right="1480"/>
        <w:spacing w:after="0" w:line="269" w:lineRule="auto"/>
        <w:rPr>
          <w:sz w:val="20"/>
          <w:szCs w:val="20"/>
          <w:color w:val="auto"/>
        </w:rPr>
      </w:pPr>
      <w:r>
        <w:rPr>
          <w:rFonts w:ascii="Times New Roman" w:cs="Times New Roman" w:eastAsia="Times New Roman" w:hAnsi="Times New Roman"/>
          <w:sz w:val="18"/>
          <w:szCs w:val="18"/>
          <w:b w:val="1"/>
          <w:bCs w:val="1"/>
          <w:color w:val="auto"/>
        </w:rPr>
        <w:t xml:space="preserve">Balance at December 31, 2023 </w:t>
      </w:r>
      <w:r>
        <w:rPr>
          <w:rFonts w:ascii="Times New Roman" w:cs="Times New Roman" w:eastAsia="Times New Roman" w:hAnsi="Times New Roman"/>
          <w:sz w:val="18"/>
          <w:szCs w:val="18"/>
          <w:color w:val="auto"/>
        </w:rPr>
        <w:t>Exercise of stock options Exercise of warrants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Vesting of restricted stock units</w:t>
      </w:r>
    </w:p>
    <w:p>
      <w:pPr>
        <w:spacing w:after="0" w:line="23" w:lineRule="exact"/>
        <w:rPr>
          <w:sz w:val="20"/>
          <w:szCs w:val="20"/>
          <w:color w:val="auto"/>
        </w:rPr>
      </w:pPr>
    </w:p>
    <w:p>
      <w:pPr>
        <w:ind w:left="40"/>
        <w:spacing w:after="0" w:line="266" w:lineRule="auto"/>
        <w:rPr>
          <w:sz w:val="20"/>
          <w:szCs w:val="20"/>
          <w:color w:val="auto"/>
        </w:rPr>
      </w:pPr>
      <w:r>
        <w:rPr>
          <w:rFonts w:ascii="Times New Roman" w:cs="Times New Roman" w:eastAsia="Times New Roman" w:hAnsi="Times New Roman"/>
          <w:sz w:val="18"/>
          <w:szCs w:val="18"/>
          <w:color w:val="auto"/>
        </w:rPr>
        <w:t>Taxes paid related to net settlement of equity awards Stock-based compensation expense</w:t>
      </w:r>
    </w:p>
    <w:p>
      <w:pPr>
        <w:ind w:left="40" w:right="160"/>
        <w:spacing w:after="0" w:line="284" w:lineRule="auto"/>
        <w:rPr>
          <w:sz w:val="20"/>
          <w:szCs w:val="20"/>
          <w:color w:val="auto"/>
        </w:rPr>
      </w:pPr>
      <w:r>
        <w:rPr>
          <w:rFonts w:ascii="Times New Roman" w:cs="Times New Roman" w:eastAsia="Times New Roman" w:hAnsi="Times New Roman"/>
          <w:sz w:val="18"/>
          <w:szCs w:val="18"/>
          <w:color w:val="auto"/>
        </w:rPr>
        <w:t>Change in foreign currency translation adjustment Net loss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at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right="1500"/>
        <w:spacing w:after="0" w:line="269" w:lineRule="auto"/>
        <w:rPr>
          <w:sz w:val="20"/>
          <w:szCs w:val="20"/>
          <w:color w:val="auto"/>
        </w:rPr>
      </w:pPr>
      <w:r>
        <w:rPr>
          <w:rFonts w:ascii="Times New Roman" w:cs="Times New Roman" w:eastAsia="Times New Roman" w:hAnsi="Times New Roman"/>
          <w:sz w:val="18"/>
          <w:szCs w:val="18"/>
          <w:b w:val="1"/>
          <w:bCs w:val="1"/>
          <w:color w:val="auto"/>
        </w:rPr>
        <w:t xml:space="preserve">Balance at December 31, 2022 </w:t>
      </w:r>
      <w:r>
        <w:rPr>
          <w:rFonts w:ascii="Times New Roman" w:cs="Times New Roman" w:eastAsia="Times New Roman" w:hAnsi="Times New Roman"/>
          <w:sz w:val="18"/>
          <w:szCs w:val="18"/>
          <w:color w:val="auto"/>
        </w:rPr>
        <w:t>Exercise of stock options Vesting of restricted stock units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 of notes due from affiliate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23" w:lineRule="exact"/>
        <w:rPr>
          <w:sz w:val="20"/>
          <w:szCs w:val="20"/>
          <w:color w:val="auto"/>
        </w:rPr>
      </w:pPr>
    </w:p>
    <w:p>
      <w:pPr>
        <w:ind w:left="20" w:right="180"/>
        <w:spacing w:after="0" w:line="284" w:lineRule="auto"/>
        <w:rPr>
          <w:sz w:val="20"/>
          <w:szCs w:val="20"/>
          <w:color w:val="auto"/>
        </w:rPr>
      </w:pPr>
      <w:r>
        <w:rPr>
          <w:rFonts w:ascii="Times New Roman" w:cs="Times New Roman" w:eastAsia="Times New Roman" w:hAnsi="Times New Roman"/>
          <w:sz w:val="18"/>
          <w:szCs w:val="18"/>
          <w:color w:val="auto"/>
        </w:rPr>
        <w:t>Change in foreign currency translation adjustment Net loss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gridSpan w:val="4"/>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2000" w:type="dxa"/>
            <w:vAlign w:val="bottom"/>
            <w:gridSpan w:val="6"/>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51"/>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200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4"/>
            <w:vMerge w:val="restart"/>
          </w:tcPr>
          <w:p>
            <w:pPr>
              <w:jc w:val="right"/>
              <w:ind w:right="159"/>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gridSpan w:val="5"/>
            <w:vMerge w:val="restart"/>
          </w:tcPr>
          <w:p>
            <w:pPr>
              <w:jc w:val="right"/>
              <w:ind w:right="94"/>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4"/>
            <w:vMerge w:val="restart"/>
          </w:tcPr>
          <w:p>
            <w:pPr>
              <w:jc w:val="center"/>
              <w:ind w:left="15"/>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3"/>
            <w:vMerge w:val="restart"/>
          </w:tcPr>
          <w:p>
            <w:pPr>
              <w:jc w:val="center"/>
              <w:ind w:right="33"/>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4"/>
            <w:vMerge w:val="continue"/>
          </w:tcPr>
          <w:p>
            <w:pPr>
              <w:spacing w:after="0"/>
              <w:rPr>
                <w:sz w:val="2"/>
                <w:szCs w:val="2"/>
                <w:color w:val="auto"/>
              </w:rPr>
            </w:pPr>
          </w:p>
        </w:tc>
        <w:tc>
          <w:tcPr>
            <w:tcW w:w="1200" w:type="dxa"/>
            <w:vAlign w:val="bottom"/>
            <w:gridSpan w:val="5"/>
            <w:vMerge w:val="continue"/>
          </w:tcPr>
          <w:p>
            <w:pPr>
              <w:spacing w:after="0"/>
              <w:rPr>
                <w:sz w:val="2"/>
                <w:szCs w:val="2"/>
                <w:color w:val="auto"/>
              </w:rPr>
            </w:pPr>
          </w:p>
        </w:tc>
        <w:tc>
          <w:tcPr>
            <w:tcW w:w="1100" w:type="dxa"/>
            <w:vAlign w:val="bottom"/>
            <w:gridSpan w:val="4"/>
            <w:vMerge w:val="continue"/>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tcBorders>
              <w:bottom w:val="single" w:sz="8" w:color="auto"/>
            </w:tcBorders>
            <w:gridSpan w:val="4"/>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68,155,830</w:t>
            </w:r>
          </w:p>
        </w:tc>
        <w:tc>
          <w:tcPr>
            <w:tcW w:w="76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532,128</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(285,143)</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277,309</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1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41,685</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965,238</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(8,110)</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69,440,062</w:t>
            </w:r>
          </w:p>
        </w:tc>
        <w:tc>
          <w:tcPr>
            <w:tcW w:w="7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534,679</w:t>
            </w: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(294,920)</w:t>
            </w:r>
          </w:p>
        </w:tc>
        <w:tc>
          <w:tcPr>
            <w:tcW w:w="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 Due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000" w:type="dxa"/>
            <w:vAlign w:val="bottom"/>
            <w:gridSpan w:val="6"/>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200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vMerge w:val="restart"/>
          </w:tcPr>
          <w:p>
            <w:pPr>
              <w:jc w:val="center"/>
              <w:ind w:right="192"/>
              <w:spacing w:after="0" w:line="129" w:lineRule="exact"/>
              <w:rPr>
                <w:sz w:val="20"/>
                <w:szCs w:val="20"/>
                <w:color w:val="auto"/>
              </w:rPr>
            </w:pPr>
            <w:r>
              <w:rPr>
                <w:rFonts w:ascii="Times New Roman" w:cs="Times New Roman" w:eastAsia="Times New Roman" w:hAnsi="Times New Roman"/>
                <w:sz w:val="14"/>
                <w:szCs w:val="14"/>
                <w:b w:val="1"/>
                <w:bCs w:val="1"/>
                <w:color w:val="auto"/>
              </w:rPr>
              <w:t>Paid-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from</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4"/>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9"/>
                <w:szCs w:val="9"/>
                <w:color w:val="auto"/>
              </w:rPr>
            </w:pPr>
          </w:p>
        </w:tc>
        <w:tc>
          <w:tcPr>
            <w:tcW w:w="92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02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Affiliates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65,239,843</w:t>
            </w:r>
          </w:p>
        </w:tc>
        <w:tc>
          <w:tcPr>
            <w:tcW w:w="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501,763</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(256,972)</w:t>
            </w:r>
          </w:p>
        </w:tc>
        <w:tc>
          <w:tcPr>
            <w:tcW w:w="8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244,538</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185,073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870,915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(5,731)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66,295,831</w:t>
            </w: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505,777</w:t>
            </w:r>
          </w:p>
        </w:tc>
        <w:tc>
          <w:tcPr>
            <w:tcW w:w="56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 (271,043)</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-2627630</wp:posOffset>
            </wp:positionH>
            <wp:positionV relativeFrom="paragraph">
              <wp:posOffset>-3350895</wp:posOffset>
            </wp:positionV>
            <wp:extent cx="711517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-3051175</wp:posOffset>
            </wp:positionV>
            <wp:extent cx="711517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-2759710</wp:posOffset>
            </wp:positionV>
            <wp:extent cx="711517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-2468245</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-2176780</wp:posOffset>
            </wp:positionV>
            <wp:extent cx="71151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-1362710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-1062355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-770890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-479425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-187960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340"/>
            <w:col w:w="7080"/>
          </w:cols>
          <w:pgMar w:left="320" w:top="225" w:right="339" w:bottom="1440" w:gutter="0" w:footer="0" w:header="0"/>
          <w:type w:val="continuous"/>
        </w:sectPr>
      </w:pP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U.S. $,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costs capitalized to obtain contracts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expense in connection with revesting notes</w:t>
            </w:r>
          </w:p>
        </w:tc>
        <w:tc>
          <w:tcPr>
            <w:tcW w:w="9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 net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revenue from investment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write-off</w:t>
            </w:r>
          </w:p>
        </w:tc>
        <w:tc>
          <w:tcPr>
            <w:tcW w:w="9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capitalized to obtain contracts, net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Internal use software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18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stock options and warrants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repayment of notes due from affiliates</w:t>
            </w:r>
          </w:p>
        </w:tc>
        <w:tc>
          <w:tcPr>
            <w:tcW w:w="9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w:t>
            </w:r>
          </w:p>
        </w:tc>
      </w:tr>
      <w:tr>
        <w:trPr>
          <w:trHeight w:val="250"/>
        </w:trPr>
        <w:tc>
          <w:tcPr>
            <w:tcW w:w="8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70,713</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90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74,603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76,089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during the period for taxes</w:t>
            </w:r>
          </w:p>
        </w:tc>
        <w:tc>
          <w:tcPr>
            <w:tcW w:w="9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cash, cash equivalents, and restricted cash reported within the balance sheets totaling the same such amounts shown above: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2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61,394</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76,089</w:t>
            </w:r>
          </w:p>
        </w:tc>
      </w:tr>
      <w:tr>
        <w:trPr>
          <w:trHeight w:val="21"/>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Life360, Inc. (the “Company”) is a leading technology platform connecting millions of people throughout the world to the people, pets and things they care about most. The Company has created a new category at the intersection of family, technology, and safety to help keep families connected and safe. The Company’s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three membership subscription options that are available but not required.</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acquired Jio, Inc. (“Jiobit”) and Tile, Inc, (“Tile”) in September 2021 and January 2022, respectively, to create a comprehensive platform-agnostic location tracking solution for people, pets and things. Jiobit is a leading wearable location device for young children, pets and seniors and Tile is a leading product suite of location trackers for finding objects.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suite of product and service offerings, including the Life360 and Tile mobile applications, and related third-party services, is system and platform-agnostic, allowing its products and services to work seamlessly for members, regardless of the devices they use.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below are select significant accounting policies. Refer to Note 2, "Summary of Significant Accounting Policies" in the Company’s Annual Report on Form 10-K for the year ended December 31, 2023, filed with the SEC on February 29, 2024 (“Annual Report”) for a full list of the Company’s significant accounting policies.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accounts of the Company and its wholly owned subsidiaries, have been prepared in conformity with accounting principles generally accepted in the United States of America (“GAAP”) for interim periods and following the requirements of the Securities and Exchange Commission (“SEC”) for interim reporting. As permitted under those rules, certain footnotes or other financial information that are normally required by GAAP can be condensed or omitted. All intercompany balances and transactions have been eliminated in consolidation.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included herein, was derived from the audited financial statements as of that date. In the opinion of the Company’s management, the condensed consolidated financial statements reflect all normal recurring adjustments necessary to provide a fair presentation of the Company’s financial position, results of operations, stockholders’ equity, and cash flows for the interim periods presented. Operating results for these interim periods are not necessarily indicative of the Company’s future results of operations.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should be read in conjunction with the audited consolidated financial statements and notes thereto included in the Company’s Annual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certain estimates, judgments, and assumptions that affect the reported amounts of assets, liabilities, net revenue, and expenses. Significant items subject to such estimates, judgments, and assumptions include:</w:t>
      </w:r>
    </w:p>
    <w:p>
      <w:pPr>
        <w:spacing w:after="0" w:line="68" w:lineRule="exact"/>
        <w:rPr>
          <w:sz w:val="20"/>
          <w:szCs w:val="20"/>
          <w:color w:val="auto"/>
        </w:rPr>
      </w:pPr>
    </w:p>
    <w:p>
      <w:pPr>
        <w:jc w:val="both"/>
        <w:ind w:left="660" w:right="3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including the determination of selling prices for distinct performance obligations sold in multiple performance obligation arrangements, the period over which revenue is recognized for certain arrangements, and estimated delivery dates for orders with title transfer upon delivery;</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allowances for credit losses and product returns;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promotional and marketing allowances;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valuation;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useful customer life;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stock-based awards;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contingencies;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 and goodwill;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convertible notes and embedded derivatives;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lives of long-lived assets;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including valuation allowances on deferred tax assets.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bases its estimates and judgments on historical experience and on various assumptions that it believes are reasonable under the circumstances. Actual results could differ significantly from those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does not expect adoption of this ASU will have a material impact on its financial position or results of operations.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requires disaggregated information about a reporting entity’s effective tax rate reconciliation as well as information on income taxes paid. The updates in this ASU are effective for annual periods beginning after December 15, 2024. Early adoption is permitted. The Company does not expect adoption of this ASU will have a material impact on its financial position or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 and Significant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Customers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derives its accounts receivable from revenue earned from customers located in the United States and internationally. Channel and retail partners account for the majority of the Company’s revenue and accounts receivable for all periods presented.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information about the Company’s third-party platforms and distribution channels (each a “Channel Partner”) that processed the Company’s overall revenue transactions and retail partners who represented greater than 10% of the Company’s revenue or accounts receivable, respectively:</w:t>
      </w:r>
    </w:p>
    <w:p>
      <w:pPr>
        <w:spacing w:after="0" w:line="210"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33655</wp:posOffset>
            </wp:positionV>
            <wp:extent cx="33007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5"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960" w:type="dxa"/>
            <w:vAlign w:val="bottom"/>
            <w:tcBorders>
              <w:top w:val="single" w:sz="8" w:color="auto"/>
            </w:tcBorders>
            <w:gridSpan w:val="2"/>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700" w:type="dxa"/>
            <w:vAlign w:val="bottom"/>
            <w:tcBorders>
              <w:top w:val="single" w:sz="8" w:color="auto"/>
            </w:tcBorders>
            <w:gridSpan w:val="5"/>
          </w:tcPr>
          <w:p>
            <w:pPr>
              <w:jc w:val="center"/>
              <w:ind w:left="11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 Partner (Apple)</w:t>
            </w:r>
          </w:p>
        </w:tc>
        <w:tc>
          <w:tcPr>
            <w:tcW w:w="2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20" w:type="dxa"/>
            <w:vAlign w:val="bottom"/>
          </w:tcPr>
          <w:p>
            <w:pPr>
              <w:spacing w:after="0"/>
              <w:rPr>
                <w:sz w:val="19"/>
                <w:szCs w:val="19"/>
                <w:color w:val="auto"/>
              </w:rPr>
            </w:pPr>
          </w:p>
        </w:tc>
      </w:tr>
      <w:tr>
        <w:trPr>
          <w:trHeight w:val="234"/>
        </w:trPr>
        <w:tc>
          <w:tcPr>
            <w:tcW w:w="7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Channel Partner (Google)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20"/>
                <w:szCs w:val="20"/>
                <w:color w:val="auto"/>
              </w:rPr>
            </w:pPr>
          </w:p>
        </w:tc>
      </w:tr>
      <w:tr>
        <w:trPr>
          <w:trHeight w:val="512"/>
        </w:trPr>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6"/>
          </w:tcPr>
          <w:p>
            <w:pPr>
              <w:ind w:left="1340"/>
              <w:spacing w:after="0"/>
              <w:rPr>
                <w:sz w:val="20"/>
                <w:szCs w:val="20"/>
                <w:color w:val="auto"/>
              </w:rPr>
            </w:pPr>
            <w:r>
              <w:rPr>
                <w:rFonts w:ascii="Times New Roman" w:cs="Times New Roman" w:eastAsia="Times New Roman" w:hAnsi="Times New Roman"/>
                <w:sz w:val="14"/>
                <w:szCs w:val="14"/>
                <w:b w:val="1"/>
                <w:bCs w:val="1"/>
                <w:color w:val="auto"/>
              </w:rPr>
              <w:t>Percentage of Gross Accounts Receivable</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6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6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tcBorders>
              <w:bottom w:val="single" w:sz="8" w:color="auto"/>
            </w:tcBorders>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6"/>
        </w:trPr>
        <w:tc>
          <w:tcPr>
            <w:tcW w:w="6040" w:type="dxa"/>
            <w:vAlign w:val="bottom"/>
            <w:tcBorders>
              <w:bottom w:val="single" w:sz="8" w:color="CCEEFF"/>
            </w:tcBorders>
            <w:gridSpan w:val="2"/>
          </w:tcPr>
          <w:p>
            <w:pPr>
              <w:spacing w:after="0"/>
              <w:rPr>
                <w:sz w:val="17"/>
                <w:szCs w:val="17"/>
                <w:color w:val="auto"/>
              </w:rPr>
            </w:pPr>
          </w:p>
        </w:tc>
        <w:tc>
          <w:tcPr>
            <w:tcW w:w="1940" w:type="dxa"/>
            <w:vAlign w:val="bottom"/>
            <w:tcBorders>
              <w:bottom w:val="single" w:sz="8" w:color="auto"/>
            </w:tcBorders>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0" w:type="dxa"/>
            <w:vAlign w:val="bottom"/>
            <w:tcBorders>
              <w:bottom w:val="single" w:sz="8" w:color="auto"/>
            </w:tcBorders>
            <w:gridSpan w:val="2"/>
          </w:tcPr>
          <w:p>
            <w:pPr>
              <w:spacing w:after="0"/>
              <w:rPr>
                <w:sz w:val="17"/>
                <w:szCs w:val="17"/>
                <w:color w:val="auto"/>
              </w:rPr>
            </w:pPr>
          </w:p>
        </w:tc>
        <w:tc>
          <w:tcPr>
            <w:tcW w:w="100" w:type="dxa"/>
            <w:vAlign w:val="bottom"/>
            <w:tcBorders>
              <w:bottom w:val="single" w:sz="8" w:color="CCEEFF"/>
            </w:tcBorders>
            <w:gridSpan w:val="2"/>
          </w:tcPr>
          <w:p>
            <w:pPr>
              <w:spacing w:after="0"/>
              <w:rPr>
                <w:sz w:val="17"/>
                <w:szCs w:val="17"/>
                <w:color w:val="auto"/>
              </w:rPr>
            </w:pPr>
          </w:p>
        </w:tc>
        <w:tc>
          <w:tcPr>
            <w:tcW w:w="200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9"/>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 Partner (Apple)</w:t>
            </w:r>
          </w:p>
        </w:tc>
        <w:tc>
          <w:tcPr>
            <w:tcW w:w="1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7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Channel Partner (Google)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Partner A</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Retail Partner A</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r>
    </w:tbl>
    <w:p>
      <w:pPr>
        <w:spacing w:after="0" w:line="16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Represents less than 10%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 Concentration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relies on a single technology partner for its cloud platform and outsources the manufacturing of the Jiobit and Tile hardware devices to a single contract manufacturer. Although there are a limited number of suppliers, management believes that other suppliers could provide similar services on comparable terms.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Cash and cash equivalents include deposit and money market funds. Money market mutual funds are valued using quoted market prices and therefore are classified within Level 1 of the fair value hierarchy.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 restricted cash, noncurrent balance of $1.2 million and $1.7 million as of March 31, 2024 and December 31, 2023, respectively, relates to cash deposits restricted under letters of credit issued on behalf of the Company in support of indebtedness to trade creditors incurred in the ordinary course of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and Geographic Revenue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segment. The Company’s chief operating decision maker is its chief executive officer, who reviews financial information presented on a consolidated basis for purposes of making operating decisions, assessing financial performance, and allocating resources. All material long-lived assets are based in the United States.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by geographic region is generally based on the address of the customer as defined in the contract with the customer. The following table sets forth revenue by geographic region for the periods presented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30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r>
      <w:tr>
        <w:trPr>
          <w:trHeight w:val="23"/>
        </w:trPr>
        <w:tc>
          <w:tcPr>
            <w:tcW w:w="75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5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60,801</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 regions</w:t>
            </w:r>
          </w:p>
        </w:tc>
        <w:tc>
          <w:tcPr>
            <w:tcW w:w="1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78,227</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68,143</w:t>
            </w:r>
          </w:p>
        </w:tc>
      </w:tr>
      <w:tr>
        <w:trPr>
          <w:trHeight w:val="21"/>
        </w:trPr>
        <w:tc>
          <w:tcPr>
            <w:tcW w:w="7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revenues in the United States were $68.9 million, or 88%, of total revenue for the three months ended March 31, 2024 and $58.7 million, or 86%, of total revenue for the three months ended March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Deferred Revenue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revenue consists primarily of payments received and accounts receivable recorded in advance of revenue recognition under the Company’s subscription service arrangements and is recognized as the revenue recognition criteria is met. The Company primarily invoices its customers for its subscription services arrangements in advance. Amounts anticipated to be recognized within one year of the balance sheet date are recorded as deferred revenue, current and the remaining portion is recorded as deferred revenue, noncurrent on the condensed consolidated balance sheets.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recognized revenue of $18.4 million and $16.8 million, respectively, that was included in the deferred revenue balance at the beginning of each respective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expected to be recognized from remaining performance obligations was $36.7 million as of March 31, 2024, of which the Company expects $35.5 million to be recognized over the next twelve months.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Costs Capitalized to Obtain Contracts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as an asset the costs of obtaining a contract with a customer if it expects to recover those costs and they are both direct and incremental. These costs are attributable to the Company’s largest Channel Partners.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of obtaining new revenue contracts are deferred and then amortized on a straight-line basis over the related period of benefit, which is estimated to be two to three years depending on the subscription type.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 forward of the Company’s costs capitalized to obtain contracts, net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12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37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CCEEFF"/>
            </w:tcBorders>
          </w:tcPr>
          <w:p>
            <w:pPr>
              <w:spacing w:after="0"/>
              <w:rPr>
                <w:sz w:val="16"/>
                <w:szCs w:val="16"/>
                <w:color w:val="auto"/>
              </w:rPr>
            </w:pPr>
          </w:p>
        </w:tc>
        <w:tc>
          <w:tcPr>
            <w:tcW w:w="25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capitalized to obtain contracts, net, beginning of period</w:t>
            </w:r>
          </w:p>
        </w:tc>
        <w:tc>
          <w:tcPr>
            <w:tcW w:w="2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costs capitalized to obtain contracts, net</w:t>
            </w:r>
          </w:p>
        </w:tc>
        <w:tc>
          <w:tcPr>
            <w:tcW w:w="2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costs capitalized to obtain contracts, net</w:t>
            </w:r>
          </w:p>
        </w:tc>
        <w:tc>
          <w:tcPr>
            <w:tcW w:w="25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capitalized to obtain contracts, net, end of period</w:t>
            </w:r>
          </w:p>
        </w:tc>
        <w:tc>
          <w:tcPr>
            <w:tcW w:w="2520" w:type="dxa"/>
            <w:vAlign w:val="bottom"/>
          </w:tcPr>
          <w:p>
            <w:pPr>
              <w:spacing w:after="0"/>
              <w:rPr>
                <w:sz w:val="19"/>
                <w:szCs w:val="19"/>
                <w:color w:val="auto"/>
              </w:rPr>
            </w:pP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252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9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its financial assets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inputs which may be used to measure fair value are as follows: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117"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54"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to the valuation methodology and including data about assumptions market participants would use in pricing the asset or liability based on the best information available under the circumstances.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prepaid expenses, accounts receivable, and accounts payable approximate fair value due to their short-term maturities.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and reports certain assets and liabilities at fair value on a recurring basis. The fair value of these assets and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December 31, 2023 are classified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42,528</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(Note 9)</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(Note 8)</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41,981</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(Note 9)</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(Note 8)</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fair value of the Level 3 instruments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3560" w:type="dxa"/>
            <w:vAlign w:val="bottom"/>
            <w:gridSpan w:val="5"/>
          </w:tcPr>
          <w:p>
            <w:pPr>
              <w:jc w:val="right"/>
              <w:ind w:right="1037"/>
              <w:spacing w:after="0"/>
              <w:rPr>
                <w:sz w:val="20"/>
                <w:szCs w:val="20"/>
                <w:color w:val="auto"/>
              </w:rPr>
            </w:pPr>
            <w:r>
              <w:rPr>
                <w:rFonts w:ascii="Times New Roman" w:cs="Times New Roman" w:eastAsia="Times New Roman" w:hAnsi="Times New Roman"/>
                <w:sz w:val="14"/>
                <w:szCs w:val="14"/>
                <w:b w:val="1"/>
                <w:bCs w:val="1"/>
                <w:color w:val="auto"/>
              </w:rPr>
              <w:t>As of March 31, 2024</w:t>
            </w:r>
          </w:p>
        </w:tc>
      </w:tr>
      <w:tr>
        <w:trPr>
          <w:trHeight w:val="23"/>
        </w:trPr>
        <w:tc>
          <w:tcPr>
            <w:tcW w:w="76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31"/>
        </w:trPr>
        <w:tc>
          <w:tcPr>
            <w:tcW w:w="7680" w:type="dxa"/>
            <w:vAlign w:val="bottom"/>
          </w:tcPr>
          <w:p>
            <w:pPr>
              <w:spacing w:after="0"/>
              <w:rPr>
                <w:sz w:val="11"/>
                <w:szCs w:val="11"/>
                <w:color w:val="auto"/>
              </w:rPr>
            </w:pPr>
          </w:p>
        </w:tc>
        <w:tc>
          <w:tcPr>
            <w:tcW w:w="1220" w:type="dxa"/>
            <w:vAlign w:val="bottom"/>
          </w:tcPr>
          <w:p>
            <w:pPr>
              <w:jc w:val="center"/>
              <w:ind w:left="462"/>
              <w:spacing w:after="0" w:line="131"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jc w:val="center"/>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Convertible</w:t>
            </w:r>
          </w:p>
        </w:tc>
      </w:tr>
      <w:tr>
        <w:trPr>
          <w:trHeight w:val="146"/>
        </w:trPr>
        <w:tc>
          <w:tcPr>
            <w:tcW w:w="7680" w:type="dxa"/>
            <w:vAlign w:val="bottom"/>
          </w:tcPr>
          <w:p>
            <w:pPr>
              <w:spacing w:after="0"/>
              <w:rPr>
                <w:sz w:val="12"/>
                <w:szCs w:val="12"/>
                <w:color w:val="auto"/>
              </w:rPr>
            </w:pPr>
          </w:p>
        </w:tc>
        <w:tc>
          <w:tcPr>
            <w:tcW w:w="1220" w:type="dxa"/>
            <w:vAlign w:val="bottom"/>
          </w:tcPr>
          <w:p>
            <w:pPr>
              <w:jc w:val="center"/>
              <w:ind w:left="442"/>
              <w:spacing w:after="0" w:line="146"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jc w:val="center"/>
              <w:ind w:right="217"/>
              <w:spacing w:after="0" w:line="146" w:lineRule="exact"/>
              <w:rPr>
                <w:sz w:val="20"/>
                <w:szCs w:val="20"/>
                <w:color w:val="auto"/>
              </w:rPr>
            </w:pPr>
            <w:r>
              <w:rPr>
                <w:rFonts w:ascii="Times New Roman" w:cs="Times New Roman" w:eastAsia="Times New Roman" w:hAnsi="Times New Roman"/>
                <w:sz w:val="14"/>
                <w:szCs w:val="14"/>
                <w:b w:val="1"/>
                <w:bCs w:val="1"/>
                <w:color w:val="auto"/>
              </w:rPr>
              <w:t>notes</w:t>
            </w:r>
          </w:p>
        </w:tc>
      </w:tr>
      <w:tr>
        <w:trPr>
          <w:trHeight w:val="196"/>
        </w:trPr>
        <w:tc>
          <w:tcPr>
            <w:tcW w:w="76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(Note 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(Note 8)</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the year</w:t>
            </w:r>
          </w:p>
        </w:tc>
        <w:tc>
          <w:tcPr>
            <w:tcW w:w="1220" w:type="dxa"/>
            <w:vAlign w:val="bottom"/>
            <w:shd w:val="clear" w:color="auto" w:fill="CCEEFF"/>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end of period</w:t>
            </w:r>
          </w:p>
        </w:tc>
        <w:tc>
          <w:tcPr>
            <w:tcW w:w="1220" w:type="dxa"/>
            <w:vAlign w:val="bottom"/>
            <w:tcBorders>
              <w:bottom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1"/>
        </w:trPr>
        <w:tc>
          <w:tcPr>
            <w:tcW w:w="7680" w:type="dxa"/>
            <w:vAlign w:val="bottom"/>
          </w:tcPr>
          <w:p>
            <w:pPr>
              <w:spacing w:after="0"/>
              <w:rPr>
                <w:sz w:val="24"/>
                <w:szCs w:val="24"/>
                <w:color w:val="auto"/>
              </w:rPr>
            </w:pPr>
          </w:p>
        </w:tc>
        <w:tc>
          <w:tcPr>
            <w:tcW w:w="3560" w:type="dxa"/>
            <w:vAlign w:val="bottom"/>
            <w:gridSpan w:val="5"/>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
        </w:trPr>
        <w:tc>
          <w:tcPr>
            <w:tcW w:w="76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28"/>
        </w:trPr>
        <w:tc>
          <w:tcPr>
            <w:tcW w:w="7680" w:type="dxa"/>
            <w:vAlign w:val="bottom"/>
          </w:tcPr>
          <w:p>
            <w:pPr>
              <w:spacing w:after="0"/>
              <w:rPr>
                <w:sz w:val="11"/>
                <w:szCs w:val="11"/>
                <w:color w:val="auto"/>
              </w:rPr>
            </w:pPr>
          </w:p>
        </w:tc>
        <w:tc>
          <w:tcPr>
            <w:tcW w:w="1220" w:type="dxa"/>
            <w:vAlign w:val="bottom"/>
          </w:tcPr>
          <w:p>
            <w:pPr>
              <w:jc w:val="center"/>
              <w:ind w:left="462"/>
              <w:spacing w:after="0" w:line="12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jc w:val="center"/>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Convertible</w:t>
            </w:r>
          </w:p>
        </w:tc>
      </w:tr>
      <w:tr>
        <w:trPr>
          <w:trHeight w:val="137"/>
        </w:trPr>
        <w:tc>
          <w:tcPr>
            <w:tcW w:w="7680" w:type="dxa"/>
            <w:vAlign w:val="bottom"/>
          </w:tcPr>
          <w:p>
            <w:pPr>
              <w:spacing w:after="0"/>
              <w:rPr>
                <w:sz w:val="11"/>
                <w:szCs w:val="11"/>
                <w:color w:val="auto"/>
              </w:rPr>
            </w:pPr>
          </w:p>
        </w:tc>
        <w:tc>
          <w:tcPr>
            <w:tcW w:w="1220" w:type="dxa"/>
            <w:vAlign w:val="bottom"/>
          </w:tcPr>
          <w:p>
            <w:pPr>
              <w:jc w:val="center"/>
              <w:ind w:left="442"/>
              <w:spacing w:after="0" w:line="137"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jc w:val="center"/>
              <w:ind w:right="217"/>
              <w:spacing w:after="0" w:line="137" w:lineRule="exact"/>
              <w:rPr>
                <w:sz w:val="20"/>
                <w:szCs w:val="20"/>
                <w:color w:val="auto"/>
              </w:rPr>
            </w:pPr>
            <w:r>
              <w:rPr>
                <w:rFonts w:ascii="Times New Roman" w:cs="Times New Roman" w:eastAsia="Times New Roman" w:hAnsi="Times New Roman"/>
                <w:sz w:val="14"/>
                <w:szCs w:val="14"/>
                <w:b w:val="1"/>
                <w:bCs w:val="1"/>
                <w:color w:val="auto"/>
              </w:rPr>
              <w:t>notes</w:t>
            </w:r>
          </w:p>
        </w:tc>
      </w:tr>
      <w:tr>
        <w:trPr>
          <w:trHeight w:val="190"/>
        </w:trPr>
        <w:tc>
          <w:tcPr>
            <w:tcW w:w="7680" w:type="dxa"/>
            <w:vAlign w:val="bottom"/>
          </w:tcPr>
          <w:p>
            <w:pPr>
              <w:spacing w:after="0"/>
              <w:rPr>
                <w:sz w:val="16"/>
                <w:szCs w:val="16"/>
                <w:color w:val="auto"/>
              </w:rPr>
            </w:pPr>
          </w:p>
        </w:tc>
        <w:tc>
          <w:tcPr>
            <w:tcW w:w="122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(Note 9)</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(Note 8)</w:t>
            </w:r>
          </w:p>
        </w:tc>
      </w:tr>
      <w:tr>
        <w:trPr>
          <w:trHeight w:val="23"/>
        </w:trPr>
        <w:tc>
          <w:tcPr>
            <w:tcW w:w="76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the year</w:t>
            </w:r>
          </w:p>
        </w:tc>
        <w:tc>
          <w:tcPr>
            <w:tcW w:w="1220" w:type="dxa"/>
            <w:vAlign w:val="bottom"/>
            <w:shd w:val="clear" w:color="auto" w:fill="CCEEFF"/>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revesting notes</w:t>
            </w:r>
          </w:p>
        </w:tc>
        <w:tc>
          <w:tcPr>
            <w:tcW w:w="12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 of revesting notes</w:t>
            </w:r>
          </w:p>
        </w:tc>
        <w:tc>
          <w:tcPr>
            <w:tcW w:w="1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convertible notes (Note 8)</w:t>
            </w:r>
          </w:p>
        </w:tc>
        <w:tc>
          <w:tcPr>
            <w:tcW w:w="12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end of period</w:t>
            </w:r>
          </w:p>
        </w:tc>
        <w:tc>
          <w:tcPr>
            <w:tcW w:w="1220" w:type="dxa"/>
            <w:vAlign w:val="bottom"/>
            <w:tcBorders>
              <w:bottom w:val="single" w:sz="8" w:color="auto"/>
            </w:tcBorders>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0"/>
        </w:trPr>
        <w:tc>
          <w:tcPr>
            <w:tcW w:w="76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the Company recorded losses associated with the change in fair value of the derivative liability and convertible notes of $1.7 million and $0.6 million, respectively. For the year ended December 31, 2023, the Company recorded losses associated with the change in fair value of the derivative liability and the convertible notes of $0.1 million and $0.7 million, respectively. The amounts have been recorded in other income (expense), net in the condensed consolidated statements of operations and comprehensive loss.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the Company recorded gains associated with the change in fair value of the derivative liability and convertible notes of $14 thousand and $72 thousand, respectively. The amounts have been recorded in other income (expense), net in the condensed consolidated statements of operations and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0" w:type="dxa"/>
            <w:vAlign w:val="bottom"/>
          </w:tcPr>
          <w:p>
            <w:pPr>
              <w:spacing w:after="0"/>
              <w:rPr>
                <w:sz w:val="16"/>
                <w:szCs w:val="16"/>
                <w:color w:val="auto"/>
              </w:rPr>
            </w:pPr>
          </w:p>
        </w:tc>
        <w:tc>
          <w:tcPr>
            <w:tcW w:w="15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42,274</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7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0" w:type="dxa"/>
            <w:vAlign w:val="bottom"/>
          </w:tcPr>
          <w:p>
            <w:pPr>
              <w:spacing w:after="0"/>
              <w:rPr>
                <w:sz w:val="24"/>
                <w:szCs w:val="24"/>
                <w:color w:val="auto"/>
              </w:rPr>
            </w:pPr>
          </w:p>
        </w:tc>
        <w:tc>
          <w:tcPr>
            <w:tcW w:w="15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4"/>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inventory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0" w:type="dxa"/>
            <w:vAlign w:val="bottom"/>
          </w:tcPr>
          <w:p>
            <w:pPr>
              <w:spacing w:after="0"/>
              <w:rPr>
                <w:sz w:val="16"/>
                <w:szCs w:val="16"/>
                <w:color w:val="auto"/>
              </w:rPr>
            </w:pPr>
          </w:p>
        </w:tc>
        <w:tc>
          <w:tcPr>
            <w:tcW w:w="15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w:t>
            </w:r>
          </w:p>
        </w:tc>
      </w:tr>
      <w:tr>
        <w:trPr>
          <w:trHeight w:val="23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Prepaid expenses primarily consist of certain cloud platform and customer service program costs. Other receivables primarily consist of refunds owed to the Company and other amounts which the Company is expected to receive in less than twelve months.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0" w:type="dxa"/>
            <w:vAlign w:val="bottom"/>
          </w:tcPr>
          <w:p>
            <w:pPr>
              <w:spacing w:after="0"/>
              <w:rPr>
                <w:sz w:val="16"/>
                <w:szCs w:val="16"/>
                <w:color w:val="auto"/>
              </w:rPr>
            </w:pPr>
          </w:p>
        </w:tc>
        <w:tc>
          <w:tcPr>
            <w:tcW w:w="15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manufacturing equipment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2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$46 thousand and $37 thousand for the three months ended March 31, 2024 and 2023,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impairment of property and equipment or long-lived assets recognized during the three months ended March 31, 2024 or 2023.</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 noncurrent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noncurrent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80" w:type="dxa"/>
            <w:vAlign w:val="bottom"/>
          </w:tcPr>
          <w:p>
            <w:pPr>
              <w:spacing w:after="0"/>
              <w:rPr>
                <w:sz w:val="16"/>
                <w:szCs w:val="16"/>
                <w:color w:val="auto"/>
              </w:rPr>
            </w:pPr>
          </w:p>
        </w:tc>
        <w:tc>
          <w:tcPr>
            <w:tcW w:w="15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noncurrent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assets, noncurrent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w:t>
            </w:r>
          </w:p>
        </w:tc>
      </w:tr>
      <w:tr>
        <w:trPr>
          <w:trHeight w:val="21"/>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Prepaid expenses, noncurrent primarily consist of cloud platform costs. Investment relates to warrants to purchase shares of preferred stock of a current Data Revenue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leases office space under a non-cancelable operating lease with a remaining lease term of 2.7 years, which includes the option to extend the lease.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finance leases as of March 31, 2024 or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 (in thousands):</w:t>
      </w:r>
    </w:p>
    <w:p>
      <w:pPr>
        <w:spacing w:after="0" w:line="259"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33655</wp:posOffset>
            </wp:positionV>
            <wp:extent cx="22542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35" w:lineRule="exact"/>
        <w:rPr>
          <w:sz w:val="20"/>
          <w:szCs w:val="20"/>
          <w:color w:val="auto"/>
        </w:rPr>
      </w:pPr>
    </w:p>
    <w:p>
      <w:pPr>
        <w:ind w:left="8400"/>
        <w:spacing w:after="0"/>
        <w:tabs>
          <w:tab w:leader="none" w:pos="102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 w:lineRule="exact"/>
        <w:rPr>
          <w:sz w:val="20"/>
          <w:szCs w:val="20"/>
          <w:color w:val="auto"/>
        </w:rPr>
      </w:pPr>
    </w:p>
    <w:p>
      <w:pPr>
        <w:ind w:left="20"/>
        <w:spacing w:after="0"/>
        <w:tabs>
          <w:tab w:leader="none" w:pos="7680" w:val="left"/>
          <w:tab w:leader="none" w:pos="9060" w:val="left"/>
          <w:tab w:leader="none" w:pos="9520" w:val="left"/>
          <w:tab w:leader="none" w:pos="10880" w:val="left"/>
        </w:tabs>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110</w:t>
        <w:tab/>
        <w:t>$</w:t>
      </w:r>
      <w:r>
        <w:rPr>
          <w:sz w:val="20"/>
          <w:szCs w:val="20"/>
          <w:color w:val="auto"/>
        </w:rPr>
        <w:tab/>
      </w:r>
      <w:r>
        <w:rPr>
          <w:rFonts w:ascii="Times New Roman" w:cs="Times New Roman" w:eastAsia="Times New Roman" w:hAnsi="Times New Roman"/>
          <w:sz w:val="17"/>
          <w:szCs w:val="17"/>
          <w:color w:val="auto"/>
        </w:rPr>
        <w:t>245</w:t>
      </w:r>
    </w:p>
    <w:p>
      <w:pPr>
        <w:spacing w:after="0" w:line="127"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 short-term leases, which are immaterial.</w:t>
      </w:r>
    </w:p>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Payments for operating leases included in cash from operating activities were $0.1 million and $0.3 million for the three months ended March 31,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thousands, except lease term):</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3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6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380" w:type="dxa"/>
            <w:vAlign w:val="bottom"/>
            <w:shd w:val="clear" w:color="auto" w:fill="CCEEFF"/>
          </w:tcPr>
          <w:p>
            <w:pPr>
              <w:jc w:val="right"/>
              <w:ind w:right="118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current (included in accrued expenses and other current liabilities)</w:t>
            </w:r>
          </w:p>
        </w:tc>
        <w:tc>
          <w:tcPr>
            <w:tcW w:w="13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 (included in other liabilities, noncurrent)</w:t>
            </w:r>
          </w:p>
        </w:tc>
        <w:tc>
          <w:tcPr>
            <w:tcW w:w="13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term for operating lease (in years)</w:t>
            </w:r>
          </w:p>
        </w:tc>
        <w:tc>
          <w:tcPr>
            <w:tcW w:w="13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discount rate used to measure the present value of the operating lease liabilities was 5.0% for each period presented.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the Company’s operating lease liability, which does not include short-term leases, as of March 31, 2024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3"/>
        </w:trPr>
        <w:tc>
          <w:tcPr>
            <w:tcW w:w="430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5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3"/>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5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220" w:type="dxa"/>
            <w:vAlign w:val="bottom"/>
            <w:vMerge w:val="restart"/>
          </w:tcPr>
          <w:p>
            <w:pPr>
              <w:jc w:val="right"/>
              <w:ind w:right="371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0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consists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5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3"/>
        </w:trPr>
        <w:tc>
          <w:tcPr>
            <w:tcW w:w="4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15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580" w:type="dxa"/>
            <w:vAlign w:val="bottom"/>
          </w:tcPr>
          <w:p>
            <w:pPr>
              <w:spacing w:after="0"/>
              <w:rPr>
                <w:sz w:val="16"/>
                <w:szCs w:val="16"/>
                <w:color w:val="auto"/>
              </w:rPr>
            </w:pPr>
          </w:p>
        </w:tc>
        <w:tc>
          <w:tcPr>
            <w:tcW w:w="1740" w:type="dxa"/>
            <w:vAlign w:val="bottom"/>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29"/>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540" w:type="dxa"/>
            <w:vAlign w:val="bottom"/>
            <w:tcBorders>
              <w:top w:val="single" w:sz="8" w:color="auto"/>
            </w:tcBorders>
            <w:shd w:val="clear" w:color="auto" w:fill="CCEEFF"/>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12,117</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w:t>
            </w:r>
          </w:p>
        </w:tc>
      </w:tr>
      <w:tr>
        <w:trPr>
          <w:trHeight w:val="229"/>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1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w:t>
            </w:r>
          </w:p>
        </w:tc>
      </w:tr>
      <w:tr>
        <w:trPr>
          <w:trHeight w:val="248"/>
        </w:trPr>
        <w:tc>
          <w:tcPr>
            <w:tcW w:w="4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shd w:val="clear" w:color="auto" w:fill="CCEEFF"/>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44,281</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491"/>
        </w:trPr>
        <w:tc>
          <w:tcPr>
            <w:tcW w:w="4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3"/>
        </w:trPr>
        <w:tc>
          <w:tcPr>
            <w:tcW w:w="4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15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580" w:type="dxa"/>
            <w:vAlign w:val="bottom"/>
          </w:tcPr>
          <w:p>
            <w:pPr>
              <w:spacing w:after="0"/>
              <w:rPr>
                <w:sz w:val="16"/>
                <w:szCs w:val="16"/>
                <w:color w:val="auto"/>
              </w:rPr>
            </w:pPr>
          </w:p>
        </w:tc>
        <w:tc>
          <w:tcPr>
            <w:tcW w:w="1740" w:type="dxa"/>
            <w:vAlign w:val="bottom"/>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29"/>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540" w:type="dxa"/>
            <w:vAlign w:val="bottom"/>
            <w:tcBorders>
              <w:top w:val="single" w:sz="8" w:color="auto"/>
            </w:tcBorders>
            <w:shd w:val="clear" w:color="auto" w:fill="CCEEFF"/>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13,239</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11,508</w:t>
            </w:r>
          </w:p>
        </w:tc>
      </w:tr>
      <w:tr>
        <w:trPr>
          <w:trHeight w:val="23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1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48"/>
        </w:trPr>
        <w:tc>
          <w:tcPr>
            <w:tcW w:w="4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shd w:val="clear" w:color="auto" w:fill="CCEEFF"/>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45,441</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capitalized $1.1 million and $0.3 million in internal use software during the three months ended March 31,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$2.2 million for each of the three months ended March 31, 2024 and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and 2023, there was no impairment of intangible assets recorded.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estimated remaining amortization expense for intangible assets by fiscal year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0" w:type="dxa"/>
            <w:vAlign w:val="bottom"/>
          </w:tcPr>
          <w:p>
            <w:pPr>
              <w:spacing w:after="0"/>
              <w:rPr>
                <w:sz w:val="1"/>
                <w:szCs w:val="1"/>
                <w:color w:val="auto"/>
              </w:rPr>
            </w:pP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0" w:type="dxa"/>
            <w:vAlign w:val="bottom"/>
          </w:tcPr>
          <w:p>
            <w:pPr>
              <w:spacing w:after="0"/>
              <w:rPr>
                <w:sz w:val="1"/>
                <w:szCs w:val="1"/>
                <w:color w:val="auto"/>
              </w:rPr>
            </w:pP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0" w:type="dxa"/>
            <w:vAlign w:val="bottom"/>
          </w:tcPr>
          <w:p>
            <w:pPr>
              <w:spacing w:after="0"/>
              <w:rPr>
                <w:sz w:val="1"/>
                <w:szCs w:val="1"/>
                <w:color w:val="auto"/>
              </w:rPr>
            </w:pP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0" w:type="dxa"/>
            <w:vAlign w:val="bottom"/>
          </w:tcPr>
          <w:p>
            <w:pPr>
              <w:spacing w:after="0"/>
              <w:rPr>
                <w:sz w:val="1"/>
                <w:szCs w:val="1"/>
                <w:color w:val="auto"/>
              </w:rPr>
            </w:pP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0" w:type="dxa"/>
            <w:vAlign w:val="bottom"/>
          </w:tcPr>
          <w:p>
            <w:pPr>
              <w:spacing w:after="0"/>
              <w:rPr>
                <w:sz w:val="1"/>
                <w:szCs w:val="1"/>
                <w:color w:val="auto"/>
              </w:rPr>
            </w:pPr>
          </w:p>
        </w:tc>
      </w:tr>
      <w:tr>
        <w:trPr>
          <w:trHeight w:val="23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0" w:type="dxa"/>
            <w:vAlign w:val="bottom"/>
          </w:tcPr>
          <w:p>
            <w:pPr>
              <w:spacing w:after="0"/>
              <w:rPr>
                <w:sz w:val="1"/>
                <w:szCs w:val="1"/>
                <w:color w:val="auto"/>
              </w:rPr>
            </w:pPr>
          </w:p>
        </w:tc>
      </w:tr>
      <w:tr>
        <w:trPr>
          <w:trHeight w:val="248"/>
        </w:trPr>
        <w:tc>
          <w:tcPr>
            <w:tcW w:w="9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41,644</w:t>
            </w:r>
          </w:p>
        </w:tc>
        <w:tc>
          <w:tcPr>
            <w:tcW w:w="0" w:type="dxa"/>
            <w:vAlign w:val="bottom"/>
          </w:tcPr>
          <w:p>
            <w:pPr>
              <w:spacing w:after="0"/>
              <w:rPr>
                <w:sz w:val="1"/>
                <w:szCs w:val="1"/>
                <w:color w:val="auto"/>
              </w:rPr>
            </w:pPr>
          </w:p>
        </w:tc>
      </w:tr>
      <w:tr>
        <w:trPr>
          <w:trHeight w:val="20"/>
        </w:trPr>
        <w:tc>
          <w:tcPr>
            <w:tcW w:w="9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Internal use software not yet in service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520" w:type="dxa"/>
            <w:vAlign w:val="bottom"/>
            <w:vMerge w:val="continue"/>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29"/>
        </w:trPr>
        <w:tc>
          <w:tcPr>
            <w:tcW w:w="9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useful lives of the Company’s acquired intangible assets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44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Weighted-Average Remaining Useful Life</w:t>
            </w:r>
          </w:p>
        </w:tc>
      </w:tr>
      <w:tr>
        <w:trPr>
          <w:trHeight w:val="23"/>
        </w:trPr>
        <w:tc>
          <w:tcPr>
            <w:tcW w:w="6820" w:type="dxa"/>
            <w:vAlign w:val="bottom"/>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190"/>
        </w:trPr>
        <w:tc>
          <w:tcPr>
            <w:tcW w:w="6820" w:type="dxa"/>
            <w:vAlign w:val="bottom"/>
          </w:tcPr>
          <w:p>
            <w:pPr>
              <w:spacing w:after="0"/>
              <w:rPr>
                <w:sz w:val="16"/>
                <w:szCs w:val="16"/>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6"/>
        </w:trPr>
        <w:tc>
          <w:tcPr>
            <w:tcW w:w="6820" w:type="dxa"/>
            <w:vAlign w:val="bottom"/>
            <w:tcBorders>
              <w:bottom w:val="single" w:sz="8" w:color="CCEEFF"/>
            </w:tcBorders>
          </w:tcPr>
          <w:p>
            <w:pPr>
              <w:spacing w:after="0"/>
              <w:rPr>
                <w:sz w:val="17"/>
                <w:szCs w:val="17"/>
                <w:color w:val="auto"/>
              </w:rPr>
            </w:pPr>
          </w:p>
        </w:tc>
        <w:tc>
          <w:tcPr>
            <w:tcW w:w="2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7"/>
                <w:szCs w:val="17"/>
                <w:color w:val="auto"/>
              </w:rPr>
            </w:pPr>
          </w:p>
        </w:tc>
        <w:tc>
          <w:tcPr>
            <w:tcW w:w="2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7.7 years</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 years</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2.7 years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 years</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5.9 years</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 years</w:t>
            </w: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1.6 years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 years</w:t>
            </w:r>
          </w:p>
        </w:tc>
      </w:tr>
    </w:tbl>
    <w:p>
      <w:pPr>
        <w:spacing w:after="0" w:line="2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$2.6 million of capitalized internal use software projects that were not yet in service. These assets will be placed into service once the projects have completed, and will be amortized over a three-year useful life. The internal use software projects that were not yet in service have been excluded from the weighted-average remaining useful life calculation for internal use software in the table above.</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goodwill was $133.7 million. No goodwill impairment was recorded during the three months ended March 31, 2024 or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0" w:type="dxa"/>
            <w:vAlign w:val="bottom"/>
          </w:tcPr>
          <w:p>
            <w:pPr>
              <w:spacing w:after="0"/>
              <w:rPr>
                <w:sz w:val="16"/>
                <w:szCs w:val="16"/>
                <w:color w:val="auto"/>
              </w:rPr>
            </w:pPr>
          </w:p>
        </w:tc>
        <w:tc>
          <w:tcPr>
            <w:tcW w:w="15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vendor expenses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related promotions and discounts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reserves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current liabilities primarily relate to sales and income taxes payable, as of March 31, 2024, and warranty liabilities related to the Company’s hardware tracking devices, inventory received not yet billed, and sales taxes payable as of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July 2021 Convertible Notes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2021, the Company issued convertible notes (“July 2021 Convertible Notes”) to investors with an underlying principal amount of $2.1 million. The July 2021 Convertible Notes accrue simple interest at an annual rate of 4% and mature on July 1, 2026. The July 2021 Convertible Notes may be settled under the following scenarios at the option of the holder: (i) at any time into common shares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 interest divided by the conversion price of $11.96; or (iii) upon maturity, settlement in cash at the outstanding accrued interest and principal amount.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conversion and redemption features of the July 2021 Convertible Notes were determined to not be clearly and closely associated with the risk of the debt-type host instrument and were required to be separately accounted for as derivative financial instruments. The Company bifurcated these embedded conversion and redemption (“embedded derivatives”) features and classified these as liabilities measured at fair value. The fair value of the derivative liability of $0.7 million was recorded separate from the July 2021 Convertible Notes with an offsetting amount recorded as a debt discount. The debt discount is amortized over the estimated life of the debt using the straight-line method, as the value attributable to the July 2021 Convertible Notes was zero upon issuance.</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 unamortized amount and net carrying value of the July 2021 Convertible Notes is $0.9 million and $1.2 million, respectively. The amount by which the July 2021 Convertible Notes if-converted value exceeds its principal is $2.4 million as of March 31, 2024.</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unamortized amount and net carrying value of the July 2021 Convertible Notes was $1.1 million and $1.1 million, respectively. The amount by which the July 2021 Convertible Notes if-converted value exceed its principal was $0.6 million as of December 31,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July 2021 Convertible Notes, the Company issued warrants to purchase 88,213 shares of the Company’s common stock with an exercise price of $0.01 per share and a term of one year (Warrant Tranche 1), 44,106 shares of the Company’s common stock with an exercise price of $11.96 per share and a term of 5 years (Warrant Tranche 2), and 44,106 shares of the Company’s common stock which is exercisable starting twelve months from the issuance date with an exercise price of $11.96 per share and a term of 5 years (Warrant Tranche 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were recorded to additional paid-in capital during the year ended December 31, 2021. The fair value of the warrants issued in connection with the July 2021 Convertible Notes was $0.8 million and was recorded as a debt discount that is being amortized to interest expense under the straight-line method over the term of the respective July 2021 Convertible Notes.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beneficial conversion feature associated with the July 2021 Convertible Notes, $0.6 million was added to additional paid-in capital during the year ended December 31, 2021. The beneficial conversion feature was recorded as a debt discount and is being amortized to interest expense under the straight-line method over the term of the respective July 2021 Convertible Notes.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March 31, 2023, the Company recognized a total of $0.1 million and $0.1 million, respectively, in non-cash interest expense related to the July 2021 Convertible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September 2021 Convertible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2021, the Company, in connection with the Jiobit Acquisition, issued $11.6 million representing the fair value of convertible notes (the</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“September 2021 Convertible Notes”) and $1.6 million of revesting convertible notes (“Revesting Notes”) that vest over time. The September 2021 Convertible Notes were convertible to common stock at any time subsequent to the acquisition at a fixed conversion price of $22.50 per share. The Company agreed to repay 1/3rd of the unconverted principal plus accrued interest to the holders of such notes on each of the first three annual anniversaries of the issuance date of the September 2021 Convertible Notes, the first two payments of which were made in September 2022 and 2023. Upon a change of control, the holder could elect to either convert at the fixed conversion price of $22.50 per share or be repaid in full. The Company elected the fair value option and remeasured the September 2021 Convertible Notes at their fair value on each reporting date and reflect the changes in fair value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September 2021 Convertible Notes is determined using a combination of the present value of the cash flows and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 pricing model using assumptions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320" w:type="dxa"/>
            <w:vAlign w:val="bottom"/>
          </w:tcPr>
          <w:p>
            <w:pPr>
              <w:spacing w:after="0"/>
              <w:rPr>
                <w:sz w:val="16"/>
                <w:szCs w:val="16"/>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0" w:type="dxa"/>
            <w:vAlign w:val="bottom"/>
          </w:tcPr>
          <w:p>
            <w:pPr>
              <w:spacing w:after="0"/>
              <w:rPr>
                <w:sz w:val="16"/>
                <w:szCs w:val="16"/>
                <w:color w:val="auto"/>
              </w:rPr>
            </w:pPr>
          </w:p>
        </w:tc>
        <w:tc>
          <w:tcPr>
            <w:tcW w:w="15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As of September 1,</w:t>
            </w:r>
          </w:p>
        </w:tc>
      </w:tr>
      <w:tr>
        <w:trPr>
          <w:trHeight w:val="203"/>
        </w:trPr>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154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3,365</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3,365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11,206</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w:t>
            </w:r>
          </w:p>
        </w:tc>
        <w:tc>
          <w:tcPr>
            <w:tcW w:w="260" w:type="dxa"/>
            <w:vAlign w:val="bottom"/>
          </w:tcPr>
          <w:p>
            <w:pPr>
              <w:spacing w:after="0"/>
              <w:rPr>
                <w:sz w:val="19"/>
                <w:szCs w:val="19"/>
                <w:color w:val="auto"/>
              </w:rPr>
            </w:pP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6.8 %</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fair value per share</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25.59</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15.46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20.49</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price per share</w:t>
            </w:r>
          </w:p>
        </w:tc>
        <w:tc>
          <w:tcPr>
            <w:tcW w:w="260" w:type="dxa"/>
            <w:vAlign w:val="bottom"/>
          </w:tcPr>
          <w:p>
            <w:pPr>
              <w:spacing w:after="0"/>
              <w:rPr>
                <w:sz w:val="19"/>
                <w:szCs w:val="19"/>
                <w:color w:val="auto"/>
              </w:rPr>
            </w:pPr>
          </w:p>
        </w:tc>
        <w:tc>
          <w:tcPr>
            <w:tcW w:w="16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22.50</w:t>
            </w:r>
          </w:p>
        </w:tc>
        <w:tc>
          <w:tcPr>
            <w:tcW w:w="320" w:type="dxa"/>
            <w:vAlign w:val="bottom"/>
          </w:tcPr>
          <w:p>
            <w:pPr>
              <w:spacing w:after="0"/>
              <w:rPr>
                <w:sz w:val="19"/>
                <w:szCs w:val="19"/>
                <w:color w:val="auto"/>
              </w:rPr>
            </w:pP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22.50</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5.34 %</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0.45 %</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to exercise (in years)</w:t>
            </w:r>
          </w:p>
        </w:tc>
        <w:tc>
          <w:tcPr>
            <w:tcW w:w="260" w:type="dxa"/>
            <w:vAlign w:val="bottom"/>
          </w:tcPr>
          <w:p>
            <w:pPr>
              <w:spacing w:after="0"/>
              <w:rPr>
                <w:sz w:val="19"/>
                <w:szCs w:val="19"/>
                <w:color w:val="auto"/>
              </w:rPr>
            </w:pPr>
          </w:p>
        </w:tc>
        <w:tc>
          <w:tcPr>
            <w:tcW w:w="16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9"/>
                <w:szCs w:val="19"/>
                <w:color w:val="auto"/>
              </w:rPr>
            </w:pP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36 %</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dividend yield</w:t>
            </w:r>
          </w:p>
        </w:tc>
        <w:tc>
          <w:tcPr>
            <w:tcW w:w="260" w:type="dxa"/>
            <w:vAlign w:val="bottom"/>
          </w:tcPr>
          <w:p>
            <w:pPr>
              <w:spacing w:after="0"/>
              <w:rPr>
                <w:sz w:val="20"/>
                <w:szCs w:val="20"/>
                <w:color w:val="auto"/>
              </w:rPr>
            </w:pP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0 %</w:t>
            </w: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Revesting Notes are restricted and vest with continuous employment of certain key employees over a 3-year period subsequent to the acquisition. The Revesting Notes are recognized in general and administrative expense. In January 2023, the final key employee exited the Company. As part of their separation agreement, their Revesting Notes are due in their entirety at the maturity date and the Company recorded $0.1 million of compensation expense included in general and administrative expense.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records the Revesting Notes at fair value and will remeasure the Revesting Notes at fair value on each reporting date. As the Revesting Notes vest, the changes in fair value are recorded as general and administrative expense with a corresponding entry to convertibles notes. The estimated fair value of the Revesting Notes is determined using a combination of the present value of the Revesting Notes cash flows and the Black-Scholes option pricing model. The terms of the Revesting Notes are consistent with the terms of the September 2021 Convertible Notes. For the three months ended March 31, 2024 and 2023, the Company recorded zero and $0.1 million, respectively, to compensation expense included in general and administrative expense related to the changes in fair value of the Revesting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current and noncurrent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0" w:type="dxa"/>
            <w:vAlign w:val="bottom"/>
          </w:tcPr>
          <w:p>
            <w:pPr>
              <w:spacing w:after="0"/>
              <w:rPr>
                <w:sz w:val="16"/>
                <w:szCs w:val="16"/>
                <w:color w:val="auto"/>
              </w:rPr>
            </w:pPr>
          </w:p>
        </w:tc>
        <w:tc>
          <w:tcPr>
            <w:tcW w:w="16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notes, current:</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2021 Convertible Notes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notes, noncurrent: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July 2021 Convertible Notes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23"/>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convertible notes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r>
      <w:tr>
        <w:trPr>
          <w:trHeight w:val="507"/>
        </w:trPr>
        <w:tc>
          <w:tcPr>
            <w:tcW w:w="9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contractual future principal payments for all convertible notes as of March 31, 2024 were as follows (in thousands):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7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center"/>
              <w:ind w:right="136"/>
              <w:spacing w:after="0"/>
              <w:rPr>
                <w:sz w:val="20"/>
                <w:szCs w:val="20"/>
                <w:color w:val="auto"/>
              </w:rPr>
            </w:pPr>
            <w:r>
              <w:rPr>
                <w:rFonts w:ascii="Times New Roman" w:cs="Times New Roman" w:eastAsia="Times New Roman" w:hAnsi="Times New Roman"/>
                <w:sz w:val="14"/>
                <w:szCs w:val="14"/>
                <w:i w:val="1"/>
                <w:iCs w:val="1"/>
                <w:color w:val="auto"/>
              </w:rPr>
              <w:t>(unaudited)</w:t>
            </w:r>
          </w:p>
        </w:tc>
      </w:tr>
      <w:tr>
        <w:trPr>
          <w:trHeight w:val="23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outstanding</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3"/>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convertible notes</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w:t>
            </w:r>
          </w:p>
        </w:tc>
      </w:tr>
      <w:tr>
        <w:trPr>
          <w:trHeight w:val="20"/>
        </w:trPr>
        <w:tc>
          <w:tcPr>
            <w:tcW w:w="7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2024, the holders of the September 2021 Convertible Notes elected to convert their notes and accrued interest to common stock based on the fixed conversion price of $22.50 per share. Refer to Note 17, "Subsequent Events" for further details.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 Liability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derivative liability represents embedded share-settled redemption features bifurcated from its July 2021 Convertible Notes and is carried at fair value. The changes in the fair value of the derivative liability are recorded in other income (expense), net in the Company’s condensed consolidated statements of operations and comprehensive loss.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Estimating fair values of derivative financial instruments requires the development of significant and subjective estimates that may, and are likely to, change over the duration of the instrument with related changes in internal and external market factors. Since derivative financial instruments are initially and subsequently carried at fair value, the Company’s income will reflect the volatility in these estimate and assumption changes.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features embedded in the July 2021 Convertible Notes are combined into one compound embedded derivative. The fair value of the embedded derivative was estimated based on the present value of the redemption discount applied to the principal amount of the July 2021 Convertible Notes adjusted to reflect the weighted probability of exercise. The discount rate was based on the risk-free interest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embedded derivative is determined using a lattice model with the following assumptions: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0" w:type="dxa"/>
            <w:vAlign w:val="bottom"/>
          </w:tcPr>
          <w:p>
            <w:pPr>
              <w:spacing w:after="0"/>
              <w:rPr>
                <w:sz w:val="16"/>
                <w:szCs w:val="16"/>
                <w:color w:val="auto"/>
              </w:rPr>
            </w:pPr>
          </w:p>
        </w:tc>
        <w:tc>
          <w:tcPr>
            <w:tcW w:w="16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7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2,110</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fair value per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15.46</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- 4.2%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- 4.0%</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(in years)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 - 76.9%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- 61.2%</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adjusted spread (bps)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613</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dividend yield</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rate (AUD to USD)</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0.68</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issuance of the July 2021 Convertible Notes, the Company recorded a derivative liability of $0.7 million at fair value using inputs classified as Level 3 in the fair value hierarchy. As of March 31, 2024 and December 31, 2023, the fair value of the derivative liability was $1.9 million and $0.2 million, respectively. Refer to Note 6, "Fair Value Measurements" for further details.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 has certain commitments with its cloud platform provider and sole contract manufacturer that are non-cancellable. As of March 31, 2024, future non-cancellable commitments under these agreements were as follows in thousands):</w:t>
      </w: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21,409</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w:t>
            </w:r>
          </w:p>
        </w:tc>
      </w:tr>
      <w:tr>
        <w:trPr>
          <w:trHeight w:val="230"/>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26,000</w:t>
            </w: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97,909</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the Company believes could have a material adverse effect on its financial position, results of operations or cash flows.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 and Indemnification</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 date, the Company has not incurred significant costs and has not accrued any material liabilities in the accompanying condensed consolidated financial statements as a result of its warranty and indemnification obligations.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Occasionally, the Company is involved in various legal proceedings, claims and government investigations in the ordinary course of business. The outcome of litigation and other legal matters is inherently uncertain, though the Company intends to vigorously defend the matters. In making a determination regarding accruals, using available information, the Company evaluates the likelihood of an unfavorable outcome in legal or regulatory proceedings to which the Company is a party and records a loss contingency when it is probable a liability has been incurred and the amount of the loss can be reasonably estimated. When the Company determines an unfavorable outcome is not probable or reasonably estimable the Company does not accrue for any potential litigation loss. Actual outcomes of these legal and regulatory proceedings may materially differ from the Company’s estimates.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March 12, 2019, a former alleged competitor of Tile, Cellwitch, Inc, filed a patent infringement claim against Tile in the U.S. District Court, Northern District of California, seeking permanent injunction and damages. On December 18, 2019, Tile filed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petition with the Patent Trial and Appeal Board (“PTAB”) challenging the validity of the patent. On May 13, 2021, the PTAB issued a Final Written Decision on Tile’s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petition (the “Final Written Decision”), finding a majority of the claims invalid. The Final Written Decision was affirmed by the U.S. Court of Appeals for the Federal Circuit on May 13, 2022. The case is currently in trial court. The claim construction hearing took place on January 18, 2024, and on April 23, 2024, the court released its order which found 10 of the claims invalid, leaving only 2 active claims remaining. At this time, a loss is not probable nor estimable, and as a result, no litigation reserve has been recorded on our condensed consolidated balance sheet as of March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litigation reserve was recorded on our condensed consolidated balance sheets as of March 31, 2024 and December 31, 2023,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potentially outstanding common stock reserved for issuance: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19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5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0"/>
        </w:trPr>
        <w:tc>
          <w:tcPr>
            <w:tcW w:w="75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under stock incentive plan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6,186,944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6,625,812</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upon exercise of common stock warrants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95,973</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137,658</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upon vesting of restricted stock units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5,408,458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6,182,543</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upon conversion of convertible notes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325,981</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325,981</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shares available to be granted but not granted yet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20,682,366</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16,882,215</w:t>
            </w:r>
          </w:p>
        </w:tc>
      </w:tr>
      <w:tr>
        <w:trPr>
          <w:trHeight w:val="223"/>
        </w:trPr>
        <w:tc>
          <w:tcPr>
            <w:tcW w:w="75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32,699,722</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30,154,209</w:t>
            </w:r>
          </w:p>
        </w:tc>
      </w:tr>
      <w:tr>
        <w:trPr>
          <w:trHeight w:val="20"/>
        </w:trPr>
        <w:tc>
          <w:tcPr>
            <w:tcW w:w="75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Warrants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outstanding warrants to purchase 95,973 shares of Company common stock with exercise prices ranging from $6.44 to $11.96 and expiry dates ranging from 2025 to 2026.</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2024, 41,685 of the Company’s freestanding warrants were exercised to purchase shares of the Company’s common stock at an exercise price of $2.28 per share.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outstanding warrants to purchase 137,658 shares of Company common stock with exercise prices ranging from $2.28 to $11.96 and expiry dates ranging from 2024 to 2026. Refer to Note 8, "Convertible Notes" for further details.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equity incentive plan allows the Company to grant restricted stock units, performance-based restricted stock units (PRSU), restricted stock, and stock options to employees and consultants of the Company and any of the Company’s parent, subsidiaries, or affiliates, and to the members of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of stock option activity for the periods presented is as follows (in thousands, except share and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7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7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1"/>
                <w:szCs w:val="11"/>
                <w:color w:val="auto"/>
              </w:rPr>
            </w:pPr>
          </w:p>
        </w:tc>
        <w:tc>
          <w:tcPr>
            <w:tcW w:w="140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2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7"/>
                <w:szCs w:val="17"/>
                <w:color w:val="auto"/>
              </w:rPr>
            </w:pPr>
          </w:p>
        </w:tc>
        <w:tc>
          <w:tcPr>
            <w:tcW w:w="14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6,625,812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59,957</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canceled/forfeited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6,186,944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March 31, 2024</w:t>
            </w: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107,623</w:t>
            </w:r>
          </w:p>
        </w:tc>
        <w:tc>
          <w:tcPr>
            <w:tcW w:w="0" w:type="dxa"/>
            <w:vAlign w:val="bottom"/>
          </w:tcPr>
          <w:p>
            <w:pPr>
              <w:spacing w:after="0" w:line="20" w:lineRule="exact"/>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1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5,327,732</w:t>
            </w:r>
          </w:p>
        </w:tc>
        <w:tc>
          <w:tcPr>
            <w:tcW w:w="340" w:type="dxa"/>
            <w:vAlign w:val="bottom"/>
            <w:gridSpan w:val="2"/>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there was total unrecognized compensation cost for outstanding stock options of $3.4 million to be recognized over a period of approximately 1.7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granted 54,075 PRSUs (“the Target Grant”) to certain executives during the three months ended March 31, 2024. The number of PRSUs that may be vested depends on the extent to which performance goals for the award are achieved over a one-year performance period, as determined by the Remuneration and Nomination Committee of the Board, up to a maximum of 200% of the Target Grant. The performance goals for the PRSUs consist of the following two metrics, each with a weighting of 50%: (1) a revenue metric for the year ended December 31, 2024; and (2) an Adjusted EBITDA metric for the year ended December 31, 2024. Each of the metrics are within the Company’s published revenue and Adjusted EBITDA guidance described in the Company’s press release furnished within Exhibit 99.1 of the Company’s Current Report on Form 8-K filed with the SEC on February 29, 2024.</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PRSU awards vest over a four-year period with 1/4th of the shares vesting after the first year and 1/16th of the shares vesting each quarter thereafter. As of March 31, 2024, PRSUs granted in 2024 are being accrued at the target amount. The Company uses the grant date fair value of the common stock to measure compensation expense for PRSU awards. Compensation expense is recognized over the vesting period of the PRSU award using the straight-line method and shares attained over target upon vesting will be recognized as awards granted in the period. No PRSU awards vested as of March 31,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of restricted stock units (including PRSUs) activity for the periods presented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7960" w:type="dxa"/>
            <w:vAlign w:val="bottom"/>
          </w:tcPr>
          <w:p>
            <w:pPr>
              <w:spacing w:after="0"/>
              <w:rPr>
                <w:sz w:val="12"/>
                <w:szCs w:val="12"/>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Pr>
          <w:p>
            <w:pPr>
              <w:spacing w:after="0"/>
              <w:rPr>
                <w:sz w:val="12"/>
                <w:szCs w:val="12"/>
                <w:color w:val="auto"/>
              </w:rPr>
            </w:pPr>
          </w:p>
        </w:tc>
        <w:tc>
          <w:tcPr>
            <w:tcW w:w="136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96"/>
        </w:trPr>
        <w:tc>
          <w:tcPr>
            <w:tcW w:w="796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9"/>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6,182,543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 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vested and settled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(1,313,564)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 canceled/forfeited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(146,219)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5,408,458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there was unrecognized compensation cost for outstanding restricted stock units of $64.7 million to be recognized over a period of approximately 2.8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RSUs vested and settled includes shares of common stock that the Company withheld on behalf of employees to satisfy the minimum statutory tax withholding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312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r>
      <w:tr>
        <w:trPr>
          <w:trHeight w:val="24"/>
        </w:trPr>
        <w:tc>
          <w:tcPr>
            <w:tcW w:w="75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75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0"/>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costs</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2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 costs</w:t>
            </w: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7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costs</w:t>
            </w:r>
          </w:p>
        </w:tc>
        <w:tc>
          <w:tcPr>
            <w:tcW w:w="1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was an immaterial amount of capitalized stock-based compensation costs and no stock-based compensation tax benefits recognized during the three months ended March 31,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 Issued in Connection with Business Combinations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Jio, Inc.</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Jiobit acquisition in September 2021, the Company issued 91,217 shares of restricted common stock with an aggregate fair value of $1.9 million to be recognized as post combination stock-based compensation ratably with continuous employment of certain employees over a 3 year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2023, a key employee of the Jiobit acquisition terminated employment with the Company. As part of such employee’s separation agreement, the Company recorded $0.2 million to compensation included in general and administrative expense related to their Revesting Stock. As of each of March 31, 2024 and December 31, 2023, there was zero unrecognized compensation expense related to the restricted common stock, as a result of the termination of certain employees.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Company granted 43,083 service-based stock options under the Plan to certain Jiobit employees with an aggregate fair value of $0.5 million which vests ratably over the requisite service period. As of March 31, 2024, there was $32 thousand of unrecognized compensation expense related to unvested assumed stock options, which is expected to be recognized over the remaining weighted average life of 0.8 years. As of December 31, 2023, there was $0.1 million of unrecognized compensation expense related to unvested assumed stock options, which is expected to be recognized over the remaining weighted average life of 1 year.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Tile, Inc.</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Tile acquisition in January 2022, the Company issued 1,499,349 shares of retention restricted stock units with an aggregate fair value of $29.6 million. Of the 1,499,349 shares of retention restricted stock units, 787,446 shares valued at $15.6 million contained performance vesting criteria based on the achievement of certain company milestones during the three months ended March 31, 2022, and vest over a two year period. As of March 31, 2022, the vesting criteria had not been met and all 787,446 restricted stock units were forfeited. The remaining 711,903 retention restricted stock units vest over a two to four year period. As of March 31, 2024, there was $0.6 million of unrecognized compensation expense related to the retention restricted stock units which is expected to be recognized over the remaining weighted average life of 1.8 years. As of December 31, 2023, there was $0.7 million of unrecognized compensation expense related to the retention restricted stock units which is expected to be recognized over the remaining weighted average life of 1.9 years.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issued 38,730 vested common stock options to Tile employees as stock-based compensation on the acquisition date. The aggregate fair value of $0.4 million was recognized as compensation expense on the date of acquisition.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694,672 shares of common stock with an aggregate fair value of $13.7 million were issued to Tile shareholders as part of purchase consideration.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$13.7 million was included within purchase consideration.</w:t>
      </w:r>
    </w:p>
    <w:p>
      <w:pPr>
        <w:spacing w:after="0" w:line="20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 total of 1,561 shares of common stock with an aggregate fair value of $31 thousand were issued to a key employee, the vesting of which is subject to continued employment over a 30-month period. As of March 31, 2024 and December 31, 2023 there was an immaterial amount of unrecognized</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expense related to unvested restricted stock units which is expected to be recognized over the remaining 0.3 years and 0.5 years,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total of 84,524 shares of common stock were issued as part of consideration transferred and were placed in an indemnity escrow fund to be held for fifteen months after the acquisition date for general representations and warranties. The aggregate fair value of $1.7 million was included within purchase consideration. All 84,524 shares of common stock were released from escrow in April 2023 as scheduled.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income taxes for interim periods is determined using an estimated annual effective tax rate in accordance with ASC 740-270, Income Taxes, Interim Reporting. The effective tax rate may be subject to fluctuations during the year as new information is obtained, which may affect the assumptions used to estimate the annual effective tax rate, including factors such as valuation allowances against deferred tax assets, the recognition or de-recognition of tax benefits related to uncertain tax position, if any, and changes in or the interpretation of tax laws in jurisdictions where the Company conducts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 provision for income taxes of $1.4 million and $0.1 million for the three months ended March 31, 2024 and 2023,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Tax Cuts and Jobs Act of 2017, research and experimental (“R&amp;E”) expenses under Internal Revenue Code Section 174 are required to be capitalized beginning in 2022. R&amp;E expenses are required to be amortized over a period of five years for domestic expenses and fifteen years for foreign expenses. The Company has capitalized R&amp;E expenditures in its income tax provision as a result. Accordingly, for the three months ended March 31, 2024 and 2023, the Company recorded income tax expense of $1.4 million and $0.1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Defined Contribution Plan</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sponsors a defined contribution plan under Section 401(k) of the Internal Revenue Code covering substantially all employees over the age of 21 years. Contributions made by the Company are voluntary and are determined annually by the Board of Directors on an individual basis subject to the maximum allowable amount under federal tax regulations. Employer contributions to the plan were $0.7 million for the three months ended March 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immaterial for the three months ended March 31, 2023</w:t>
      </w:r>
      <w:r>
        <w:rPr>
          <w:rFonts w:ascii="Arial" w:cs="Arial" w:eastAsia="Arial" w:hAnsi="Arial"/>
          <w:sz w:val="21"/>
          <w:szCs w:val="21"/>
          <w:color w:val="auto"/>
        </w:rPr>
        <w: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(in thousands except share and per share information):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0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5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75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basic and diluted</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68,535,626</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65,592,780</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for the periods presented because including them would have been antidilutive are as follows:</w:t>
      </w:r>
    </w:p>
    <w:p>
      <w:pPr>
        <w:sectPr>
          <w:pgSz w:w="11900" w:h="16838" w:orient="portrait"/>
          <w:cols w:equalWidth="0" w:num="1">
            <w:col w:w="11240"/>
          </w:cols>
          <w:pgMar w:left="320" w:top="225" w:right="339" w:bottom="1440" w:gutter="0" w:footer="0" w:header="0"/>
        </w:sectPr>
      </w:pPr>
    </w:p>
    <w:p>
      <w:pPr>
        <w:spacing w:after="0" w:line="196"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33655</wp:posOffset>
            </wp:positionV>
            <wp:extent cx="10801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35"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33655</wp:posOffset>
            </wp:positionV>
            <wp:extent cx="10801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3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33" w:lineRule="exact"/>
        <w:rPr>
          <w:sz w:val="20"/>
          <w:szCs w:val="20"/>
          <w:color w:val="auto"/>
        </w:rPr>
      </w:pPr>
    </w:p>
    <w:p>
      <w:pPr>
        <w:sectPr>
          <w:pgSz w:w="11900" w:h="16838" w:orient="portrait"/>
          <w:cols w:equalWidth="0" w:num="2">
            <w:col w:w="9180" w:space="720"/>
            <w:col w:w="134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under stock incentive plan</w:t>
            </w:r>
          </w:p>
        </w:tc>
        <w:tc>
          <w:tcPr>
            <w:tcW w:w="312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6,186,944</w:t>
            </w:r>
          </w:p>
        </w:tc>
        <w:tc>
          <w:tcPr>
            <w:tcW w:w="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7,708,686</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upon exercise of common stock warrants</w:t>
            </w:r>
          </w:p>
        </w:tc>
        <w:tc>
          <w:tcPr>
            <w:tcW w:w="4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95,973</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upon vesting of restricted stock units</w:t>
            </w:r>
          </w:p>
        </w:tc>
        <w:tc>
          <w:tcPr>
            <w:tcW w:w="4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5,408,458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5,109,200</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upon conversion of convertible notes</w:t>
            </w:r>
          </w:p>
        </w:tc>
        <w:tc>
          <w:tcPr>
            <w:tcW w:w="4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325,981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516,758</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spacing w:after="0"/>
              <w:rPr>
                <w:sz w:val="21"/>
                <w:szCs w:val="21"/>
                <w:color w:val="auto"/>
              </w:rPr>
            </w:pPr>
          </w:p>
        </w:tc>
        <w:tc>
          <w:tcPr>
            <w:tcW w:w="31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12,017,356</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13,472,302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24</w:t>
            </w: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6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September 2021 Convertible Notes Conversion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2024, the holders of the September 2021 Convertible Notes elected to convert their notes and accrued interest to common stock based on a fixed conversion price of $22.50 per share. At the time of conversion, the September 2021 Convertible Notes had an outstanding principal and accrued interest balance of $3.5 million. As a result of the conversion, 157,685 shares of common stock with a fair value of $3.5 million were issued to the holders in redemption of the outstanding September 2021 Convertible Notes. In April 2024, the fair value of the issued common stock was recorded within additional</w:t>
      </w:r>
    </w:p>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paid-in capital on the Company’s condensed consolidated balance sheet and a $0.5 million gain on settlement of the September 2021 Convertible Notes was recorded in other income (expense), net on the condensed consolidated statements of operations and comprehensive loss.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the section titled “Risk Factors” under Part II, Item 1A in this Quarterly Report on Form 10-Q and Part I, Item 1A in our Annual Report.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Life360 is a leading technology platform used to locate the people, pets and things that matter most to families. Life360 is creating a new category at the intersection of family, technology, and safety to help keep families safe and connected. Our core offering, the Life360 mobile application, includes features that range from communications to driving safety and location sharing. The Life360 mobile application operates under a “freemium” model where its core offering is available to members at no charge, with three membership subscription options that are available but not required. We also generate revenue through Jiobit and Tile subscription services and hardware tracking devices. By offering devices and integrated software to members, we have expanded our addressable market to provide members of all ages with a vertically integrated, cross-platform solution of scale.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believe that our results of operations are affected by a number of factors, such as: the ability to remain a trusted brand; attracting, retaining, and converting members; maintaining efficient member acquisition; the ability to attract new and repeat purchasers of our hardware tracking devices; growth in Average Revenue per Paying Circle (“ARPPC”); expanding offerings on our platform; attracting and retaining talent; seasonality; and international expansion. We discuss each of these factors in more detail under the heading “Item 7. Management’s Discussion and Analysis of Financial Condition and Results of Operations—Key Factors Affecting Our Performance” in our Annual Report. While we do not have control of all factors affecting our results from operations, we work diligently to influence and manage those factors which we can impact to enhance our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Subscription Revenue</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generate revenue primarily from sales of subscriptions on our platform, including Life360, Jiobit and Tile.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spacing w:after="0" w:line="2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Hardware Revenue</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generate our hardware revenue from the sale of the Jiobit and Tile hardware tracking devices and related accessories. For hardware and accessories, revenue is recognized at the time products are delivered. We sell hardware tracking devices and accessories through a number of channels including our websites, brick and mortar retail and online retail.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Other Revenue</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generate revenue through an arrangement with a key data partner that provides location-based analytics services to customers in the retail and real estate sectors, municipalities, and other private and public organizations. The agreement permits commercialization of certain aggregated and de-identified data and provides for fixed and variable monthly revenue amounts. Other revenue also includes advertising and partnership revenue, which represents agreements with third parties to provide access to advertising on the Company’s mobile platform. Advertising revenue for the three months ended March 31, 2024 was immaterial, however, we anticipate meaningful growth in the second half of the year.</w:t>
      </w:r>
    </w:p>
    <w:p>
      <w:pPr>
        <w:spacing w:after="0" w:line="2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Cost of Subscription Revenue</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Cost of subscription revenue primarily consists of expenses related to hosting our services and providing support to our free and paying subscribers. These expenses include personnel-related costs associated with our cloud-based infrastructure and our customer support organization, third-party hosting fees, software, and maintenance costs, outside services associated with the delivery of our subscription services,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spacing w:after="0" w:line="18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plan to continue increasing the capacity and enhancing the capability and reliability of our infrastructure to support member growth and increased use of our platform. We expect that cost of revenue will increase in absolute dollars in future periods.</w:t>
      </w:r>
    </w:p>
    <w:p>
      <w:pPr>
        <w:spacing w:after="0" w:line="2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Cost of Hardware Revenue</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and write-downs of excess and obsolete inventory. Personnel-related expenses include salaries, bonuses, benefits, and stock-based compensation for operations personnel.</w:t>
      </w:r>
    </w:p>
    <w:p>
      <w:pPr>
        <w:spacing w:after="0" w:line="2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Cost of Other Revenue</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Cost of other revenue includes cloud-based hosting costs, as well as costs of product operations functions and personnel-related costs associated with our data and advertising platforms. Personnel-related expenses include salaries, bonuses, benefits, and stock-based compensation for operations personnel.</w:t>
      </w:r>
    </w:p>
    <w:p>
      <w:pPr>
        <w:spacing w:after="0" w:line="2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Gross Profit and Gross Profit Margin</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gross profit has been, and may in the future be, influenced by several factors, including timing of capital expenditures and related depreciation expense, increases in infrastructure costs, component costs, contract manufacturing and supplier pricing, and foreign currency exchange rates. Gross profit and gross profit margin may fluctuate over time based on the factors described above.</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selling and marketing, and general and administrative expenses.</w:t>
      </w:r>
    </w:p>
    <w:p>
      <w:pPr>
        <w:spacing w:after="0" w:line="2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personnel-related costs for our engineering, product, and design teams, material costs of building and developing prototypes for new products, mobile app development and allocated overhead. We believe that continued investment in our platform is important for our growth. We intend to continue to invest in research and development to bring new customer experiences and devices to market and expand our platform capabilities.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Sales and Marketing</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sales and marketing expenses consist primarily of personnel-related costs, brand marketing costs, lead generation costs, sales incentives, sponsorships and amortization of acquired intangibles. Revenue-share payments to third parties in connection with annual subscription sales of the Company’s mobile application on third-party store platforms are considered to be incremental and recoverable costs of obtaining a contract with a customer and are deferred and typically amortized over an estimated period of benefit of two to three years depending on the subscription type.</w:t>
      </w:r>
    </w:p>
    <w:p>
      <w:pPr>
        <w:spacing w:after="0" w:line="180"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w:t>
      </w:r>
    </w:p>
    <w:p>
      <w:pPr>
        <w:spacing w:after="0" w:line="2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employee-related costs for our legal, finance, human resources, and other administrative teams, as well as certain executives. In addition, general and administrative expenses include allocated overhead, outside legal, accounting and other professional fees, change in fair value of contingent consideration for business combinations, and non-income-based taxes. We expect our general and administrative expenses will increase in absolute dollars as our business grows.</w:t>
      </w: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Convertible Notes Fair Value Adjustment</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issued convertible notes to investors in July 2021 (the “July 2021 Convertible Notes”), and as part of the purchase consideration related to the Jiobit Acquisition in September 2021 (the “September 2021 Convertible Notes” and together with the July 2021 Convertible Notes, the “Convertible Notes”). The September 2021 Convertible Notes were recorded at fair value and revalued at each reporting period.</w:t>
      </w:r>
    </w:p>
    <w:p>
      <w:pPr>
        <w:spacing w:after="0" w:line="2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Derivative Liability Fair Value Adjustment</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Derivative liability fair value adjustment relates to the change in the fair value of the embedded conversion and redemption features associated with the July 2021 Convertible Notes.</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interest income earned on our cash and cash equivalents balances, foreign currency exchange (losses)/gains related to the remeasurement of certain assets and liabilities of our foreign subsidiaries that are denominated in currencies other than the functional currency of the subsidiary and foreign exchange transactions gains/(losses) and interest expense primarily related to the Convertible Notes.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and foreign income taxes in jurisdictions in which we conduct business. We maintain a full valuation allowance on our federal and state deferred tax assets as we have concluded that it is not more likely than not that the deferred tax assets will be realized.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set forth our condensed consolidated statements of operations and comprehensive loss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 (in thousands, except percentages).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98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vMerge w:val="restart"/>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5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51,664</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78,227</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68,143</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subscription revenue</w:t>
            </w:r>
            <w:r>
              <w:rPr>
                <w:rFonts w:ascii="Times New Roman" w:cs="Times New Roman" w:eastAsia="Times New Roman" w:hAnsi="Times New Roman"/>
                <w:sz w:val="23"/>
                <w:szCs w:val="23"/>
                <w:color w:val="auto"/>
                <w:vertAlign w:val="superscript"/>
              </w:rPr>
              <w:t>(1)</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hardware revenue</w:t>
            </w:r>
            <w:r>
              <w:rPr>
                <w:rFonts w:ascii="Times New Roman" w:cs="Times New Roman" w:eastAsia="Times New Roman" w:hAnsi="Times New Roman"/>
                <w:sz w:val="23"/>
                <w:szCs w:val="23"/>
                <w:color w:val="auto"/>
                <w:vertAlign w:val="superscript"/>
              </w:rPr>
              <w:t>(1)</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other revenue</w:t>
            </w:r>
            <w:r>
              <w:rPr>
                <w:rFonts w:ascii="Times New Roman" w:cs="Times New Roman" w:eastAsia="Times New Roman" w:hAnsi="Times New Roman"/>
                <w:sz w:val="23"/>
                <w:szCs w:val="23"/>
                <w:color w:val="auto"/>
                <w:vertAlign w:val="superscript"/>
              </w:rPr>
              <w:t>(1)</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3"/>
        </w:trPr>
        <w:tc>
          <w:tcPr>
            <w:tcW w:w="5520" w:type="dxa"/>
            <w:vAlign w:val="bottom"/>
          </w:tcPr>
          <w:p>
            <w:pPr>
              <w:ind w:left="360"/>
              <w:spacing w:after="0" w:line="223" w:lineRule="exact"/>
              <w:rPr>
                <w:sz w:val="20"/>
                <w:szCs w:val="20"/>
                <w:color w:val="auto"/>
              </w:rPr>
            </w:pPr>
            <w:r>
              <w:rPr>
                <w:rFonts w:ascii="Times New Roman" w:cs="Times New Roman" w:eastAsia="Times New Roman" w:hAnsi="Times New Roman"/>
                <w:sz w:val="18"/>
                <w:szCs w:val="18"/>
                <w:color w:val="auto"/>
              </w:rPr>
              <w:t>Total cost of revenue</w:t>
            </w:r>
            <w:r>
              <w:rPr>
                <w:rFonts w:ascii="Times New Roman" w:cs="Times New Roman" w:eastAsia="Times New Roman" w:hAnsi="Times New Roman"/>
                <w:sz w:val="23"/>
                <w:szCs w:val="23"/>
                <w:color w:val="auto"/>
                <w:vertAlign w:val="superscript"/>
              </w:rPr>
              <w:t>(1)</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18,214</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18,313</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49,830</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27,197</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66,392</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64,722</w:t>
            </w:r>
          </w:p>
        </w:tc>
        <w:tc>
          <w:tcPr>
            <w:tcW w:w="2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1,191 %</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stock-based compensation expense as follows (in thousands, except percentages):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06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5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costs</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9"/>
                <w:szCs w:val="19"/>
                <w:color w:val="auto"/>
              </w:rPr>
            </w:pPr>
          </w:p>
        </w:tc>
        <w:tc>
          <w:tcPr>
            <w:tcW w:w="118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 costs</w:t>
            </w: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costs</w:t>
            </w: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2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5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total revenue:</w:t>
      </w:r>
    </w:p>
    <w:p>
      <w:pPr>
        <w:spacing w:after="0" w:line="259"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30"/>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hardware revenue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other revenue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1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0"/>
        </w:trPr>
        <w:tc>
          <w:tcPr>
            <w:tcW w:w="8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9"/>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8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9"/>
        </w:trPr>
        <w:tc>
          <w:tcPr>
            <w:tcW w:w="8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3"/>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80" w:type="dxa"/>
            <w:vAlign w:val="bottom"/>
            <w:tcBorders>
              <w:bottom w:val="single" w:sz="8" w:color="CCEEFF"/>
            </w:tcBorders>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 w:lineRule="exact"/>
        <w:rPr>
          <w:sz w:val="20"/>
          <w:szCs w:val="20"/>
          <w:color w:val="auto"/>
        </w:rPr>
      </w:pPr>
    </w:p>
    <w:p>
      <w:pPr>
        <w:sectPr>
          <w:pgSz w:w="11900" w:h="16838" w:orient="portrait"/>
          <w:cols w:equalWidth="0" w:num="1">
            <w:col w:w="11240"/>
          </w:cols>
          <w:pgMar w:left="320" w:top="225"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Derivative liability fair value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w:t>
      </w:r>
    </w:p>
    <w:p>
      <w:pPr>
        <w:spacing w:after="0" w:line="23"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1 %</w:t>
      </w:r>
    </w:p>
    <w:p>
      <w:pPr>
        <w:spacing w:after="0" w:line="23" w:lineRule="exact"/>
        <w:rPr>
          <w:sz w:val="20"/>
          <w:szCs w:val="20"/>
          <w:color w:val="auto"/>
        </w:rPr>
      </w:pPr>
    </w:p>
    <w:p>
      <w:pPr>
        <w:sectPr>
          <w:pgSz w:w="11900" w:h="16838" w:orient="portrait"/>
          <w:cols w:equalWidth="0" w:num="2">
            <w:col w:w="8100" w:space="720"/>
            <w:col w:w="242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466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20" w:type="dxa"/>
            <w:vAlign w:val="bottom"/>
          </w:tcPr>
          <w:p>
            <w:pPr>
              <w:spacing w:after="0"/>
              <w:rPr>
                <w:sz w:val="24"/>
                <w:szCs w:val="24"/>
                <w:color w:val="auto"/>
              </w:rPr>
            </w:pPr>
          </w:p>
        </w:tc>
        <w:tc>
          <w:tcPr>
            <w:tcW w:w="42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40" w:type="dxa"/>
            <w:vAlign w:val="bottom"/>
          </w:tcPr>
          <w:p>
            <w:pPr>
              <w:spacing w:after="0"/>
              <w:rPr>
                <w:sz w:val="19"/>
                <w:szCs w:val="19"/>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6"/>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66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9,915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6,495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78,227</w:t>
            </w:r>
          </w:p>
        </w:tc>
        <w:tc>
          <w:tcPr>
            <w:tcW w:w="8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68,143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10,084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Subscription revenue increased $9.9 million, or 19%, during the three months ended March 31, 2024 as compared to the three months ended March 31, 2023, primarily due to a 17% growth in total paid subscriptions and a 21% growth in Paying Circles (as defined below). Additionally, subscription revenue in the current period benefited from price increases for existing U.S. Android Life360 subscriptions which were fully implemented during the three months ended June 30, 2023.</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Hardware revenue increased $0.2 million, or 2%, during the three months ended March 31, 2024 as compared to the three months ended March 31, 2023 due to the rollout of bundled Life360 subscription and hardware offerings, $0.5 million in fewer discounts offered, and $0.2 million in fewer returns recorded. The increases were offset by $0.5 million in product costs in line with a decrease in standalone hardware units sold and average selling price per unit.</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revenue remained flat during the three months ended March 31, 2024 as compared to the three months ended March 31, 2023, as the Company maintained its single aggregated data arrangement.</w:t>
      </w: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Cost of Revenue, Gross Profit, and Gross Margin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6"/>
                <w:szCs w:val="16"/>
                <w:color w:val="auto"/>
              </w:rPr>
            </w:pPr>
          </w:p>
        </w:tc>
        <w:tc>
          <w:tcPr>
            <w:tcW w:w="162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3"/>
        </w:trPr>
        <w:tc>
          <w:tcPr>
            <w:tcW w:w="4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5"/>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9,315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8,045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hardware revenue</w:t>
            </w:r>
          </w:p>
        </w:tc>
        <w:tc>
          <w:tcPr>
            <w:tcW w:w="38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9,426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other revenue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4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cost of revenue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18,214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18,313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r>
      <w:tr>
        <w:trPr>
          <w:trHeight w:val="230"/>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60,013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49,830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Hardware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bl>
    <w:p>
      <w:pPr>
        <w:spacing w:after="0" w:line="2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Cost of subscription revenue increased $1.3 million, or 16%, during the three months ended March 31, 2024 as compared to the three months ended March 31, 2023, primarily due to an increase of $0.6 million in premium membership offering costs, a 21% increase in Paying Circles, an increase of $0.3 million in technology expenses, and an increase of $0.4 million in personnel-related and stock-based compensation costs in line with Company growth.</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Subscription gross margin increased to 85% during the three months ended March 31, 2024 from 84% during the three months ended March 31, 2023, primarily due to ongoing technology efficiency initiatives implemented by the Company.</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Cost of hardware revenue decreased $1.4 million, or 15%, during the three months ended March 31, 2024 as compared to the three months ended March 31, 2023, primarily due to a savings of $0.7 million in the current period related to the discontinuation of certain battery related membership benefits which took place during the quarter ended June 30, 2023. The Company also saw a $0.5 million decrease in product and other hardware expenses due to the decrease in units sold and a decrease of $0.2 million in technology and other expenses related to efficiencies achieved within the Company.</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Hardware gross margin increased to 21% during the three months ended March 31, 2024 from 6% during the three months ended March 31, 2023, primarily due to savings in the current period related to the discontinuation of certain battery related membership benefits which took place during the quarter ended June 30, 2023 and decreased offerings of discounts.</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tcPr>
          <w:p>
            <w:pPr>
              <w:spacing w:after="0"/>
              <w:rPr>
                <w:sz w:val="16"/>
                <w:szCs w:val="16"/>
                <w:color w:val="auto"/>
              </w:rPr>
            </w:pPr>
          </w:p>
        </w:tc>
        <w:tc>
          <w:tcPr>
            <w:tcW w:w="10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4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6"/>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27,258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remained flat during the three months ended March 31, 2024 as compared to the three months ended March 31, 2023. Research and development expenses were primarily impacted by an increase of $0.7 million in personnel-related costs in line with increased headcount and $0.5 million in stock-based compensation expense due to an increase in volume of stock grants awarded to employees. The increases were offset by $1.1 million of costs incurred related to internal use software which were capitalized within intangible assets, net on the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Sales and Marketing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24,733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29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$0.4 million, or 2%, during the three months ended March 31, 2024 as compared to the three months ended March 31, 2023. The increase was primarily due to a $1.3 million increase in marketing expenses consisting of increases of $1.6 million in Channel Partner commission charges and $0.1 million in other marketing spend, partially offset by a $0.4 million decrease in paid member acquisition spend. The increase in marketing expenses was partially offset by decreases of $0.4 million in professional and outside services spend and $0.5 million in personnel-related and stock-based compensation costs primarily due to severance payments attributable to the Company’s reduction in workforce which took place during the three months ended March 31, 2023.</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4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6"/>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14,401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79"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expenses increased $1.2 million, or 9%, during the three months ended March 31, 2024 as compared to the three months ended March 31, 2023. The increase was primarily due to an increase of $1.7 million in professional services and contractor spend related to compliance with the Sarbanes-Oxley Act, partially offset by a $0.7 million decrease in personnel-related and stock-based compensation costs due to the exit of a key employee. The remaining increase of $0.2 million is attributable to technology and other general and administrative expenses in line with Company growth.</w:t>
      </w: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Notes Fair Value Adjustment</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recorded a loss associated with the convertible notes fair value adjustment of $0.6 million and a gain of $0.1 million, respectively. The changes in fair value are primarily driven by the share price volatility and reduction in time to convert.</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 Liability Fair Value Adjustment</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recorded a loss associated with the derivative liability fair value adjustment of $1.7 million and a gain of $14 thousand, respectively. The changes are due to the revaluation of the derivative liability at each reporting period and the increase in stock price related to embedded redemption features bifurcated from the July 2021 Convertible Notes issued to investors.</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 Net</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Other income (expense), net decreased $0.5 million, or 63%, during the three months ended March 31, 2024 as compared to the three months ended March 31, 2023. The decrease was driven by unfavorable currency revaluation impacts in the current period compared to the same period in the prior year. Other income (expense), net includes interest income, dividend income, foreign exchange losses, and interest expense associated with the July 2021 Convertible Notes.</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Provision for Income Taxes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Provision for income taxes increased $1.3 million, or 1,191%, during the three months ended March 31, 2024 as compared to the three months ended March 31, 2023. Provision for income taxes consists of U.S. federal and state income taxes in jurisdictions in which we conduct business. We maintain a full valuation allowance on our federal and state deferred tax assets as we have concluded that it is not more likely than not that the deferred tax assets will be realized.</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review several operating metrics, including the following key performance indicators, to evaluate our business, measure our performance, identify trends affecting our business, develop financial forecasts, and make strategic decisions. We believe these key performance indicators are useful to investors because they allow for greater transparency with respect to key metrics used by management in its financial and operational decision-making, and they may be used by investors to help analyze the health of our business. Key operating metrics are presented in millions, except ARPPC, Average Revenue per Paying Subscription (“ARPPS”) and Average Selling Price (“ASP”), however percentage changes are calculated based on actual results. As a result, percentage changes may not recalculate based on figures presented due to rounding. Please refer to “—Results of Operations” for additional metrics management reviews in conjunction with the condensed consolidated financial statements.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Key Operating Metrics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4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 March 31,</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8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ARPPC, ARPPS and ASP)</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AMR</w:t>
            </w: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MAUs</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Paying Circles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ARPPC</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ARPPS</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hardware units shipped</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ASP</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Annualized Monthly Revenue</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use Annualized Monthly Revenue (“AMR”) to identify the annualized monthly value of active customer agreements at the end of a reporting period. AMR includes the annualized monthly value of Life360 subscription, data and partnership agreements. All components of these agreements that are not expected to recur are excluded. This does not represent revenue under GAAP on an annualized basis, as the operating metric can be impacted by start and end dates and renewal rates. AMR as of March 31, 2024, and 2023 was $284.7 million and $239.5 million, respectively, representing an increase of 19% year-over-year.</w:t>
      </w:r>
    </w:p>
    <w:p>
      <w:pPr>
        <w:spacing w:after="0" w:line="2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Monthly Active Users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a large and growing global user base as of March 31, 2024. A Life360 monthly active user (“MAU”) is defined as a unique member who engages with our Life360 branded services each month, which includes both paying and non-paying members. As of March 31, 2024 and 2023, we had approximately 66.4 million and approximately 50.8 million MAUs on the Life360 Platform, respectively, representing an increase of 31% year-over-year. We believe this has been driven by continued strong new member growth and retention.</w:t>
      </w: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Paying Circles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define a Paying Circle as a group of Life360 members with a paying subscription that has been billed as of the end of a period. Each subscription covers all members in the payor’s Circle so everyone in the Circle can utilize the benefits of a Life360 Membership, including access to premium location, driving, digital and emergency safety insights and services.</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2024 and 2023, we had approximately 1.9 million and 1.6 million paid subscribers to services under our Life360 brand, respectively, representing an increase of 21% year-over-year.</w:t>
      </w:r>
    </w:p>
    <w:p>
      <w:pPr>
        <w:spacing w:after="0" w:line="1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grow the number of Paying Circles by increasing our free member base, converting free members to subscribers, and retaining them over time with the provision of high-quality family connectivity and safety services.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Average Revenue per Paying Circle</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define Average Revenue per Paying Circle as annualized subscription revenue recognized and derived from the Life360 mobile application, excluding certain revenue adjustments related to bundled Life360 subscription and hardware offerings, for the reported period divided by the Average Paying Circles during the same period. Average Paying Circles are calculated by adding the number of Paying Circles as of the beginning of the period to the number of Paying Circles as of the end of the period, and then dividing by two.</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For the three months ended March 31, 2024 and 2023, our ARPPC was $123.97 and $120.70, respectively, representing a 3% increase year-over year.</w:t>
      </w:r>
    </w:p>
    <w:p>
      <w:pPr>
        <w:spacing w:after="0" w:line="23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ARPPC is a key indicator utilized by Life360 to determine our effectiveness at monetizing Paying Circles through tiered product offerings. The price increases for existing U.S. Android Life360 subscriptions that took effect during the three months ended June 30, 2023 has led to subscribers signing up for higher price products over time, increasing ARPPC. The positive impacts seen from the price increases were partially offset in the current quarter by an increase in international subscribers, which have subscriptions priced at lower prices.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Subscriptions as the number of paying subscribers associated with the Life360, Jiobit and Tile brands who have been billed as of the end of the period.</w:t>
      </w:r>
    </w:p>
    <w:p>
      <w:pPr>
        <w:spacing w:after="0" w:line="54"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2024 and 2023, we had approximately 2.5 million and 2.1 million paid subscribers to services under the Life360, Tile, and Jiobit brands, respectively, representing an increase of 17% year-over-year.</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grow the number of Subscriptions by selling hardware units and increasing our free member base, converting free members to subscribers, and retaining them over time with the provision of item tracking and high-quality family and safety services.</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Average Revenue per Paying Subscription</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define ARPPS as annualized total subscription revenue recognized and derived from Life360, Tile and Jiobit subscriptions, excluding certain revenue adjustments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ARPPS for the three months ended March 31, 2024 and 2023 was $102.02 and $97.98, respectively, representing an increase of 4% year over year.</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ARPPS has increased year over year as a result of the growth in subscriptions and subscription price increases implemented by the Company for existing U.S. Android Life360 subscriptions during the three months ended June 30, 2023.The positive impacts seen from the price increases were partially offset in the current quarter by an increase in international subscribers, which have subscriptions priced at lower prices.</w:t>
      </w:r>
    </w:p>
    <w:p>
      <w:pPr>
        <w:spacing w:after="0" w:line="2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Hardware Units Shipped</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Net hardware units shipped represents the number of tracking devices sold during a period, excluding certain hardware units related to bundled Life360 subscription and hardware offerings, net of returns by our retail partners and directly to consumers. Selling units contributes to hardware revenue and ultimately increases the number of members eligible for a Tile or Jiobit subscription. For the three months ended March 31, 2024, Life360 sold approximately 0.5 million units, down approximately 6% as compared to the 0.6 million units sold during the three months ended March 31, 2023, primarily due to a decrease in enterprise channel sales.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Average Selling Price</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To determine the net average selling price (“ASP”) of a unit, we divide hardware revenue recognized, excluding certain revenue adjustments related to bundled Life360 subscription and hardware offerings, for the reported period by the number of net hardware units shipped during the same period. ASP is largely driven by the price we charge customers, including the price we charge our retail partners, net of customer allowances, and directly to consumers. For the three months ended March 31, 2024, the net ASP of a unit was $16.50, a decrease of 4% compared to $17.22 during the three months ended March 31, 2023 primarily due to a change in mix of products sold and increased sales of multi-unit bundles of Tile devices.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2024, we had cash and cash equivalents of $73.4 million and restricted cash of $1.2 million. As of December 31, 2023, we had cash and cash equivalents of $69.0 million and restricted cash of $1.7 million.</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believe our existing cash and cash equivalents and cash provided by sales of our subscriptions and hardware devices will be sufficient to support working capital and capital expenditure requirements for at least the next 12 months. Our future capital requirements will depend on many factors and as a result, we may be required to seek additional capital. If we are unable to raise additional capital on terms acceptable to us or generate cash flows necessary to expand our operations and invest in continued innovation, we may not be able to compete successfully, which would harm our business, financial condition and results of operations.</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cash flow activities were as follows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640" w:type="dxa"/>
            <w:vAlign w:val="bottom"/>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80" w:type="dxa"/>
            <w:vAlign w:val="bottom"/>
          </w:tcPr>
          <w:p>
            <w:pPr>
              <w:spacing w:after="0"/>
              <w:rPr>
                <w:sz w:val="16"/>
                <w:szCs w:val="16"/>
                <w:color w:val="auto"/>
              </w:rPr>
            </w:pPr>
          </w:p>
        </w:tc>
      </w:tr>
      <w:tr>
        <w:trPr>
          <w:trHeight w:val="23"/>
        </w:trPr>
        <w:tc>
          <w:tcPr>
            <w:tcW w:w="68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6820" w:type="dxa"/>
            <w:vAlign w:val="bottom"/>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6"/>
                <w:szCs w:val="16"/>
                <w:color w:val="auto"/>
              </w:rPr>
            </w:pPr>
          </w:p>
        </w:tc>
      </w:tr>
      <w:tr>
        <w:trPr>
          <w:trHeight w:val="196"/>
        </w:trPr>
        <w:tc>
          <w:tcPr>
            <w:tcW w:w="6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20" w:type="dxa"/>
            <w:vAlign w:val="bottom"/>
            <w:gridSpan w:val="3"/>
          </w:tcPr>
          <w:p>
            <w:pPr>
              <w:jc w:val="right"/>
              <w:ind w:right="93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80" w:type="dxa"/>
            <w:vAlign w:val="bottom"/>
          </w:tcPr>
          <w:p>
            <w:pPr>
              <w:spacing w:after="0"/>
              <w:rPr>
                <w:sz w:val="17"/>
                <w:szCs w:val="17"/>
                <w:color w:val="auto"/>
              </w:rPr>
            </w:pPr>
          </w:p>
        </w:tc>
      </w:tr>
      <w:tr>
        <w:trPr>
          <w:trHeight w:val="23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2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42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(14,276)</w:t>
            </w:r>
          </w:p>
        </w:tc>
      </w:tr>
      <w:tr>
        <w:trPr>
          <w:trHeight w:val="21"/>
        </w:trPr>
        <w:tc>
          <w:tcPr>
            <w:tcW w:w="68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largest sources of operating cash are cash collections from our paying members for subscriptions to our platform and hardware device sales. Our primary uses of cash for operating activities are for employee-related expenditures, costs to acquire inventory, infrastructure-related costs, commissions paid to Channel Partners and other marketing expenses.</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 number of our members pay in advance for annual subscriptions, while a majority pay in advance for monthly subscriptions. Deferred revenue consists of the unearned portion of customer billings, which is recognized as revenue in accordance with our revenue recognition policy. As of March 31, 2024 and December 31, 2023, we had deferred revenue of $36.7 million and $35.8 million, respectively, of which $35.5 million and $33.9 million is expected to be recorded as revenue in the next 12 months, provided all other revenue recognition criteria have been met.</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2024, net cash provided by operating activities was $10.7 million. The primary factors affecting our operating cash flows during this period were our net loss of $9.8 million, impacted by $13.0 million of non-cash adjustments, and $7.5 million of cash provided by changes in our operating assets and liabilities. The non-cash adjustments primarily consisted of stock-based compensation, depreciation and amortization, and fair value adjustments for our convertible notes and derivative liability. The cash provided by changes in our operating assets and liabilities was primarily due to decreases in accounts receivable, net and prepaid expenses and other assets, increases in accounts payable and deferred revenue offset by a decrease in accrued expenses and other current liabilities and increases in inventory.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2023, net cash used in operating activities was $9.2 million. The primary factors affecting our operating cash flows during this period were our net loss of $14.1 million, impacted by $12.2 million of non-cash adjustments and $7.3 million of cash used by changes in our operating assets and liabilities. The non-cash adjustments primarily consisted of stock-based compensation, depreciation and amortization, amortization of costs capitalized to obtain contracts, gain in convertible notes fair value adjustment, and non-cash revenue from an affiliate. The cash used by changes in our operating assets and liabilities was primarily due to an increase in prepaid expenses, related to certain cloud platform and customer service program costs, and other assets and a decrease in accounts payable and accrued expenses and other liabilities offset by a decrease in accounts receivable and inventory.</w:t>
      </w: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net cash used in investing activities was $1.1 million, related to the capitalization of internal use software costs in accordance with ASC 350-40, Intangibles - Goodwill and Other, Internal-Use Software.</w:t>
      </w:r>
    </w:p>
    <w:p>
      <w:pPr>
        <w:spacing w:after="0" w:line="1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net cash used in investing activities was $0.4 million, which primarily related to the capitalization of internal use software costs in accordance with ASC 350-40, Intangibles — Goodwill and Other, Internal-Use Software.</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net cash used in financing activities was $5.7 million, primarily related to $8.1 million of taxes paid for net settlement of equity awards, offset by $2.4 million of proceeds from the exercise of options.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net cash used in financing activities was $4.7 million, primarily related to $5.7 million of taxes paid related to net settlement of equity awards offset by $0.7 million of proceeds from the exercise of options and $0.3 million of proceeds from the repayment of notes due from affiliates.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Other Commitments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principal commitments consist of obligations under our convertible notes, operating leases for office space, and other purchase commitments. Our obligations under our convertible notes are described in Note 6, "Fair Value Measurements" and Note 8, "Convertible Notes" to our condensed consolidated financial statements. Information regarding our non-cancellable lease and other purchase commitments as of March 31, 2024, can be found in Note 7, "Balance Sheet Components" and Note 10, "Commitments and Contingencies" to our condensed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condensed consolidated financial statements requires us to make estimates and assumptions that affect the reported amounts of assets, liabilities, revenues, expenses and related disclosures. We base our estimates on historical experiences and on various other assumptions we believe to be reasonable under the circumstances. Actual results could differ materially from the estimates made by our management. Our significant accounting policies are discussed in Note 2, "Summary of Significant Accounting Policies" in our Annual Report. There were no significant changes to these policies during the three months ended March 31, 2024.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we had $73.4 million and $69.0 million, respectively, of cash equivalents invested in cash and cash equivalents and money market funds. Our cash and cash equivalents are held for working capital purposes. As of March 31, 2024 and December 31, 2023, a hypothetical 10% relative change in interest rates would not have a material impact on our condensed consolidated financial statements.</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reporting currency and functional currency is the U.S. dollar. The majority of our sales are denominated in U.S. dollars, and therefore our revenue is not currently subject to significant foreign currency risk. Our operating expenses are denominated in the currencies of the countries in which our operations are located, which is primarily in the United States. Our condensed consolidated results of operations and cash flows are, therefore, subject to fluctuations due to changes in foreign currency exchange rates and may be adversely affected in the future due to changes in foreign exchange rates. To date, we have not entered into any active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w:t>
      </w: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Fair Value Risk</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we had $6.0 million and $3.7 million of liabilities that are measured at fair value, respectively. Fair value measurements include significant assumptions that are driven by market conditions and macroeconomic factors at measurement dates. Our condensed consolidated results of operations are therefore subject to market fluctuations and may be affected in the future as a result of these fair value changes.</w:t>
      </w:r>
    </w:p>
    <w:p>
      <w:pPr>
        <w:spacing w:after="0" w:line="17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September 2021 in connection with the acquisition of Jiobit, we issued convertible notes with a fair value of $11.6 million. Pursuant to the terms of the September 2021 Convertible Notes, we repaid one third of the unconverted principal balance plus accrued interest to the holders of such notes, at a fixed conversion price of $22.50 per share on each of the first and second anniversaries of the issuance date. In April 2024, the holders elected to convert their September 2021 Convertible Notes and accrued interest to common stock based on the fixed conversion price of $22.50 per share. Prior to conversion, interest accrued at the U.S. Prime rate plus 0.25%. We elected the fair value option and remeasure the September 2021 Convertible Notes at their fair value at each reporting date to reflect the changes in fair value in earnings. Refer to Note 8, "Convertible Notes" and Note 17, "Subsequent Events" to our condensed consolidated financial statements for more information.</w:t>
      </w:r>
    </w:p>
    <w:p>
      <w:pPr>
        <w:spacing w:after="0" w:line="21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Generally, the fair market value of the embedded derivative liability associated with the July 2021 Convertible Notes will increase as interest rates rise and decrease as interest rates fall. In addition, the fair value of the embedded derivative liability associated with the July 2021 Convertible Notes fluctuates when the market price of our common stock fluctuates. The fair value of the embedded derivative was estimated based on the present value of the redemption discount applied to the principal amount of the July 2021 Convertible Notes adjusted to reflect the weighted probability of exercise. Changes in the interest rate environment could have an effect on our future cash flows and earnings, depending on whether the debt is held to maturity or converted to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Evaluation of Disclosure Controls and Procedures</w:t>
      </w:r>
    </w:p>
    <w:p>
      <w:pPr>
        <w:spacing w:after="0" w:line="121" w:lineRule="exact"/>
        <w:rPr>
          <w:sz w:val="20"/>
          <w:szCs w:val="20"/>
          <w:color w:val="auto"/>
        </w:rPr>
      </w:pPr>
    </w:p>
    <w:p>
      <w:pPr>
        <w:jc w:val="both"/>
        <w:ind w:firstLine="405"/>
        <w:spacing w:after="0" w:line="219" w:lineRule="exact"/>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March 31, 2024 pursuant to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under the Securities Exchange Act of 1934, as amended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such evaluation, our management concluded that our disclosure controls and procedures were effective as of March 31, 2024.</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Internal Control over Financial Reporting</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three months ended March 31, 2024 that have materially affected, or are reasonably likely to materially affect, our internal control over financial reporting.</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 and Procedures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spacing w:after="0" w:line="19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set forth under Note 10, "Commitments and Contingencies" in the notes to the condensed consolidated financial statements under the caption “Litigation”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unaudited condensed consolidated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These risks and uncertainties may cause our operations to vary materially from those contemplated by our forward-looking statements. These risk factors include:</w:t>
      </w:r>
    </w:p>
    <w:p>
      <w:pPr>
        <w:spacing w:after="0" w:line="54" w:lineRule="exact"/>
        <w:rPr>
          <w:sz w:val="20"/>
          <w:szCs w:val="20"/>
          <w:color w:val="auto"/>
        </w:rPr>
      </w:pPr>
    </w:p>
    <w:p>
      <w:pPr>
        <w:ind w:left="740" w:hanging="327"/>
        <w:spacing w:after="0" w:line="282" w:lineRule="auto"/>
        <w:tabs>
          <w:tab w:leader="none" w:pos="73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spacing w:after="0" w:line="53" w:lineRule="exact"/>
        <w:rPr>
          <w:rFonts w:ascii="Times New Roman" w:cs="Times New Roman" w:eastAsia="Times New Roman" w:hAnsi="Times New Roman"/>
          <w:sz w:val="18"/>
          <w:szCs w:val="18"/>
          <w:b w:val="1"/>
          <w:bCs w:val="1"/>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fail to monetize members through subscription plans, our business, financial condition and results of operations may be harmed.</w:t>
      </w:r>
    </w:p>
    <w:p>
      <w:pPr>
        <w:spacing w:after="0" w:line="63" w:lineRule="exact"/>
        <w:rPr>
          <w:rFonts w:ascii="Times New Roman" w:cs="Times New Roman" w:eastAsia="Times New Roman" w:hAnsi="Times New Roman"/>
          <w:sz w:val="18"/>
          <w:szCs w:val="18"/>
          <w:color w:val="231F20"/>
        </w:rPr>
      </w:pPr>
    </w:p>
    <w:p>
      <w:pPr>
        <w:jc w:val="both"/>
        <w:ind w:left="740" w:right="700" w:hanging="327"/>
        <w:spacing w:after="0" w:line="266" w:lineRule="auto"/>
        <w:tabs>
          <w:tab w:leader="none" w:pos="7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the value and reputation of our brands, or if we are not able to compete successfully with current or future competitors, our ability to expand our member base and maintain our relationships with partners and other key service providers may be impaired.</w:t>
      </w:r>
    </w:p>
    <w:p>
      <w:pPr>
        <w:spacing w:after="0" w:line="1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and may in the future need to change our pricing models to compete successfully.</w:t>
      </w:r>
    </w:p>
    <w:p>
      <w:pPr>
        <w:spacing w:after="0" w:line="63" w:lineRule="exact"/>
        <w:rPr>
          <w:rFonts w:ascii="Times New Roman" w:cs="Times New Roman" w:eastAsia="Times New Roman" w:hAnsi="Times New Roman"/>
          <w:sz w:val="18"/>
          <w:szCs w:val="18"/>
          <w:color w:val="auto"/>
        </w:rPr>
      </w:pPr>
    </w:p>
    <w:p>
      <w:pPr>
        <w:ind w:left="740" w:right="360" w:hanging="327"/>
        <w:spacing w:after="0" w:line="281" w:lineRule="auto"/>
        <w:tabs>
          <w:tab w:leader="none" w:pos="7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offerings is evolving, and our future success depends on the growth of this market and our ability to anticipate and satisfy consumer preferences in a timely manner.</w:t>
      </w:r>
    </w:p>
    <w:p>
      <w:pPr>
        <w:spacing w:after="0" w:line="1" w:lineRule="exact"/>
        <w:rPr>
          <w:rFonts w:ascii="Times New Roman" w:cs="Times New Roman" w:eastAsia="Times New Roman" w:hAnsi="Times New Roman"/>
          <w:sz w:val="18"/>
          <w:szCs w:val="18"/>
          <w:color w:val="auto"/>
        </w:rPr>
      </w:pPr>
    </w:p>
    <w:p>
      <w:pPr>
        <w:ind w:left="740" w:right="520" w:hanging="327"/>
        <w:spacing w:after="0" w:line="281" w:lineRule="auto"/>
        <w:tabs>
          <w:tab w:leader="none" w:pos="7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existing brands, products and services, or the introduction of new brands, products or services, could fail to attract or retain members or generate revenue and profits.</w:t>
      </w:r>
    </w:p>
    <w:p>
      <w:pPr>
        <w:spacing w:after="0" w:line="1" w:lineRule="exact"/>
        <w:rPr>
          <w:rFonts w:ascii="Times New Roman" w:cs="Times New Roman" w:eastAsia="Times New Roman" w:hAnsi="Times New Roman"/>
          <w:sz w:val="18"/>
          <w:szCs w:val="18"/>
          <w:color w:val="auto"/>
        </w:rPr>
      </w:pPr>
    </w:p>
    <w:p>
      <w:pPr>
        <w:ind w:left="740" w:right="20" w:hanging="327"/>
        <w:spacing w:after="0" w:line="281" w:lineRule="auto"/>
        <w:tabs>
          <w:tab w:leader="none" w:pos="7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media coverage and publicity could damage our brands and reputation and materially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actions by third parties or certain of our members could be attributed to us and cause damage to our brands.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40" w:right="580" w:hanging="327"/>
        <w:spacing w:after="0" w:line="28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harmed if we are unable to accurately forecast demand for our products and services and to adequately manage our product inventory.</w:t>
      </w:r>
    </w:p>
    <w:p>
      <w:pPr>
        <w:spacing w:after="0" w:line="1" w:lineRule="exact"/>
        <w:rPr>
          <w:rFonts w:ascii="Times New Roman" w:cs="Times New Roman" w:eastAsia="Times New Roman" w:hAnsi="Times New Roman"/>
          <w:sz w:val="18"/>
          <w:szCs w:val="18"/>
          <w:color w:val="auto"/>
        </w:rPr>
      </w:pPr>
    </w:p>
    <w:p>
      <w:pPr>
        <w:ind w:left="740" w:right="200" w:hanging="327"/>
        <w:spacing w:after="0" w:line="28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and profitability rely, in part, on our ability to attract members through cost-effective marketing efforts. Any failure in these efforts could materially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40" w:hanging="327"/>
        <w:spacing w:after="0" w:line="26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marketing of, and access to, our products and services depends, in significant part, on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spacing w:after="0" w:line="17" w:lineRule="exact"/>
        <w:rPr>
          <w:rFonts w:ascii="Times New Roman" w:cs="Times New Roman" w:eastAsia="Times New Roman" w:hAnsi="Times New Roman"/>
          <w:sz w:val="18"/>
          <w:szCs w:val="18"/>
          <w:color w:val="auto"/>
        </w:rPr>
      </w:pPr>
    </w:p>
    <w:p>
      <w:pPr>
        <w:ind w:left="740" w:right="540" w:hanging="327"/>
        <w:spacing w:after="0" w:line="28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retailers and distributors to sell and market our hardware products, and our failure to maintain and further develop our sales channels could harm our business.</w:t>
      </w:r>
    </w:p>
    <w:p>
      <w:pPr>
        <w:spacing w:after="0" w:line="1" w:lineRule="exact"/>
        <w:rPr>
          <w:rFonts w:ascii="Times New Roman" w:cs="Times New Roman" w:eastAsia="Times New Roman" w:hAnsi="Times New Roman"/>
          <w:sz w:val="18"/>
          <w:szCs w:val="18"/>
          <w:color w:val="auto"/>
        </w:rPr>
      </w:pPr>
    </w:p>
    <w:p>
      <w:pPr>
        <w:ind w:left="740" w:right="20" w:hanging="327"/>
        <w:spacing w:after="0" w:line="266"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manufacturers, and fulfillment partners for our smart trackers. A loss of or change with any of these partners could negatively affect our business, including the potential inability to produce or obtain quality products and services on a timely basis or in sufficient quantity.</w:t>
      </w:r>
    </w:p>
    <w:p>
      <w:pPr>
        <w:spacing w:after="0" w:line="13" w:lineRule="exact"/>
        <w:rPr>
          <w:rFonts w:ascii="Times New Roman" w:cs="Times New Roman" w:eastAsia="Times New Roman" w:hAnsi="Times New Roman"/>
          <w:sz w:val="18"/>
          <w:szCs w:val="18"/>
          <w:color w:val="auto"/>
        </w:rPr>
      </w:pPr>
    </w:p>
    <w:p>
      <w:pPr>
        <w:ind w:left="740" w:right="160" w:hanging="327"/>
        <w:spacing w:after="0" w:line="28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coordinate the worldwide manufacturing and distribution of our products, we could lose sales, which could materially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40" w:right="60" w:hanging="327"/>
        <w:spacing w:after="0" w:line="266"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chains from the PRC and Malaysia could also adversely affect our business.</w:t>
      </w:r>
    </w:p>
    <w:p>
      <w:pPr>
        <w:spacing w:after="0" w:line="13" w:lineRule="exact"/>
        <w:rPr>
          <w:rFonts w:ascii="Times New Roman" w:cs="Times New Roman" w:eastAsia="Times New Roman" w:hAnsi="Times New Roman"/>
          <w:sz w:val="18"/>
          <w:szCs w:val="18"/>
          <w:color w:val="auto"/>
        </w:rPr>
      </w:pPr>
    </w:p>
    <w:p>
      <w:pPr>
        <w:ind w:left="740" w:right="120" w:hanging="327"/>
        <w:spacing w:after="0" w:line="28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spacing w:after="0" w:line="1" w:lineRule="exact"/>
        <w:rPr>
          <w:rFonts w:ascii="Times New Roman" w:cs="Times New Roman" w:eastAsia="Times New Roman" w:hAnsi="Times New Roman"/>
          <w:sz w:val="18"/>
          <w:szCs w:val="18"/>
          <w:color w:val="auto"/>
        </w:rPr>
      </w:pPr>
    </w:p>
    <w:p>
      <w:pPr>
        <w:ind w:left="740" w:right="320" w:hanging="327"/>
        <w:spacing w:after="0" w:line="28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key data partners, and any termination of our agreements with such partners could have a material adverse effect on our revenues,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40" w:right="20" w:hanging="327"/>
        <w:spacing w:after="0" w:line="28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the continuing efforts of our executive officers and other key employees and our ability to attract and retain highly skilled personnel and senior management.</w:t>
      </w:r>
    </w:p>
    <w:p>
      <w:pPr>
        <w:spacing w:after="0" w:line="1" w:lineRule="exact"/>
        <w:rPr>
          <w:rFonts w:ascii="Times New Roman" w:cs="Times New Roman" w:eastAsia="Times New Roman" w:hAnsi="Times New Roman"/>
          <w:sz w:val="18"/>
          <w:szCs w:val="18"/>
          <w:color w:val="auto"/>
        </w:rPr>
      </w:pPr>
    </w:p>
    <w:p>
      <w:pPr>
        <w:ind w:left="740" w:right="220" w:hanging="327"/>
        <w:spacing w:after="0" w:line="298" w:lineRule="auto"/>
        <w:tabs>
          <w:tab w:leader="none" w:pos="7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in new business strategies, partnerships and acquisitions could fail to produce the expected results, disrupt our ongoing business, present risks not originally contemplated and materially adversely affect our business, reputation, results of operations and financial condition.</w:t>
      </w: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operating history of our new brands, products and services makes it difficult to evaluate our current business and future prospects.</w:t>
      </w:r>
    </w:p>
    <w:p>
      <w:pPr>
        <w:spacing w:after="0" w:line="63" w:lineRule="exact"/>
        <w:rPr>
          <w:rFonts w:ascii="Times New Roman" w:cs="Times New Roman" w:eastAsia="Times New Roman" w:hAnsi="Times New Roman"/>
          <w:sz w:val="18"/>
          <w:szCs w:val="18"/>
          <w:color w:val="auto"/>
        </w:rPr>
      </w:pPr>
    </w:p>
    <w:p>
      <w:pPr>
        <w:ind w:left="740" w:right="720" w:hanging="327"/>
        <w:spacing w:after="0" w:line="266"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grown rapidly and have limited operating experience at our current scale of operations. If we are unable to manage our growth effectively, our brands, company culture and financial performance may suffer and place significant demands on our operational, risk management, sales and marketing, technology, compliance and finance and accounting resources.</w:t>
      </w:r>
    </w:p>
    <w:p>
      <w:pPr>
        <w:spacing w:after="0" w:line="13" w:lineRule="exact"/>
        <w:rPr>
          <w:rFonts w:ascii="Times New Roman" w:cs="Times New Roman" w:eastAsia="Times New Roman" w:hAnsi="Times New Roman"/>
          <w:sz w:val="18"/>
          <w:szCs w:val="18"/>
          <w:color w:val="auto"/>
        </w:rPr>
      </w:pPr>
    </w:p>
    <w:p>
      <w:pPr>
        <w:ind w:left="740" w:right="220" w:hanging="327"/>
        <w:spacing w:after="0" w:line="298" w:lineRule="auto"/>
        <w:tabs>
          <w:tab w:leader="none" w:pos="7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ind w:left="740" w:hanging="327"/>
        <w:spacing w:after="0"/>
        <w:tabs>
          <w:tab w:leader="none" w:pos="7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Unstable market and economic conditions may adversely affect consumer discretionary spending and demand for our products and services.</w:t>
      </w:r>
    </w:p>
    <w:p>
      <w:pPr>
        <w:spacing w:after="0" w:line="63"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operating margins may decline as a result of increasing product costs and inflationary pressures.</w:t>
      </w:r>
    </w:p>
    <w:p>
      <w:pPr>
        <w:spacing w:after="0" w:line="63" w:lineRule="exact"/>
        <w:rPr>
          <w:rFonts w:ascii="Times New Roman" w:cs="Times New Roman" w:eastAsia="Times New Roman" w:hAnsi="Times New Roman"/>
          <w:sz w:val="18"/>
          <w:szCs w:val="18"/>
          <w:color w:val="231F20"/>
        </w:rPr>
      </w:pPr>
    </w:p>
    <w:p>
      <w:pPr>
        <w:ind w:left="740" w:right="60" w:hanging="327"/>
        <w:spacing w:after="0" w:line="26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comply with laws and regulations concerning data privacy and security, consumer protection, advertising, location tracking, digital tracking technologies, and those related to children’s data could lead to regulatory investigations or actions; litigation; fines and penalties; changes to or disruption of our business operations; reputational harm; loss of revenue or profits; declines in member growth or engagement; and other material adverse business consequences.</w:t>
      </w:r>
    </w:p>
    <w:p>
      <w:pPr>
        <w:spacing w:after="0" w:line="17" w:lineRule="exact"/>
        <w:rPr>
          <w:rFonts w:ascii="Times New Roman" w:cs="Times New Roman" w:eastAsia="Times New Roman" w:hAnsi="Times New Roman"/>
          <w:sz w:val="18"/>
          <w:szCs w:val="18"/>
          <w:color w:val="auto"/>
        </w:rPr>
      </w:pPr>
    </w:p>
    <w:p>
      <w:pPr>
        <w:ind w:left="740" w:right="480" w:hanging="327"/>
        <w:spacing w:after="0" w:line="28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upon which we rely, are or were compromised, we could experience adverse consequences resulting from such compromise.</w:t>
      </w:r>
    </w:p>
    <w:p>
      <w:pPr>
        <w:spacing w:after="0" w:line="1" w:lineRule="exact"/>
        <w:rPr>
          <w:rFonts w:ascii="Times New Roman" w:cs="Times New Roman" w:eastAsia="Times New Roman" w:hAnsi="Times New Roman"/>
          <w:sz w:val="18"/>
          <w:szCs w:val="18"/>
          <w:color w:val="auto"/>
        </w:rPr>
      </w:pPr>
    </w:p>
    <w:p>
      <w:pPr>
        <w:ind w:left="740" w:right="60" w:hanging="327"/>
        <w:spacing w:after="0" w:line="266"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the integrity of our information technology systems, of third-party systems and infrastructures, on the continued and unimpeded access to our products and services on the internet, and on our ability to enhance, expand and adapt these systems and infrastructures in a timely and cost-effective manner.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40" w:right="180" w:hanging="327"/>
        <w:spacing w:after="0" w:line="281"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obtain, protect and maintain our intellectual property rights or prevent third parties from making unauthorized use of such rights.</w:t>
      </w:r>
    </w:p>
    <w:p>
      <w:pPr>
        <w:spacing w:after="0" w:line="1" w:lineRule="exact"/>
        <w:rPr>
          <w:rFonts w:ascii="Times New Roman" w:cs="Times New Roman" w:eastAsia="Times New Roman" w:hAnsi="Times New Roman"/>
          <w:sz w:val="18"/>
          <w:szCs w:val="18"/>
          <w:color w:val="auto"/>
        </w:rPr>
      </w:pPr>
    </w:p>
    <w:p>
      <w:pPr>
        <w:ind w:left="740" w:right="240" w:hanging="327"/>
        <w:spacing w:after="0" w:line="266"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U.S. and international laws and regulations. Failure to comply with such laws and regulations could result in claims, changes to our business practices, monetary penalties, increased cost of operations, reputational damage, or declines in member growth or engagement.</w:t>
      </w:r>
    </w:p>
    <w:p>
      <w:pPr>
        <w:spacing w:after="0" w:line="1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CDIs has been, and common stock may be, volatile, which could cause the value of our common stock to decline.</w:t>
      </w:r>
    </w:p>
    <w:p>
      <w:pPr>
        <w:spacing w:after="0" w:line="63" w:lineRule="exact"/>
        <w:rPr>
          <w:rFonts w:ascii="Times New Roman" w:cs="Times New Roman" w:eastAsia="Times New Roman" w:hAnsi="Times New Roman"/>
          <w:sz w:val="18"/>
          <w:szCs w:val="18"/>
          <w:color w:val="auto"/>
        </w:rPr>
      </w:pPr>
    </w:p>
    <w:p>
      <w:pPr>
        <w:ind w:left="740" w:right="40" w:hanging="327"/>
        <w:spacing w:after="0" w:line="266"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in the past. If we identify additional material weaknesses in our future or otherwise fail to maintain effective internal control over financial reporting, we may not be able to accurately or timely report our financial condition or results of operations, which may adversely affect our business and the price of our common stock and CDIs.</w:t>
      </w:r>
    </w:p>
    <w:p>
      <w:pPr>
        <w:spacing w:after="0" w:line="13" w:lineRule="exact"/>
        <w:rPr>
          <w:rFonts w:ascii="Times New Roman" w:cs="Times New Roman" w:eastAsia="Times New Roman" w:hAnsi="Times New Roman"/>
          <w:sz w:val="18"/>
          <w:szCs w:val="18"/>
          <w:color w:val="auto"/>
        </w:rPr>
      </w:pPr>
    </w:p>
    <w:p>
      <w:pPr>
        <w:jc w:val="both"/>
        <w:ind w:left="740" w:right="280" w:hanging="327"/>
        <w:spacing w:after="0" w:line="266"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and are subject to additional regulations and requirements as a result of becoming a U.S. reporting company, and our management is required to devote substantial time to complying with Delaware laws, Australian laws, and reporting requirements pursuant to U.S. securities laws, which could lower profits and make it more difficult to run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business model is predicated on building a large critical mass of members and monetizing them directly through subscription-based products and services we build ourselves, and indirectly by allowing third parties to derive value from our members. Our financial performance has been and will continue to be significantly determined by our success in adding, retaining and engaging our members and converting members into paying subscribers. We expect that the size of our member base will fluctuate or decline in one or more markets from time to time. If people do not perceive our products and services to be useful, effective, reliable, and/or trustworthy, we may not be able to attract or retain members or otherwise maintain or increase the frequency and duration of their engagement or the percentage of members that are converted into paying subscribers. There is no guarantee that we will not experience an erosion of our member base or engagement levels. Member engagement can be difficult to measure, particularly as we introduce new and different products and services. Any number of factors can negatively affect member retention, growth, engagement and conversion, including the following, among others:</w:t>
      </w:r>
    </w:p>
    <w:p>
      <w:pPr>
        <w:spacing w:after="0" w:line="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increasingly engage with other competitive products or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behavior on any of our apps or with respect to any of our products or services changes, including decreases in the frequency of their use;</w:t>
      </w:r>
    </w:p>
    <w:p>
      <w:pPr>
        <w:spacing w:after="0" w:line="6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lose confidence in the quality or usefulness of our products or services or have concerns related to safety, security, privacy (for example, children’s data and precise geolocation data), well-being or other factors;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using the free version of the Life360 app do not convert, including because they do not perceive additional value in a paid subscription;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or subscribers may not be willing to pay for subscriptions or hardware purchases;</w:t>
      </w:r>
    </w:p>
    <w:p>
      <w:pPr>
        <w:spacing w:after="0" w:line="63"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feel that their experience is diminished as a result of the decisions we make with respect to the frequency, prominence, format, size and quality of ads that we display;</w:t>
      </w:r>
    </w:p>
    <w:p>
      <w:pPr>
        <w:spacing w:after="0" w:line="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experience is affected due to difficulty installing, updating or otherwise accessing our products and services on mobile devices or hardware as a result of actions or unplanned network or site outages by us or third parties that we rely on to distribute our products and deliver our services;</w:t>
      </w:r>
    </w:p>
    <w:p>
      <w:pPr>
        <w:spacing w:after="0" w:line="13" w:lineRule="exact"/>
        <w:rPr>
          <w:rFonts w:ascii="Times New Roman" w:cs="Times New Roman" w:eastAsia="Times New Roman" w:hAnsi="Times New Roman"/>
          <w:sz w:val="18"/>
          <w:szCs w:val="18"/>
          <w:color w:val="auto"/>
        </w:rPr>
      </w:pPr>
    </w:p>
    <w:p>
      <w:pPr>
        <w:ind w:left="660" w:right="14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introduce new features, products or services that members find engaging, or if we introduce new products or services, or make changes to existing products and services, such as introducing advertisements, that are not favorably received;</w:t>
      </w:r>
    </w:p>
    <w:p>
      <w:pPr>
        <w:spacing w:after="0" w:line="1" w:lineRule="exact"/>
        <w:rPr>
          <w:rFonts w:ascii="Times New Roman" w:cs="Times New Roman" w:eastAsia="Times New Roman" w:hAnsi="Times New Roman"/>
          <w:sz w:val="18"/>
          <w:szCs w:val="18"/>
          <w:color w:val="auto"/>
        </w:rPr>
      </w:pPr>
    </w:p>
    <w:p>
      <w:pPr>
        <w:ind w:left="660" w:right="4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keep pace with evolving online, mobile device, market and industry trends (including the introduction of new and enhanced digital services), as well as prevailing social, cultural or political preferences in the markets in which our apps are available for download;</w:t>
      </w:r>
    </w:p>
    <w:p>
      <w:pPr>
        <w:spacing w:after="0" w:line="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initiatives designed to attract and retain members and increase engagement are unsuccessful or discontinued, whether as a result of actions by us, third parties or otherwise;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initiatives that may enable greater use of our products and services, including low-cost or discounted data plans, are discontinued;</w:t>
      </w:r>
    </w:p>
    <w:p>
      <w:pPr>
        <w:spacing w:after="0" w:line="63"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or companies in our industry adopt terms, policies, procedures or practices that are perceived negatively by our members or the general public, including those related to areas such as member data, including practices involving our collection and sharing of precise geolocation data and information collected from and about children and minors and their devices, privacy, security, or advertising;</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detect or combat inappropriate, fraudulent, criminal or abusive activity on our platform;</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advertisers and partners display ads that are untrue, offensive, or otherwise fail to follow our guidelines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provide adequate customer service to members, marketers or other partners;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protect our brands or reputation;</w:t>
      </w:r>
    </w:p>
    <w:p>
      <w:pPr>
        <w:spacing w:after="0" w:line="63"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or companies in our industry are or may become the subject of regulatory investigation and/or rulings of non-compliance, litigation, adverse media reports or other negative publicity, including as a result of our or their member data practices, such as the collection and sharing of precise geolocation data and/or information collected from and about children and minors and their devices;</w:t>
      </w:r>
    </w:p>
    <w:p>
      <w:pPr>
        <w:spacing w:after="0" w:line="13" w:lineRule="exact"/>
        <w:rPr>
          <w:rFonts w:ascii="Times New Roman" w:cs="Times New Roman" w:eastAsia="Times New Roman" w:hAnsi="Times New Roman"/>
          <w:sz w:val="18"/>
          <w:szCs w:val="18"/>
          <w:color w:val="auto"/>
        </w:rPr>
      </w:pPr>
    </w:p>
    <w:p>
      <w:pPr>
        <w:ind w:left="660" w:right="38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decreased engagement with our products and services as a result of internet shutdowns or other actions by governments that affect the accessibility of our products and services or our ability to sell advertising in any of our markets;</w:t>
      </w:r>
    </w:p>
    <w:p>
      <w:pPr>
        <w:spacing w:after="0" w:line="1"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changes mandated or necessitated by legislation, regulatory authorities or litigation that adversely affect our products, services, members or partners;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results of operations are subject to foreign currency fluctuation risks.</w:t>
      </w:r>
    </w:p>
    <w:p>
      <w:pPr>
        <w:spacing w:after="0" w:line="22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From time to time, certain of these factors have negatively affected member retention, growth, and engagement to varying degrees. If we are unable to maintain or increase our member base and member engagement, our revenue, business, financial condition and results of operations may be materially adversely affected. In addition, we may not experience rapid member growth or engagement in countries where, even though mobile device penetration is high, due to the lack of sufficient cellular-based data networks, consumers rely heavily on Wi-Fi and may not access our products and services regularly throughout the day. Any decrease in member retention, growth or engagement could render our products and services less attractive to members, which is likely to have a material and adverse impact on our revenue, financial condition, business and results of operations. If our member growth rate slows or declines, we will become increasingly dependent on our ability to maintain or increase levels of member engagement and monetization in order to drive revenue growth.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fail to monetize members through subscription plans, our business, financial condition and results of operations may be harmed.</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Life360 operates under a “freemium” model in which the Life360 app is available to members at no charge, while Memberships with additional features are available via a paid monthly or annual subscription. If members using the free version of the Life360 app do not perceive additional value in a paid subscription or there is an actual or perceived reduction in the functionality, quality, reliability and cost-effectiveness of our subscription plans, our ability to retain and grow paid subscriptions would be adversely impacted. Our failure to provide successful enhancements and new features that grow paid subscriptions may have a material adverse impact on our business, financial condition and results of operations.</w:t>
      </w:r>
    </w:p>
    <w:p>
      <w:pPr>
        <w:spacing w:after="0" w:line="17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are not able to maintain the value and reputation of our brands, our ability to expand our member base and maintain our relationships with partners and other key service providers may be impaired and our business, financial condition, and results of operations may be harmed.</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believe that our brands have significantly contributed to our word-of-mouth virality, which has in turn contributed to the success of our business. We also believe that maintaining, protecting and enhancing our brands is critical to expanding our member base and maintaining our relationships with partners and other key service providers that will assist in successfully implementing our business strategy which we anticipate will increase our expenses. If we fail to do so, our business, financial condition and results of operations could be materially adversely affected. We believe that the importance of brand recognition will continue to increase, as the location-based services and item tracking markets grow. Many of our new members are referred by existing members. Maintaining our brands will depend largely on our ability to continue to provide useful, reliable, trustworthy and innovative products and services, which we may not do successfully.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Further, we have in the past and expect to continue to experience media, legislative, or regulatory scrutiny of our actions or decisions, including those relating to data privacy and security, consumer protection, tracking, targeting children’s data, precise geolocation data, encryption, content, contributors, advertising and other issues, which may materially adversely affect our reputation and brands. We may be subject to settlements, judgments, fines, or other monetary penalties in connection with legal and regulatory developments that may be material to our business. In addition, we may fail to timely detect or respond expeditiously or appropriately to objectionable content within the Life360, Tile or Jiobit apps or practices by members, or to otherwise address member concerns, which could erode confidence in our brands. Maintaining and enhancing our brands will require us to make substantial investments and these investments may not be successful.</w:t>
      </w:r>
    </w:p>
    <w:p>
      <w:pPr>
        <w:spacing w:after="0" w:line="185"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digital consumer subscription products market is competitive, with low switching costs and a consistent stream of new products, services and entrants. We may not be able to compete successfully with current or future competitors, which may impact our business, financial condition and results of operations.</w:t>
      </w:r>
    </w:p>
    <w:p>
      <w:pPr>
        <w:spacing w:after="0" w:line="6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digital consumer subscription products market in general, and the markets for family safety, location sharing, location tracking and related offerings, are fast-paced and constantly changing, with frequent changes in technology, consumer expectations and requirements, industry standards and regulations and a consistent stream of new products, services and entrants both in the United States and abroad. We face significant competition in every aspect of our business, and competitors include both large competitors with various product and service offerings and many smaller competitors.</w:t>
      </w:r>
    </w:p>
    <w:p>
      <w:pPr>
        <w:spacing w:after="0" w:line="18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Many of our current and potential competitors, both domestically and internationally, have or may have competitive advantages over us, including longer operating histories, significantly more resources (including larger marketing and operating budgets), greater brand recognition, access to more data and potential insights related to members, potential acquisition and other opportunities, higher amounts of available capital or access to such capital and in some cases, lower costs. Some of our competitors may enjoy better competitive positions in certain geographical regions, member demographics or other key areas that we currently serve or may serve in the future. These advantages could enable these competitors to offer products that are more appealing to our existing and prospective members, to respond more quickly and/or cost-effectively than us to new or changing opportunities and regulations, new or emerging technologies or changes in customer requirements and preferences, or to offer lower prices or free products and services. A competitor could gain rapid scale for its products by, among other things, leveraging its existing brands, products or services or existing data or insights, harnessing a new technology or a new or existing distribution channel or creating a new or different approach to family safety and location sharing of people, pets and things. For example, in 2021, one of Channel Partners, Apple, introduced AirTag™, a tracker that uses ultra-wideband technology to allow members to track and find items through Apple’s Find My® app, a location sharing app developed by Apple for iOS devices to allow approved members to access the GPS location of the members’ devices.</w:t>
      </w:r>
    </w:p>
    <w:p>
      <w:pPr>
        <w:spacing w:after="0" w:line="19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ability to compete to attract, engage and retain members, as well as to increase their engagement with our various products and services and to grow our subscriptions, depend on numerous factors, including our brand and reputation, the prices associated with our subscriptions, products and services, the ease of use of our platform and technology, the actual and perceived safety and security of our platform, products and services, and our ability to address consumer and regulatory concerns as they arise, including those related to data usage, data privacy and security such as practices involving the sharing of precise geolocation data and information collected from and about children and minors and their devices. See “Item 1. Business - Competition” for additional information about our direct and indirect competitors.</w:t>
      </w:r>
    </w:p>
    <w:p>
      <w:pPr>
        <w:spacing w:after="0" w:line="187"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Potential competitors may also include operators of mobile operating systems and app stores. These mobile platform competitors could use strong or dominant positions in one or more markets, and access to existing large pools of potential members and personal information regarding those members, to gain competitive advantages over us. These competitors also control the app stores that are the principal means by which our members access our platform.</w:t>
      </w:r>
    </w:p>
    <w:p>
      <w:pPr>
        <w:spacing w:after="0" w:line="17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If we are not able to compete effectively against our current or future competitors and products or services that may emerge, the size and level of engagement of our member base may decrease, which could adversely affect our business, financial condition and results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in the past and may in the future need to change our pricing models to compete successfully.</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October 2022, we announced price increases on our United States based premium offerings. If we continue to increase prices for our products and services, demand for our solutions could decline as members adopt less expensive competing products and services, and our market share could suffer. We increased prices for our U.S. Life360 iOS and Android premium subscription offerings in December 2022 and April 2023, respectively, and for our United Kingdom and Australia and New Zealand Life360 iOS and Android subscriptions in the first half of 2024. The intense competition we face in the family safety, location-based services and item tracking technology markets, in addition to general economic and business conditions, including inflation and rising interest rates, can impact the prices of our products and services. If our competitors offer significant discounts on competing products or services or develop products or services that our customers believe are more valuable or cost-effective, we may be required to decrease our prices or offer other incentives in order to compete successfully. If we do not adapt our pricing models to reflect changes in customer use of our products and services or changes in customer demand, our revenues could decrease.</w:t>
      </w:r>
    </w:p>
    <w:p>
      <w:pPr>
        <w:spacing w:after="0" w:line="18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Any broad-based change to our pricing strategy could cause our revenues to decline or could delay future sales as our sales force implements, and our subscribers adjust to, the new pricing terms. We or our competitors may bundle products and services for promotional purposes or as a long-term go-to-market or pricing strategy or provide price guarantees to certain subscribers as part of our overall sales strategy. These practices could, over time, significantly limit our flexibility to change prices for existing products and services and to establish prices for new or enhanced products and services. Any such changes could reduce our margins and adversely affect our business, financial position and results of operations.</w:t>
      </w:r>
    </w:p>
    <w:p>
      <w:pPr>
        <w:spacing w:after="0" w:line="179"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market for our offerings is evolving, and our future success depends on the growth of this market and our ability to anticipate and satisfy consumer preferences in a timely manner.</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family safety and location-based services and item tracking technology markets for our offerings are in a relatively early stage of development, and it is uncertain whether these markets will grow, and even if they do grow, how rapidly they will grow, how much they will grow, or whether our platform will be widely adopted. As such, any predictions or forecasts about our future growth, revenue, and expenses may not be as accurate as they would be if we had a longer operating history or operated in a more predictable market. Any expansion in our markets depends on a number of factors, including the cost, performance, and perceived value associated with our platform and the offerings of our competitors.</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market acceptance and the widespread adoption of our family safety and location sharing products and services as an alternative to other family coordination options such as texts and phone calls, and member selection of our products and services over competing products and services that may have similar functionality. Family safety, location sharing and location tracking technology is still evolving and we cannot predict marketplace acceptance of our products and services or the development of products and services based on entirely new technologies.</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is a risk that we will not be able to grow our member base outside of the United States in a way that provides the scale required to offer the full functionality of the Life360 Service to a particular geography, or to a scale that will enable us to generate indirect revenue.</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anticipate and satisfy consumer preferences in a timely manner. All of our products and services are subject to changing consumer preferences that cannot be predicted with certainty. Consumers may decide not to purchase our products and services as their preferences could shift rapidly to different types of offerings or away from these types of products and services altogether, and our future success depends in part on our ability to anticipate and respond to shifts in consumer preferences. In addition, certain of our newer products and services may have higher prices than many of our earlier offerings and those of some of our competitors, which may not appeal to consumers or only appeal to a smaller subset of consumers. It is also possible that competitors could introduce new products and services that negatively impact consumer preference for our offerings, which could result in decreased sales and a loss in market share. Accordingly, if we fail to anticipate and satisfy consumer preferences in a timely manner, our business, financial condition and results of operations may be adversely affected.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to our existing brands, products and services, or the introduction of new brands, products or services, could fail to attract or retain members or generate revenue and profits.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ability to retain, increase, and engage our member base and to increase our revenue depends heavily on our ability to continue to evolve our existing brands, products and services, as well as to acquire or create successful new ones, both independently and in conjunction with developers or other third parties. We may introduce significant changes to our existing brands, products and services, or acquire new and unproven brands, products, services and product and services extensions, including technologies with which we have little or no prior development or operating experience. We have also invested, and expect to continue to invest, significant resources in growing our subscription-based services to support increasing usage as well as new lines of business, products, services, product extensions and other initiatives to generate revenue. Developing new products and services is expensive and can require substantial management and Company resources and attention and investing in the development and launch of new products and services can involve an extended period of time before a return on investment is achieved, if at all. An important element of our business strategy is to continue to make investments in innovation and related product and services opportunities to maintain our competitive position. Unanticipated problems in developing products and services could also divert substantial research and development resources, which may impair our ability to develop new products and services or enhance existing products and services, and substantially increase our costs. We may not receive revenues from these investments for several years and may not realize returns from such investments at all.</w:t>
      </w:r>
    </w:p>
    <w:p>
      <w:pPr>
        <w:spacing w:after="0" w:line="19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There is no guarantee that investing in new lines of business, products, services, product and services extensions or other initiatives to show our community meaningful opportunities to facilitate family safety or location, driving and family coordination will succeed, that members will like the changes or that we will be able to implement such new lines of business, products, services, product and services extensions or other initiatives effectively or on a timely basis, which may negatively affect our brands. Our new or enhanced brands, products, services or product and services extensions may provide temporary increases in engagement but may ultimately fail to engage members, marketers, or developers, we may fail to attract or retain members or to generate sufficient revenue, operating margin, or other value to justify our investments, and our business may be materially adversely affected.</w:t>
      </w:r>
    </w:p>
    <w:p>
      <w:pPr>
        <w:spacing w:after="0" w:line="187" w:lineRule="exact"/>
        <w:rPr>
          <w:sz w:val="20"/>
          <w:szCs w:val="20"/>
          <w:color w:val="auto"/>
        </w:rPr>
      </w:pPr>
    </w:p>
    <w:p>
      <w:pPr>
        <w:jc w:val="both"/>
        <w:ind w:firstLine="405"/>
        <w:spacing w:after="0" w:line="273" w:lineRule="auto"/>
        <w:rPr>
          <w:sz w:val="20"/>
          <w:szCs w:val="20"/>
          <w:color w:val="auto"/>
        </w:rPr>
      </w:pPr>
      <w:r>
        <w:rPr>
          <w:rFonts w:ascii="Times New Roman" w:cs="Times New Roman" w:eastAsia="Times New Roman" w:hAnsi="Times New Roman"/>
          <w:sz w:val="17"/>
          <w:szCs w:val="17"/>
          <w:color w:val="auto"/>
        </w:rPr>
        <w:t>The development of our products and services is complex and costly, and we typically have several products and services in development at the same time. Given the complexity, we occasionally have experienced, and could experience in the future, delays in the development and introduction of new and enhanced products and services. Problems in the design or quality of our products or services may also have an adverse effect on our brand, business, financial condition or results of operations. Unanticipated problems in developing products and services could also divert substantial resources, including research and development, which may impair our ability to develop new products and services and enhancements of existing products and services, and could substantially increase our costs. If new or enhanced product and service introductions are delayed or not successful, we may not be able to achieve an acceptable return, if any, on our research and development efforts, and our business, financial condition and results of operations may be adversely affected.</w:t>
      </w:r>
    </w:p>
    <w:p>
      <w:pPr>
        <w:spacing w:after="0" w:line="16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media coverage and publicity could damage our brands and reputation and materially adversely affect our business, financial condition and results of operations.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Unfavorable publicity or media reports, including those regarding us, our data privacy and security practices, including those related to children and minors, security incidents, product or service changes, quality or features, litigation or regulatory activity, including any intellectual property proceeding, any investigation and/or enforcement activity from data protection or other regulatory authorities or proceeding relating to the privacy or security of our data, or regarding the actions of our partners, our members, our employees or other companies in our industry, could materially adversely affect our brands and reputation, regardless of the veracity of such publicity or media reports. Major media outlets have increased scrutiny of the location data market and Life360 has been the target of media articles, which could impact member retention, growth, engagement and conversion as well as increase regulatory scrutiny of our actions or decisions regarding member privacy, security, encryption, content, contributors, advertising and other issues, which may materially adversely affect our reputation and brands.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we fail to protect our brands or reputation, we may experience material adverse effects to the size, demographics, engagement, and loyalty of our member base, resulting in decreased revenue, fewer app installs (or increased app uninstalls) and subscription purchases, or slower member growth rates. Any of the foregoing could materially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Inappropriate actions by third parties or certain of our members could be attributed to us and cause damage to our brands.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members may be physically, financially, emotionally or otherwise harmed by other individuals through the use of one of our products or through features of our products. If one or more of our members suffers or alleges to have suffered any such harm as a result of the Life360 Service, we could in the future experience negative publicity or legal action that could damage our brands. Similar events affecting users of our competitors’ products and services could also result in negative publicity for our products and services, as well as the industries in which we operate, including the location sharing and tracking industries, which could in turn negatively affect our business.</w:t>
      </w:r>
    </w:p>
    <w:p>
      <w:pPr>
        <w:spacing w:after="0" w:line="18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reputation of our brands may also be materially adversely affected by the actions of our members or advertisers that are deemed to be hostile, offensive, inappropriate or unlawful. Furthermore, members have in the past used competitor products and may use our products for illegal or harmful purposes such as stalking or theft, rather than for their intended purposes. While we have systems and processes in place that aim to monitor and review the appropriateness of the content accessible through our products and services and have adopted policies regarding illegal, offensive or inappropriate use of our products and services, our members have in the past, and could in the future, nonetheless engage in activities that violate our policies. In addition, our advertisers may use our system or our members’ data in a manner inconsistent with our terms, contracts or policies. Additionally, while our policies attempt to address illegal, offensive or inappropriate use of our products, we cannot control how our members engage on our products. We may also be unsuccessful in our efforts to enforce our policies or otherwise prevent or remediate any such incidents. As a result, our existing safeguards may not be sufficient to avoid harm to our reputation and brands, especially if such hostile, offensive or inappropriate use is well-publicized.</w:t>
      </w:r>
    </w:p>
    <w:p>
      <w:pPr>
        <w:spacing w:after="0" w:line="1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business could be harmed if we are unable to accurately forecast demand for our products and services and to adequately manage our product inventory.</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invest broadly in our business, and such investments are driven by our expectations of the future success of a product or service. For example, our Tile and Jiobit hardware often require investments with long lead times. We must forecast inventory needs and expenses and place orders sufficiently in advance with our third-party suppliers and contract manufacturers based on our estimates of future demand for particular products. Our ability to accurately forecast demand for our products and services could be affected by many factors, including an increase or decrease in demand for our products and services or for our competitors’ products and services, unanticipated changes in general market or economic or political conditions. An inability to correctly forecast the success of a particular product or service could harm our business.</w:t>
      </w:r>
    </w:p>
    <w:p>
      <w:pPr>
        <w:spacing w:after="0" w:line="1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If we underestimate demand for a particular product, our contract manufacturers and suppliers may not be able to deliver sufficient quantities of that product to meet our requirements, and we may experience a shortage of that product available for sale or distribution. If we overestimate demand for a particular product, we may experience excess inventory levels for that product and the excess inventory may become obsolete or out-of-date. Inventory levels in excess of demand may result in inventory write-downs or write-offs and the sale of excess inventory at further discounted prices, which could negatively impact our gross profit and our business.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growth and profitability rely, in part, on our ability to attract members through cost-effective marketing efforts. Any failure in these efforts could materially adversely affect our business, financial condition and results of operations.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Attracting members involves considerable expenditure for online and offline marketing. Historically, we have had to increase our marketing expenditures over time in order to build our brand awareness, attract members and drive our long-term growth. Evolving consumer behavior has affected, and will in the future affect, the availability of profitable marketing opportunities. For example, as consumers communicate less via email and more via text messaging, messaging apps and other virtual means, the reach of email campaigns designed to attract new and repeat members for our products is adversely impacted. To continue to reach potential members and grow our businesses, we must identify and devote our overall marketing expenditures to newer advertising channels, such as mobile and online video platforms as well as targeted campaigns in which we communicate directly with potential, former and current members via new virtual means. We currently rely on member acquisition through paid efforts, however, we are not exclusively reliant on it for our member growth. Our paid acquisition efforts include paid search in app stores as well as commercials on streaming television. Generally, the opportunities in and sophistication of newer advertising channels are relatively undeveloped and unproven, and we may not be able to continue to appropriately manage and fine-tune our marketing efforts in response to these and other trends in the marketing and advertising industries. Any failure to do so could materially adversely affect our business, financial condition and results of operations.</w:t>
      </w:r>
    </w:p>
    <w:p>
      <w:pPr>
        <w:spacing w:after="0" w:line="188"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Distribution and marketing of, and access to, our products and services depends, in significant part, on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spacing w:after="0" w:line="72"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We market and distribute our products and services (including the Life360 app, Tile app and Jiobit app) through our Channel Partners. Our mobile applications are almost exclusively accessed through the Apple App Store and the Google Play Store, and we depend on Apple and Google approving our mobile applications on their respective platforms. Our ability to market our brands on any given property or channel is subject to the policies of the relevant third party. There is no guarantee that popular mobile platforms will continue to feature our products, or that mobile device users will continue to use our products and services rather than competing ones. Because Life360 is only used on mobile devices, it must remain interoperable with popular mobile operating systems, networks, technologies, products, and standards that we do not control, such as the Android and iOS operating systems and related hardware, including but not limited to GPS, accelerometers and gyrometers. Any changes, bugs, or technical issues in such systems, or changes in our relationships with mobile operating system partners, some of which are competitors or potential competitors of ours, handset manufacturers, or mobile carriers, or in their terms of service or policies that degrade our products’ functionality, reduce or eliminate our ability to update or distribute our products, give preferential treatment to competitive products, limit our ability to deliver, target, or measure the effectiveness of ads, or charge fees related to the distribution of our products or our delivery of ads could materially adversely affect the usage of our products and services on mobile devices.</w:t>
      </w:r>
    </w:p>
    <w:p>
      <w:pPr>
        <w:spacing w:after="0" w:line="1" w:lineRule="exact"/>
        <w:rPr>
          <w:sz w:val="20"/>
          <w:szCs w:val="20"/>
          <w:color w:val="auto"/>
        </w:rPr>
      </w:pPr>
    </w:p>
    <w:p>
      <w:pPr>
        <w:ind w:right="40" w:firstLine="405"/>
        <w:spacing w:after="0" w:line="234" w:lineRule="auto"/>
        <w:rPr>
          <w:sz w:val="20"/>
          <w:szCs w:val="20"/>
          <w:color w:val="auto"/>
        </w:rPr>
      </w:pPr>
      <w:r>
        <w:rPr>
          <w:rFonts w:ascii="Times New Roman" w:cs="Times New Roman" w:eastAsia="Times New Roman" w:hAnsi="Times New Roman"/>
          <w:sz w:val="18"/>
          <w:szCs w:val="18"/>
          <w:color w:val="auto"/>
        </w:rPr>
        <w:t>We are subject to the standard policies and terms of service of these third-party platforms, which generally govern the promotion, distribution, content, and operation of applications on such platforms. Each Channel Partner has broad discretion to change its policies and interpret its terms of service and other policies with respect to us and other companies, including changes that may be unfavorable to us and may limit, eliminate or otherwise interfere with our ability to distribute or market through their stores, impose restrictions on access to our products by potential customers, affect our ability to update our applications, including to make bug fixes or other feature updates or upgrades and affect our ability to access native functionality or other aspects of mobile devices and our ability to access information about our members that they collect. A platform provider may also change how the personal information of its users is made available to developers on its platform, limit the use of personal information for advertising purposes, restrict how members can share information on its platform or across platforms, or significantly increase the level of compliance or requirements necessary to use its platform.</w:t>
      </w:r>
    </w:p>
    <w:p>
      <w:pPr>
        <w:spacing w:after="0" w:line="20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addition, the platforms we use may dictate rules, conduct or technical features relating to the collection, storage, use, transmission, sharing and protection of personal information and other consumer data, which may result in substantial costs and may necessitate changes to our business practices, which in turn may compromise our growth strategy, adversely affect our ability to attract, monetize or retain members, and otherwise adversely affect our reputation, legal and regulatory exposures, business, financial condition and results of operations. Any failure or perceived failure by us to comply with these platform-dictated rules, conduct or technical features may result in investigations or enforcement actions, litigation, or public statements against us, which in turn could result in significant liability or temporary or permanent suspension of our business activities with these platforms, cause our members to lose trust in us, and otherwise compromise our growth strategy, adversely affect our ability to attract, monetize or retain members, and otherwise adversely affect our reputation, legal exposures, business, financial condition and results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If we violate, or a distribution platform provider believes we have violated, a distribution platform’s terms of service, or if there is any change or deterioration in our relationship with such distribution provider, that platform provider could limit or discontinue our access to its platform. For example, in August 2020, both Apple and Google removed mobile apps from their platforms for violating their standard policies and terms of service which include policies against selling location data to brokers. If one of our distribution platform partners were to limit or discontinue our access to their platform, it could significantly reduce our ability to distribute our products to members, decrease the size of the member base we could potentially convert into subscribers, or decrease the revenues we derive from subscribers or advertisers, each of which could adversely affect our business, financial condition and results of operations.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rely on the continued popularity, member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if similar issues arise that impact members’ ability to access our products and services, our business, financial condition, results of operations and reputation may be harmed. Third-party platforms may also impose certain file size limitations, which could limit the ability of our members to download some of our larger app updates over-the-air.</w:t>
      </w:r>
    </w:p>
    <w:p>
      <w:pPr>
        <w:spacing w:after="0" w:line="18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Furthermore, the owners of mobile operating systems provide consumers with the ability to download products that compete with Life360. We have no control over our Channel Partners’ operating systems or hardware or hardware manufactured by other original equipment manufacturers, and any changes to these systems or hardware could degrade the functionality of our mobile apps, impact the accessibility, speed or other performance aspects of our mobile apps or give preferential treatment to competitive products. If issues arise with third-party platforms that impact the visibility or availability of our products and services, our members’ ability to access our products and services or our ability to monetize our products and services, or otherwise impact the design or effectiveness of our software, our business, financial condition and results of operations could be adversely affected.</w:t>
      </w:r>
    </w:p>
    <w:p>
      <w:pPr>
        <w:spacing w:after="0" w:line="1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many of our subscription fees are collected by our Channel Partners and remitted to us. Historically, the number of new and retained members recorded by Life360’s internal database has differed from the number recorded by our Channel Partners in their respective databases and direct revenue is recognized based on the invoices received from our Channel Partners. Any delay to a remittance from our Channel Partners or difference in the numbers in our respective databases may lead to distortions between our expected direct revenue and our actual direct revenue and may have an adverse effect on our business, financial condition and results of operations.</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depend on retailers and distributors to sell and market our hardware products, and our failure to maintain and further develop our sales channels could harm our business.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primarily sell our products through retailers and distributors and depend on these third parties to sell and market our products to consumers. Any changes to our current mix of retailers and distributors could adversely affect our gross margin and could negatively affect both our brand image and our reputation. Our sales depend, in part, on retailers adequately displaying our products, including providing attractive space and point of purchase displays in their stores, and training their sales personnel to sell our products. If our retailers and distributors are not successful in selling our products, our hardware revenue would decrease and we could experience lower gross margin due to product returns or price protection claims. Our retailers also often offer products and services of our competitors in their stores. In addition, our success in expanding and entering into new markets internationally will depend on our ability to establish relationships with new retailers and distributors. We also sell through, and will need to continue to expand our sales through, online retailers. If we do not maintain our relationship with existing retailers and distributors or if we fail to develop relationships with new retailers and distributors, our ability to sell our products and services could be adversely affected and our business may be harmed.</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three months ended March 31, 2024 and 2023, Amazon accounted for less than 10% and approximately 17% of total revenue, respectively.</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Select retailers and distributors make up the majority of our distribution channels. Accordingly, the loss of a small number of our large retailers, distributors, and distribution channels, or the reduction in business with, or access to, one or more of these retailers, distributors, or distribution channels could have a significant adverse impact on our operating results.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a limited number of suppliers, manufacturers, and fulfillment partners for our smart trackers. A loss of any of these partners could negatively affect our business.</w:t>
      </w:r>
    </w:p>
    <w:p>
      <w:pPr>
        <w:spacing w:after="0" w:line="5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outsource the manufacturing of our Tile and Jiobit devices to a single contract manufacturer located in Asia, Jabil, Inc. (“Jabil”), using our design specifications. Jiobit also utilizes other contract manufacturers for additional accessory production. To ensure the quality of our products, we conduct routine product audits.</w:t>
      </w:r>
    </w:p>
    <w:p>
      <w:pPr>
        <w:spacing w:after="0" w:line="17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also work with third-party fulfillment partners that package and deliver our products to multiple locations worldwide, which allows us to reduce order fulfillment time, reduce shipping costs, and improve inventory flexibility. Our reliance on a single manufacturers for our Tile and Jiobit devices and a limited number of fulfillment partners for each of our smart trackers increases our risk since we do not currently have alternative or replacement suppliers beyond these key parties. In addition, we are currently operating under an extension agreement to our initial agreement with Jabil, which expired in March 2022, and are in the process of negotiating a new agreement. If we are unable to execute a new agreement, or in the event of any other interruption from our manufacturer or any of our fulfillment partners, we may not be able to increase capacity from other sources or develop alternate or secondary sources without incurring material additional costs and substantial production delays. Furthermore, our manufacturer’s facilities are located in the PRC and Malaysia. Our business could be adversely affected if our manufacturer or one or more of our fulfillment partners is impacted by a natural disaster, political, social or economic instability, military conflict, bank failures, changing foreign regulations, labor unrest, pandemics, or any other interruption at a particular location.</w:t>
      </w:r>
    </w:p>
    <w:p>
      <w:pPr>
        <w:spacing w:after="0" w:line="19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If we experience a significant increase in demand for our smart trackers, or if we need to replace an existing supplier or partner, we may be unable to supplement or replace them on terms that are acceptable to us, if at all, which could limit our ability to deliver our products to our members in a timely manner. If we are unable to enter into such an agreement, it could cause an adverse effect on our business, financial condition and results of operations. For example, it may take a significant amount of time to identify a manufacturer or fulfillment partner that has the capability and resources to build our products to our specifications in sufficient volume. Identifying suitable suppliers, manufacturers, and fulfillment partners is an extensive process that requires us to become satisfied with their quality control, technical capabilities, responsiveness and service, financial stability, regulatory compliance, and labor and other ethical practices. Accordingly, the loss of our manufacturer or any of our significant fulfillment partners could have an adverse effect on our business, financial condition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control over our suppliers, manufacturers, fulfillment partners and inflation in costs, which may subject us to significant risks, including the potential inability to produce or obtain quality products and services on a timely basis or in sufficient quantity.</w:t>
      </w:r>
    </w:p>
    <w:p>
      <w:pPr>
        <w:spacing w:after="0" w:line="159"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231F20"/>
        </w:rPr>
        <w:t>We have limited control over our suppliers, manufacturers, fulfillment partners and inflation in costs, which subjects us to risks, including, among others:</w:t>
      </w:r>
    </w:p>
    <w:p>
      <w:pPr>
        <w:spacing w:after="0" w:line="5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satisfy demand for our smart trackers;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timing and product reliability;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ability to monitor the manufacturing process and components used in our smart trackers;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ability to develop comprehensive manufacturing specifications that take into account any materials shortages or substitutions;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the manufacturing capability of our third-party manufacturers for our Jiobit accessory production;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manufacturing defects;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significant supplier, manufacturer, or fulfillment partner to perform its obligations to us for technical, market, or other reasons;</w:t>
      </w:r>
    </w:p>
    <w:p>
      <w:pPr>
        <w:spacing w:after="0" w:line="63" w:lineRule="exact"/>
        <w:rPr>
          <w:rFonts w:ascii="Times New Roman" w:cs="Times New Roman" w:eastAsia="Times New Roman" w:hAnsi="Times New Roman"/>
          <w:sz w:val="18"/>
          <w:szCs w:val="18"/>
          <w:color w:val="auto"/>
        </w:rPr>
      </w:pPr>
    </w:p>
    <w:p>
      <w:pPr>
        <w:ind w:left="660" w:right="40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establishing additional supplier, manufacturer, or fulfillment partner relationships if we experience difficulties with our existing suppliers, manufacturers, or fulfillment partners;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materials or components;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intellectual property;</w:t>
      </w:r>
    </w:p>
    <w:p>
      <w:pPr>
        <w:spacing w:after="0" w:line="63"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natural catastrophes, political unrest, terrorism, labor disputes, and economic instability resulting in the disruption of trade from foreign countries in which our smart trackers are manufactured or the components thereof are sourced;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2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economic conditions in the jurisdictions where our suppliers, manufacturers, and fulfillment partners are located including as a result of global supply chain issues;</w:t>
      </w:r>
    </w:p>
    <w:p>
      <w:pPr>
        <w:spacing w:after="0" w:line="1"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warranties and indemnities on components supplied to our manufacturers or performance by our partners.</w:t>
      </w:r>
    </w:p>
    <w:p>
      <w:pPr>
        <w:spacing w:after="0" w:line="22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Further, international operations entail a variety of risks, including currency exchange fluctuations, challenges in staffing and managing foreign operations, tariffs and other trade barriers, unexpected changes in legislative or regulatory requirements of foreign countries that manufacture, or into which we sell, our products and services, difficulties in obtaining export licenses or in overcoming other trade barriers, laws and business practices favoring local companies, political and economic instability, limitations on advertising, difficulties protecting or procuring intellectual property rights, and restrictions resulting in delivery delays and significant taxes or other burdens of complying with a variety of foreign laws. For example, given ongoing supply chain issues, we are prioritizing hardware inventory allocation for the benefit of bundled subscription offers over retail sales. Additionally, in February 2022, Russia invaded Ukraine. The European Union and other governments in jurisdictions in which our apps are available for download have imposed severe sanctions and export controls against Russia and Russian interests, and have threatened additional sanctions and controls. It is not possible to predict the broader consequences of this conflict, or others, such as the conflict between Israel and Hamas, which could include further sanctions, embargoes, greater regional instability, geopolitical shifts and other adverse effects on macroeconomic conditions, currency exchange rates, supply chains and financial markets.</w:t>
      </w:r>
    </w:p>
    <w:p>
      <w:pPr>
        <w:spacing w:after="0" w:line="19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especially during seasons of peak demand, could cause us to experience a significant disruption in our ability to produce and deliver our products and services to our customers.</w:t>
      </w:r>
    </w:p>
    <w:p>
      <w:pPr>
        <w:spacing w:after="0" w:line="15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do not successfully coordinate the worldwide manufacturing and distribution of our products, we could lose sales, which could materially adversely affect our business, financial condition and results of operations.</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business requires us to coordinate the manufacture and distribution of our Tile and Jiobit products across the United States and over the world. We rely on third parties to manufacture our products, manage centralized distribution centers and transport our products. If we do not successfully coordinate the timely manufacturing and distribution of our products, if our manufacturers, distribution logistics providers or transport providers are not able to successfully and timely process our business or if we do not receive timely and accurate information from such providers, and especially if we expand into new product categories or our business grows in volume, we may have an insufficient supply of products to meet customer demand, lose sales, experience a build-up in inventory, incur additional costs, and our financial condition and results of operations may be adversely affected.</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a result of our products being manufactured in the PRC and Malaysia, we are reliant on third parties to get our products to distributors around the world. Transportation costs, fuel costs, labor unrest, political unrest, natural disasters, regional or global pandemics, military conflicts, and other adverse effects on our ability, timing and cost of delivering products can increase our inventory, decrease our margins, adversely affect our relationships with distributors and other customers and otherwise adversely affect our financial condition and results of operations.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 significant portion of our annual retail orders and product deliveries generally occur in the last quarter of the year which includes the important selling periods in November (Black Friday and Cyber Monday) and December (Christmas and Hanukkah) in large part to seasonal holiday demand. This places pressure on our supply chain and could adversely affect our revenues and profitability if we are unable to successfully fulfill customer orders during this quarter.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chains from the PRC and Malaysia could also adversely affect our business.</w:t>
      </w:r>
    </w:p>
    <w:p>
      <w:pPr>
        <w:spacing w:after="0" w:line="6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manufacturer’s operations in the PRC are governed by Chinese laws and regulations. The Chinese government has exercised and continues to exercise substantial control over virtually every sector of the Chinese economy through regulation and state ownership. The central Chinese government or local governments having jurisdiction within the PRC may impose new, stricter regulations, or interpretations of existing regulations. The Company’s manufacturer in the PRC may be subject to regulation and interference by various political, governmental and regulatory entities in the provinces in which it operates, including local and municipal agencies and other governmental divisions. As such, any such future laws or regulations may impair the ability of our manufacturer to operate and may increase its costs. If our manufacturer incurs increased costs, it may attempt to pass such costs on to us. Any such increased expenses or disruptions to the operations of our manufacturer could adversely impact our results of operations, as well as our ability to deliver our products to our members in a timely manner and to meet demand for our smart trackers.</w:t>
      </w:r>
    </w:p>
    <w:p>
      <w:pPr>
        <w:spacing w:after="0" w:line="19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PRC’s legal system is a civil law system based on written statutes. Unlike the common law system, prior court decisions under the civil law system may be cited for reference but have limited precedential value. Since 1979, the Chinese government has promulgated laws and regulations in relation to economic matters such as foreign investment, corporate organization and governance, commerce, taxation and trade, with a view to developing a comprehensive system of commercial law. Due to the fact that these laws and regulations have not been fully developed, and because of the limited volume of published cases and the non-binding nature of prior court decisions, interpretation of Chinese laws and regulations involves a degree of uncertainty. Some of these laws may be changed without immediate publication or may be amended with retroactive effect. Furthermore, since the PRC’s legal system continues to rapidly evolve, the interpretations of many laws and regulations are not always uniform and enforcement of these laws and regulations involves uncertainties. As a result, our manufacturer may not be aware of their violation of any of these policies and rules until sometime after the violation. Such unpredictability towards contractual, property and procedural rights and any failure to quickly respond to changes in the regulatory environment in the PRC could adversely affect our manufacturer’s business, which in turn may impede our ability to deliver our products to our members in a timely manner and to meet demand for our smart trackers or may result in increased expenses for us. Such actions could have a material adverse effect on our business, financial condition, and results of operations. Although we may from time to time seek to secure a back-up manufacturer outside of the PRC, we may not be able to do so in a timely manner, on acceptable terms, or at all.</w:t>
      </w:r>
    </w:p>
    <w:p>
      <w:pPr>
        <w:spacing w:after="0" w:line="18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Additionally, disruption in our supply chain from our manufacturer’s facilities in Malaysia could also significantly impact our ability to fill customer orders for our products. Our supply chain could be adversely impacted by the uncertainties of health concerns and related governmental restrictions, natural disasters, inclement weather conditions, civil unrest including wars and armed conflicts, contractual disagreements, labor unrest, strikes, acts of terrorism, breaches of data security, and other adverse events. Further, we may be exposed to fluctuations in the value of the local currency in the countries in which manufacturing occurs. Future appreciation of these local currencies could increase our costs. In addition, our labor costs could rise as wage rates increase and the available labor pool declines. These conditions could adversely affect our financial results.</w:t>
      </w:r>
    </w:p>
    <w:p>
      <w:pPr>
        <w:spacing w:after="0" w:line="18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spacing w:after="0" w:line="15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March 31, 2024, international members represented over 41% of our total MAUs and accounted for approximately 12% of our total revenue. Offering our apps for download internationally and rolling out full-service memberships outside of the United States, particularly in countries in which we have limited experience, exposes us to a number of additional risks including, among others:</w:t>
      </w:r>
    </w:p>
    <w:p>
      <w:pPr>
        <w:spacing w:after="0" w:line="6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compliance challenges caused by distance, language, and cultural differences;</w:t>
      </w:r>
    </w:p>
    <w:p>
      <w:pPr>
        <w:spacing w:after="0" w:line="63"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 and differing labor regulations for contractors and certain Tile employees working internationally;</w:t>
      </w:r>
    </w:p>
    <w:p>
      <w:pPr>
        <w:spacing w:after="0" w:line="1"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levels of social and technological acceptance and adoption of our products and services or lack of acceptance of them generally and the risk that our products and services may not resonate as deeply in certain international markets;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4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among countries and back to the United States, as well as costs associated with repatriating funds to the United States;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adverse tax laws and consequences;</w:t>
      </w:r>
    </w:p>
    <w:p>
      <w:pPr>
        <w:spacing w:after="0" w:line="63"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rules and regulations, and difficulties understanding and ensuring compliance with those laws by our Company, our employees and our business partners, over whom we exert no control, and other government requirements, approvals, permits and licenses;</w:t>
      </w:r>
    </w:p>
    <w:p>
      <w:pPr>
        <w:spacing w:after="0" w:line="13" w:lineRule="exact"/>
        <w:rPr>
          <w:rFonts w:ascii="Times New Roman" w:cs="Times New Roman" w:eastAsia="Times New Roman" w:hAnsi="Times New Roman"/>
          <w:sz w:val="18"/>
          <w:szCs w:val="18"/>
          <w:color w:val="auto"/>
        </w:rPr>
      </w:pPr>
    </w:p>
    <w:p>
      <w:pPr>
        <w:ind w:left="660" w:right="102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challenges due to different, overlapping and evolving requirements and processes set out in different laws and regulatory environments, particularly in the case of data privacy, data security, intermediary liability, and consumer protection;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environments that favor local businesses or local knowledge of such environments;</w:t>
      </w:r>
    </w:p>
    <w:p>
      <w:pPr>
        <w:spacing w:after="0" w:line="63" w:lineRule="exact"/>
        <w:rPr>
          <w:rFonts w:ascii="Times New Roman" w:cs="Times New Roman" w:eastAsia="Times New Roman" w:hAnsi="Times New Roman"/>
          <w:sz w:val="18"/>
          <w:szCs w:val="18"/>
          <w:color w:val="auto"/>
        </w:rPr>
      </w:pPr>
    </w:p>
    <w:p>
      <w:pPr>
        <w:ind w:left="660" w:right="20" w:hanging="328"/>
        <w:spacing w:after="0" w:line="298" w:lineRule="auto"/>
        <w:tabs>
          <w:tab w:leader="none" w:pos="6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or insufficient intellectual property protection, or the inability or difficulty to obtain, maintain, protect or enforce intellectual property rights or to obtain intellectual property licenses from third parties, which could make it easier for competitors to capture increased market position;</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international data hosting platforms and other third-party platforms;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usage and/or penetration of internet connected consumer electronic devices;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social or economic instability;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legal systems less developed or less predictable than those in the United States;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sanctions, political unrest, terrorism, war, pandemics and epidemics or the threat of any of these events;</w:t>
      </w:r>
    </w:p>
    <w:p>
      <w:pPr>
        <w:spacing w:after="0" w:line="63" w:lineRule="exact"/>
        <w:rPr>
          <w:rFonts w:ascii="Times New Roman" w:cs="Times New Roman" w:eastAsia="Times New Roman" w:hAnsi="Times New Roman"/>
          <w:sz w:val="18"/>
          <w:szCs w:val="18"/>
          <w:color w:val="auto"/>
        </w:rPr>
      </w:pPr>
    </w:p>
    <w:p>
      <w:pPr>
        <w:ind w:left="660" w:right="80" w:hanging="328"/>
        <w:spacing w:after="0" w:line="25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violation of any export and import laws, anti-bribery or anti-corruption laws, anti-money laundering rules or other rules or regulations applicable to our business, including but not limited to the Foreign Corrupt Practices Act of 1977, as amended; and</w:t>
      </w:r>
    </w:p>
    <w:p>
      <w:pPr>
        <w:ind w:left="660" w:right="260" w:hanging="328"/>
        <w:spacing w:after="0" w:line="239" w:lineRule="auto"/>
        <w:tabs>
          <w:tab w:leader="none" w:pos="65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lower prices paid by international subscribers partially offset the positive impacts to ARPPC we experienced following our price increases for existing U.S. Life360 subscriptions which took effect during 2023. ARPPC is a key performance indicator utilized by Life360 to determine our effectiveness at monetizing Paying Circles through tiered product offerings.</w:t>
      </w:r>
    </w:p>
    <w:p>
      <w:pPr>
        <w:spacing w:after="0" w:line="19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occurrence of any or all of the risks described above could adversely affect our international operations, which could in turn adversely affect our business, financial condition and results of operations.</w:t>
      </w:r>
    </w:p>
    <w:p>
      <w:pPr>
        <w:spacing w:after="0" w:line="15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key data partners, and any termination of our agreements with such data partners could have a material adverse effect on our revenues, business, financial condition and results of operations.</w:t>
      </w:r>
    </w:p>
    <w:p>
      <w:pPr>
        <w:spacing w:after="0" w:line="5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generate indirect revenue from key partners through the sale of data insights derived from the personal data we collect from our members. This revenue represented approximately 7% and 8% of our total revenue for the three months ended March 31, 2024 and 2023, respectively. Termination of agreements with key partners may adversely impact our future financial performance.</w:t>
      </w:r>
    </w:p>
    <w:p>
      <w:pPr>
        <w:spacing w:after="0" w:line="17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January 2022, Life360 announced a new partnership agreement with a key data partner (“Data Partner”), a provider of anonymized aggregated analytics for the retail ecosystem. As part of this partnership, the Data Partner has provided data processing and analytics services to Life360 and has the right to commercialize aggregated data insights. This partnership marked the beginning of Life360’s exit from its legacy data sales model and transition to commercialize aggregated data, while still providing certain members the option to opt out of even aggregated data sales. There is a risk that demand for this aggregated data will decrease, which could adversely impact our ability to renew the agreement upon the expiration of the initial term. There is also a risk that the supply of aggregated data by other parties will increase which may adversely impact our ability to continue to generate revenue from the sale of aggregated data at the end of the current contract term. In addition, under limited circumstances where we may terminate the agreement before the end of the term, we could be liable for termination payments ranging from $5 million to $10 million. In addition, we have agreed to pay the Data Partner liquidated damages in the amount of $20 million if we fail to timely cure a breach of the exclusivity requirements under the agreement.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future success depends on the continuing efforts of our executive officers and other key employees and our ability to attract and retain highly skilled personnel and senior management.</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currently depend on the continued services and performance of our executive officers and other key employees. If one or more of our executive officers or other key employees were unable or unwilling to continue their employment with us, we may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marketing, and sales personnel, could disrupt our operations and have a material adverse effect on our business. The success of our brands also depends on the commitment of our key personnel. To the extent that any of our key personnel act in a way that does not align with our values, our reputation could be materially adversely affected. See “—</w:t>
      </w:r>
      <w:r>
        <w:rPr>
          <w:rFonts w:ascii="Times New Roman" w:cs="Times New Roman" w:eastAsia="Times New Roman" w:hAnsi="Times New Roman"/>
          <w:sz w:val="18"/>
          <w:szCs w:val="18"/>
          <w:color w:val="231F20"/>
        </w:rPr>
        <w:t>Our employees, consultants, third-party providers,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partners and competitors could engage in misconduct that materially adversely affects us.”</w:t>
      </w:r>
    </w:p>
    <w:p>
      <w:pPr>
        <w:spacing w:after="0" w:line="18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 provide incentives to retain 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1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Finally, effective succession planning is also important to our future success. While our remuneration and nomination committee is responsible for overseeing and implementing proper succession plans for the Company, if we fail to ensure the effective transfer of senior management knowledge and smooth transitions involving senior management across our various businesses, our ability to execute short and long term strategic, financial and operating goals, as well as our business, financial condition and results of operations generally, could be materially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employees, consultants, third-party providers, partners and competitors could engage in misconduct that materially adversely affects us.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employees, consultants, third-party providers, partners and competitors could engage in misconduct, including the misuse of data and intentional failures to comply with applicable laws and regulations (including those related to cybersecurity or data privacy, or those prohibiting a wide range of pricing, discounting and other business arrangements), report financial information or data accurately, or disclose unauthorized activities. Such misconduct could result in legal or regulatory sanctions and cause serious harm to their and our reputation. It is not always possible to identify and deter misconduct by employees, consultants, third-party providers or partners,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whether or not we are successful in defending against them, we could be exposed to legal liability (including civil, criminal and administrative penalties), incur substantial costs and damage to our reputation and brands, and we could fail to retain key employees. Additionally, any misconduct or perception of misconduct by our members that is attributed to us, our employees, consultants, third-party providers, partners or competitors could seriously harm our business or reputation.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offer high-quality customer support, our customer satisfaction may suffer, and it may have a negative impact on our business and reputation.</w:t>
      </w:r>
    </w:p>
    <w:p>
      <w:pPr>
        <w:spacing w:after="0" w:line="5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Many of our members rely on our customer support services to resolve issues, including technical support, billing and subscription issues, which may arise. If demand increases, or our resources decrease, we may be unable to offer the level of support our customers expect. Any failure by us to maintain the expected level of support could reduce member satisfaction and negatively impact our customer retention, our business and reputation.</w:t>
      </w:r>
    </w:p>
    <w:p>
      <w:pPr>
        <w:spacing w:after="0" w:line="1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growth strategy includes expanding in international markets which requires significant resources and management attention. Failure to execute on our growth strategy could have an adverse impact on our business, financial condition and results of operations.</w:t>
      </w:r>
    </w:p>
    <w:p>
      <w:pPr>
        <w:spacing w:after="0" w:line="5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expanded to new international markets and are growing our operations in existing international markets, which may have very different cultures and commercial, legal, and regulatory systems than the markets in which we predominately operate. In addition, scaling our business to international markets imposes complexity on our business, and requires additional financial, legal, and management resources. An inability to manage this expansion successfully may have an adverse impact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cannot maintain our corporate culture as we grow, our business may be harmed.</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believe that our corporate culture has been a critical component to our success and that our culture creates an environment that drives and perpetuates our overall business strategy. We have invested substantial time and resources in building our team, and we expect to continue to hire aggressively as we expand, including with respect to any potential international expansions we may pursue. As we grow and mature, we may find it difficult to maintain our corporate culture. Any failure to preserve our culture could negatively affect our future success, including our ability to recruit and retain personnel and effectively focus on and pursue our business strategy.</w:t>
      </w:r>
    </w:p>
    <w:p>
      <w:pPr>
        <w:spacing w:after="0" w:line="179" w:lineRule="exact"/>
        <w:rPr>
          <w:sz w:val="20"/>
          <w:szCs w:val="20"/>
          <w:color w:val="auto"/>
        </w:rPr>
      </w:pPr>
    </w:p>
    <w:p>
      <w:pPr>
        <w:ind w:right="40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Investment in new business strategies, partnerships and acquisitions could fail to produce the expected results, disrupt our ongoing business, present risks not originally contemplated and materially adversely affect our business, reputation, results of operations and financial condition.</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invested, and in the future may invest, in new business strategies, partnerships or acquisitions. Such endeavors may involve significant risks and uncertainties, including distraction of management from current operations, the potential for greater-than-expected liabilities and expenses, economic, political, legal and regulatory challenges associated with implementing new business strategies, operating in new regions or countries, inadequate return on capital, potential impairment of tangible and intangible assets, and significant write-offs. Investment, partnership and acquisition transactions are exposed to additional risks, including failing to obtain required regulatory approvals on a timely basis or at all, or the imposition of onerous conditions or other factors that could delay or prevent us from completing a transaction or otherwise limit our ability to fully realize the anticipated benefits of a transaction. New ventures are inherently risky and may not be successful. For example, in May 2024 we entered into a non-binding letter of intent to partner and consummate an investment in Hubble Network, Inc. (“Hubble”) to become the exclusive consumer application of their satellite Bluetooth technology. We intend to connect Life360’s Tile Bluetooth trackers with Hubble’s satellites to create a global location-tracking network. However, the letter of intent is preliminary and subject to negotiation and execution of a definitive agreement and we cannot provide any assurances that we will be able to do so. Failure to reach a definitive agreement with Hubble or, in the event the partnership is consummated, our inability to realize the anticipated benefits of a partnership with Hubble, could have a material adverse effect on our growth prospects and expectations. The failure of any significant investment or business strategy, opportunity, partnership or acquisition could materially adversely affect our business, reputation, results of operations and financial condition.</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acquisitions of Jiobit and Tile present numerous risks that may affect our ability to realize the anticipated strategic and financial goals from the acquisitions.</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Risks we may face in connection with our acquisitions and integrations of Jiobit and Tile include, among others:</w:t>
      </w:r>
    </w:p>
    <w:p>
      <w:pPr>
        <w:spacing w:after="0" w:line="11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benefits we expect to receive from the transactions, including anticipated synergies;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difficulties managing Jiobit’s or Tile’s technologies and lines of business or retaining key personnel from Jiobit or Tile;</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acquisitions may not further our business strategy as we expected, we may not successfully integrate Jiobit or Tile as planned, there could be unanticipated adverse impacts on Jiobit’s or Tile’s business, or we may otherwise not realize the expected return on our investments, which could adversely affect our business or results of operations and potentially cause impairment to assets that we record as a part of an acquisition;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60" w:hanging="328"/>
        <w:spacing w:after="0" w:line="25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may be adversely impacted by (i) claims or liabilities related to Jiobit’s or Tile’s business including, among others, private party litigation (including class actions) and claims from government agencies, terminated employees, current or former members, business partners or other third parties; (ii) pre-existing contractual relationships or lines of business of Jiobit or Tile that we would not have otherwise entered into, the termination or modification of which may be costly or disruptive to our business; (iii) unfavorable accounting treatment as a result of Jiobit’s or Tile’s practices; (iv) intellectual property claims or disputes; and (v) pre-existing lack of controls or difficulty with technical and data integrations resulting in data privacy, data security, and consumer protection risks that could lead to litigation or regulatory investigations or enforcement activity;</w:t>
      </w:r>
    </w:p>
    <w:p>
      <w:pPr>
        <w:spacing w:after="0" w:line="26"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Tile and Jiobit products is outsourced to a single manufacturer and if the contract is terminated or not renewed, we would be required to enter into a new agreement with another manufacturer that may not be available on reasonable terms, potentially resulting in new and unexpected operational complexities and costs;</w:t>
      </w:r>
    </w:p>
    <w:p>
      <w:pPr>
        <w:spacing w:after="0" w:line="1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maintain existing agreements with Jiobit and Tile partners and alternative partnerships may not be available on reasonable terms, or at all;</w:t>
      </w:r>
    </w:p>
    <w:p>
      <w:pPr>
        <w:spacing w:after="0" w:line="1"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managing hardware inventories, including tracking movements, supply chain, and associated costs of managing hardware inventories; and</w:t>
      </w:r>
    </w:p>
    <w:p>
      <w:pPr>
        <w:spacing w:after="0" w:line="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failed to identify or assess the magnitude of certain liabilities, shortcomings or other risks in Jiobit’s or Tile’s businesses prior to closing our acquisitions of Jiobit or Tile, which could result in unexpected litigation or regulatory exposure, unfavorable accounting treatment, a diversion of management’s attention and resources, and other adverse effects on our business, financial condition and results of operations.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occurrence of any of these risks could have a material adverse effect on our business, financial condition and results of operations. See “— Investment in new business strategies, partnerships and acquisitions could fail to produce the expected results, disrupt our ongoing business, present risks not originally contemplated and materially adversely affect our business, reputation, results of operations and financial condition.”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member metrics and other estimates are subject to inherent challenges in measurement, and real or perceived inaccuracies in those metrics may negatively affect our reputation and our business.</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regularly review metrics, including MAUs, Paying Circles, subscription fees paid by Paying Circles for Life360 Memberships, ARPPC, Tile subscriptions and Jiobit subscriptions to evaluate growth trends, measure our performance, and make strategic decisions. While these numbers are based on what we believe to be reasonable estimates of our metrics for the applicable period of measurement, there are inherent challenges in measuring how our products and services are used across large populations globally. Our member metrics are calculated using internal Company data gathered on an analytics platform that we developed and operate, have not been validated by an independent third-party and may differ from estimates or similar metrics published by third parties due to differences in sources, methodologies, or the assumptions on which we rely. Our member metrics are also affected by technology on certain mobile devices that automatically runs in the background of our application when another phone function is used, and this activity can cause our system to miscount the member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Further, similar to other internet-based platforms, certain of our metrics (and their accuracy) are, have in the past been and may in the future may, affected by users whose behaviors violate our applicable terms of service, including by creating duplicative or violative accounts or other illegitimate activities such as bot-generated activity, which we may not be able to detect and could result in inaccuracies in or changes to the metrics we report publicly. While these metrics are based on what we believe to be reasonable estimations for the applicable period of measurement,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or external systems and tools we use to track these metrics under count or over count performance or contain algorithmic or other technical errors, the data we report may not be accurate. As a result, while future periods may benefit from such improvement or change, prior periods may not be as accurate or comparable, or we may need to adjust such prior periods.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members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we may be subject to legal or regulatory actions, and our business, financial condition, results of operations and prospects could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had operating losses each year since our inception and we may not achieve or maintain profitability in the future.</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incurred operating losses each year since our inception and we may not achieve or maintain profitability in the future. Although Life360’s revenue, excluding Tile and Jiobit revenue, has increased each quarter since 2016,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do not achieve or maintain profitability in the future, it could materially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limited operating history of our new brands, products and services makes it difficult to evaluate our current business and future prospects.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seek to tailor each of our brands, products and services to meet the preferences of specific communities of members. Building a given brand, product or service is generally an iterative process that occurs over a meaningful period of time and involves considerable resources and expenditures. Although certain of our newer brands, products and services may experience significant growth over relatively short periods of time, the historical growth rates of these brands and products and services may not be an indication of their future growth rates generally.</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encountered, and may continue to encounter, risks and difficulties as we build our newer brands and products. The failure to successfully scale these brands, products and services and address these risks and difficulties could adversely affect our business, financial condition and results of operations.</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have grown rapidly in recent years and have limited operating experience at our current scale of operations. If we are unable to manage our growth effectively, our brands, company culture and financial performance may suffer and place significant demands on our operational, risk management, sales and marketing, technology, compliance and finance and accounting resources.</w:t>
      </w:r>
    </w:p>
    <w:p>
      <w:pPr>
        <w:spacing w:after="0" w:line="67"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have experienced rapid growth and demand for our products and services since inception. We have expanded our operations rapidly, including as a result of organic growth and our acquisitions of Jiobit and Tile, and have limited operating experience at our current size. As we have grown, we have increased our employee headcount and we expect headcount growth to continue for the foreseeable future. Further, as we grow, our business becomes increasingly complex and subject to increased demands on our operational, administrative and financial resources. To effectively manage and capitalize on our growth, we must continue to scale our technology infrastructure and systems to support new products and market expansion, expand our sales and marketing, focus on innovative product and services development and upgrade our management information systems and other processes. Our future growth will depend, among other things, on our ability to maintain an operating platform and management system sufficient to address our growth. Our continued growth could strain our existing resources, and we could experience ongoing operating difficulties in managing our business across numerous jurisdictions, including difficulties in hiring, training, and managing a diffuse and growing employee base. If our management team and other key personnel do not effectively scale with our growth, we may experience erosion to our brands,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 We must continue to effectively manage challenges relating to maintaining the security of our platform and the privacy and security of the information (including personal information) that is provided and utilized across our platform and implement and maintain adequate financial, business, and risk controls.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markets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insurance coverage may be inadequate to cover future claims or losses.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believe we are adequately covered by our current insurance policies and plan to maintain insurance as we consider appropriate for our needs. However, we will not be insured against all risks, either because the appropriate coverage is not available or because we consider the applicable premiums to be excessive in relation to the perceived benefits that would accrue. Accordingly, we may not be fully insured against all losses and liabilities that may arise from our operations. If we incur uninsured losses or liabilities, the value of our assets may be at risk.</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restructuring and the associated headcount reduction may not result in anticipated savings, could result in total costs and expenses that are greater than expected and could disrupt our business.</w:t>
      </w:r>
    </w:p>
    <w:p>
      <w:pPr>
        <w:spacing w:after="0" w:line="5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2023, we implemented a workforce restructure, including reductions in both headcount and expenses. Although we realized a decrease in personnel-related expenses and stock-based compensation costs for the year ended December 31, 2023 as a result of our restructuring efforts, we may not fully realize the anticipated benefits, savings and improvements in our cost structure due to unforeseen difficulties, delays or unexpected costs. If we are unable to realize expected operational efficiencies and the cost savings from the restructuring, our operating results and financial condition would be adversely affected. Due to our restructuring, we may not be able to effectively manage our operations or retain qualified personnel, which may result in weaknesses to our infrastructure and operations, increased risk that we may be unable to comply with legal and regulatory requirements, increased risks to our internal controls and disclosure controls, and loss of employees and reduced productivity among remaining employees.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restructuring resulted in the loss of institutional knowledge and expertise and the reallocation of and combination of certain roles and responsibilities across the organization, all of which could adversely affect our operations. Further, the restructuring and possible additional cost-containment measures may yield unintended consequences, such as attrition beyond our intended workforce reduction and reduced employee morale. We may be required to rely more heavily on temporary or part-time employees, third party contractors and consultants to assist with managing our operations. These consultants are not our employees and may have commitments to, or consulting or advisory contracts with, other entities that may limit their availability to us. We will have only limited control over the activities of these consultants and can generally expect these individuals to devote only limited time to our activities. Failure of any of these persons to devote sufficient time and resources to our business could harm our business. Employee litigation related to the headcount reduction could be costly and prevent management from fully concentrating on the business.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management is unable to successfully manage this transition and restructuring activities, our expenses may be more than expected and we may be unable to implement our business strategy. As a result, our business, prospects, financial condition and results of operations could be negatively affected.</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in March 2023, the Federal Deposit Insurance Corporation (“FDIC”) took control and was appointed receiver for each of Silicon Valley Bank (“SVB”) and Signature Bank. Although we did not experience any losses in our accounts with SVB, at the time we had cash and cash equivalents at SVB that exposed us to credit risk prior to the completion by the FDIC of the resolution of SVB in a manner that fully protected all depositors. However, there is no guarantee that the U.S. Department of Treasury, FDIC and Federal Reserve Board will provide access to uninsured funds in the future in the event of the closure of banks or financial institutions in a timely fashion or at all.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In addition, the failure of other banks and financial institutions and the measures taken by governments, businesses and other organizations in response to these events could adversely impact our ability to access our existing cash, cash equivalents and investments may be threatened and could adversely impact our ability to meet our operating expenses, result in breaches of our contractual obligations or result in significant disruptions to our business, any of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Unstable market and economic conditions may adversely affect consumer discretionary spending and demand for our products and services.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Global credit and financial markets have recently experienced extreme volatility and disruptions, including declines in consumer confidence, concerns about declines in economic growth, bank failures, the ongoing elevated rate of inflation, increases in borrowing rates, the availability and cost of consumer credit and credit availability, and uncertainty about economic stability, and ongoing geopolitical conflict. Our general business strategy may be adversely affected by any economic downturn, volatile business environment or continued unpredictable and unstable market conditions.</w:t>
      </w:r>
    </w:p>
    <w:p>
      <w:pPr>
        <w:spacing w:after="0" w:line="18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global economic conditions continue to be volatile or economic uncertainty remains, trends in consumer discretionary spending also remain unpredictable and subject to reductions. Our products and services may be considered discretionary items for consumers.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may have an adverse effect on our business, financial condition and results of operations. We cannot predict the timing, strength, or duration of any economic slowdown or any subsequent recovery generally, of any industry in particular. If the conditions in the general economy and the markets in which we operate worsen from present levels, our business, financial condition, and results of operations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affected by seasonality.</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Life360 has historically experienced member and subscription growth seasonality in the third quarter of each calendar year, which includes the return to school for many of our members. Hardware sales have historically experienced comparatively higher seasonal growth in the fourth quarter of each calendar year, which includes the important selling periods in November (Black Friday and Cyber Monday) and December (Christmas and Hanukkah) in large part to seasonal holiday demand. An unexpected decrease in sales over those traditionally high-volume selling periods may impact our revenue and could also result in surplus inventory and could have a disproportionate effect on our results of operations for the entire fiscal year. Seasonality in our business can also be affected by introductions of new or enhanced products and services, including the costs associated with such introductions.</w:t>
      </w:r>
    </w:p>
    <w:p>
      <w:pPr>
        <w:spacing w:after="0" w:line="18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derive a portion of our revenues from lead generation offerings. If we are unable to continue to compete for these lead generation offerings, or if any events occur that negatively impact our relationships with potential advertising partners, our advertising revenues and results of operations will be negatively impacted.</w:t>
      </w:r>
    </w:p>
    <w:p>
      <w:pPr>
        <w:spacing w:after="0" w:line="6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generate a portion of our revenue by delivering product offerings from partners to members in contextually relevant ways that do not feel like advertisements. Currently, lead generation at Life360 is limited to displaying auto insurance offers in the Life360 app after the member has indicated they are interested in receiving such offers by clicking on the advertisement within the app. These lead generation advertisements are broadly displayed to all members, with the exception of people under 18 years of age or who have opted out of data sales, and our partners bid for advertisement placements by setting a budget for a driving score tier. Individual driving scores are not provided to advertisers. In the future, we may offer additional third-party solutions through lead generation. In the first quarter of 2024, we also launched a progressive rollout of advertisements to our entire free U.S. member base and began testing with initial partners. We intend to optimize programmatic advertising and establish direct partnerships with advertising partners with the aim of delivering targeted advertising on and off site.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There is a risk that members may not engage with the lead generation offering or other advertisements at the scale necessary for potential advertising partners to spend a meaningful amount, or any of their advertising budget on the offering. There is a risk that advertisers will not utilize the lead generation offering or choose to advertise on our platform. A failure to grow the lead generation offering and to broadly expand our infrastructure for targeted advertisements may inhibit the development of a new advertising revenue stream and have a material adverse impact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operating margins may decline as a result of increasing product costs and inflationary pressures.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business is subject to significant pressure on pricing and costs caused by many factors, including intense competition, the cost of components used in our products, labor costs, constrained sourcing capacity, inflationary pressure, pressure from subscribers to reduce the prices we charge for our products and services, and changes in consumer demand. Costs for the raw materials used in the manufacture of our products are affected by, among other things, energy prices, consumer demand, fluctuations in commodity prices and currency, and other factors that are generally unpredictable and beyond our control. Increases in the cost of raw materials used to manufacture our products or in the cost of labor and other costs of doing business in the United States and internationally could have an adverse effect on, among other things, the cost of our products, gross margins, results of operations, financial condition and cash flows. Moreover, if we are unable to offset any decreases in our average selling price by increasing our sales volumes or by adjusting our product mix, our business, financial condition and results of operations may be harmed.</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require additional capital to support business growth and objectives, and this capital might not be available to us on reasonable terms, if at all, and may result in stockholder dilution.</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expect that our existing cash and cash equivalents provided by sales of our subscriptions will be sufficient to meet our anticipated cash needs and business objectives for at least the next 12 months. Our future capital requirements will depend on many factors, including our subscription growth rate, subscription renewal activity, the timing and the amount of cash received from subscribers, the timing and extent of spending to support development efforts, the expansion of sales and marketing activities, the introduction of new and enhanced product offerings, such as advertisements, and the continuing market adoption of our platform. We may, in the future, enter into arrangements to acquire or invest in complementary businesses, services, and technologies.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Any such additional funding may not be available on terms attractive to us, or at all. Our inability to obtain additional funding when needed on acceptable terms or at all could have an adverse effect on our business, financial condition and results of operations. If additional funds are raised through the issuance of equity or convertible debt securities, holders of our common stock could suffer significant dilution, and any new shares we issue could have rights, preferences, and privileges superior to those of our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our estimates or judgments relating to our critical accounting policies prove to be incorrect, our results of operations could be adversely affected.</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amounts reported in our financial statements and accompanying notes appearing elsewhere in this Quarterly Report on Form 10-Q. We base our estimates on short duration historical experience and on various other assumptions that we believe to be reasonable under the circumstances, as provided in the section titled “Management’s Discussion and Analysis of Financial Condition and Results of Operations— Critical Accounting Policies and Significant Management Estimates.” The results of these estimates form the basis for making judgments about the carrying values of assets, liabilities, and equity, and the amount of revenue and expenses. Significant estimates and judgments for the Company involve: revenue recognition, subscription revenue arrangements with multiple performance obligations, sale incentives, other revenue, costs capitalized to obtain contracts, stock-based compensation expense, common stock valuations, inventory valuation and income tax.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delay recognition of some of our revenue, which may harm our financial results in any given period.</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Due to specific revenue recognition requirements under GAAP, we must have very precise terms in our contracts to recognize revenue when we initially provide our products and services. Although we strive to enter into agreements that meet the criteria under GAAP for current revenue recognition on delivered performance obligations, our agreements are often subject to negotiation and revision based on the demands of our customers. The final terms of our agreements sometimes result in deferred revenue recognition, which may adversely affect our financial results in any given period. In addition, more customers may require extended payment terms, shorter term contracts or alternative arrangements that could reduce the amount of revenue we recognize upon delivery of our other products and services, and could adversely affect our short-term financial results.</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are subject to foreign currency fluctuation risks.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 portion of our revenue is denominated in foreign currency. Accordingly, our revenue will be affected by fluctuations in the rates by which the U.S. dollar is exchanged with foreign currency. For example, a weakening in the value of the U.S. dollar as compared to the Australian dollar would have the effect of reducing the U.S. dollar value of Australian dollar revenue. Alternatively, a weakening of the Australian dollar as compared to the U.S. dollar would have an effect of increasing the U.S. dollar value of Australian dollar revenue. Although we take steps to manage currency risk, adverse movements in the U.S. dollar against the foreign currency revenue may have an adverse impact on our business, financial condition and results of operations. Additionally, hedging strategies are also inherently risky and could expose us to additional risks that could harm our financial condition and results of operations. We have not historically used foreign exchange contracts to help manage foreign exchange rate exposures.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Privacy and Cybersecurity</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laws (U.S. and foreign), regulations, rules, contracts, policies and other obligations related to data privacy and security, data protection, consumer protection, advertising, location tracking, digital tracking technologies, and the protection of minors. Our actual or perceived failure to comply with such obligations could lead to regulatory investigations or actions; litigation (including class action or similar lawsuits); fines and penalties; changes to or disruptions of our business operations; reputational harm; loss of revenue or profits; declines in member growth or engagement; and other material adverse business consequences.</w:t>
      </w:r>
    </w:p>
    <w:p>
      <w:pPr>
        <w:spacing w:after="0" w:line="18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(and the third parties or service providers upon whom we rely) collect, receive, store, process, generate, use, transfer, disclose, make accessible, protect, secure, dispose of, transmit, and share (collectively, “process” and its conjugates) personal data and other sensitive information, including proprietary and confidential business data, trade secrets, intellectual property, sensitive third-party data, business plans, transactions, and financial information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In the past few years, numerous U.S. states — including California, Colorado, Connecticut, Utah and Virginia — have enacted comprehensive privacy laws that impose certain obligations on covered businesses. These laws impose certain data privacy and security obligations on covered businesses. Generally, these and similar laws obligate covered businesses to provide specific disclosures in privacy notices and afford relevant individuals with certain rights concerning their personal data. As applicable, such rights may include the right to access, correct, or delete certain personal data, and to opt-out of certain personal data processing activities, such as targeted advertising, profiling, or automated decision-making. The exercise of these rights may impact our business and ability to provide our products and services. These laws may also allow for regulators to impose statutory fines or allow private claimants to recover damages for noncompliance. For example, the California Consumer Privacy Act (CCPA) applies to personal information of consumers, business representatives, and employees who are California residents, and requires businesses to provide specific disclosures in privacy notices and honor requests of California residents to exercise certain privacy rights, such as those noted below. The CCPA provides for fines of up to $7,500 per intentional violation and allows private litigants affected by certain data breaches to seek to recover potentially significant statutory damages. Other states, such as Virginia and Colorado, have also enacted comprehensive consumer privacy laws, and similar laws are being considered in several other states, as well as at the federal and local levels. These state laws (including the CCPA) may provide individuals with rights to their personal data, such as the right to access, correct, or delete certain personal data, and opt-out of certain data processing activities, such as targeted advertising, profiling, and automated decision-making. If individuals were to exercise these rights at a significant volume or pace, such actions may impact our business and ability to provide our products and services. These developments may further complicate compliance efforts and may increase legal risk and compliance costs for us and the third parties upon whom we rely.</w:t>
      </w:r>
    </w:p>
    <w:p>
      <w:pPr>
        <w:spacing w:after="0" w:line="19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Federal, state and local privacy and consumer protection laws also govern specific technologies that we employ or how we market to, and otherwise communicate with, our members. For example, the Controlling the Assault of Non-Solicited Pornography and Marketing Act (CAN-SPAM) and the Telephone Consumer Protection Act (TCPA) impose specific requirements on communications with consumers. The TCPA, for instance,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(FCC) or fines of up to $1,500 per violation imposed through private litigation or by state authorities. We may also use parental consent and identity verification technologies (including those offered by or through service providers) that may capture biometric information or identifiers that may subject us to applicable biometric privacy requirements. For example, the Illinois Biometric Information Privacy Act (BIPA), regulates the collection, use, safeguarding, and storage of Illinois residents’ biometric information or identifiers. The TCPA and BIPA provide for substantial penalties and statutory damages and have generated significant class action activity. The costs of litigating and/or settling a TCPA, BIPA or similar legal claim could be significant.</w:t>
      </w:r>
    </w:p>
    <w:p>
      <w:pPr>
        <w:spacing w:after="0" w:line="19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Additionally, regulators are increasingly scrutinizing companies that process children’s data. We are subject to COPPA, which applies to operators of certain websites and online services directed to children under the age of 13 or with actual knowledge that they collect or maintain personal information from children under the age of 13. COPPA may be enforced by state Attorneys General or the FTC, which is empowered to impose civil penalties of up to $51,744 per violation as well as injunctive and equitable relief for violations. COPPA requirements may be modified, interpreted, or applied in new manners that we may be unable to anticipate or prepare for appropriately. Additional laws and regulations that apply to children’s data under certain circumstances have been adopted or proposed in recent years, including the EU GDPR and the UK GDPR, European Union Digital Services Act (“the DSA”), the UK Age-Appropriate Design Code, the CCPA and other comprehensive state privacy laws, and California’s Age-Appropriate Design Code Act. These laws generally impose various obligations on companies that process children’s data, such as requiring certain consents to process such data, and extending certain rights to children and their parents with respect that data. Some of these obligations have wide ranging applications, including for services that do not intentionally target child users (defined in some circumstances a user under the age of 18 years old). These laws are or may be subject to legal challenges and changing interpretations, which may further complicate our efforts to comply with these laws.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the United States, several states enacted laws regulating social media companies and platforms. These laws, such as the Utah Social Media Regulation Act and the Arkansas Social Media Safety Act, seek to limit social media companies from, among other things, displaying and targeting advertising to accounts held by minors (defined as those under 18) and provide certain rights to parents with respect to data of their children and access to social media platforms. These laws may be subject to legal challenges and the attendant heightened scrutiny associated with processing certain children’s data on social media platforms may lead to increased compliance costs and obligations on us, to the extent we could be considered subject to these laws.</w:t>
      </w:r>
    </w:p>
    <w:p>
      <w:pPr>
        <w:spacing w:after="0" w:line="18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personal data privacy and security. Without limitation, the following personal data laws may apply to our operations such as EU GDPR, the UK GDPR, the Swiss Federal Act on Data Protection (or “FADP”), Brazil’s General Data Protection Law (Lei Geral de Proteção de Dados Pessoais, or “LGPD”) (Law No. 13,709/2018), Australia’s Privacy Act, Canada’s Personal Information Protection and Electronic Documents Act (“PIPEDA”) (and other Canadian provincial laws), India’s Information Technology Act and supplementary rules, and China’s Personal Information Protection Law (“PIPL”) all impose strict requirements for processing personal data. For example, local data protection authorities in both the EEA and UK may take an enforcement action against us with respect to a violation of their applicable requirements. Under the EU GDPR, companies may face temporary or definitive bans on data processing and other corrective actions; fines of up to 20 million Euros under the EU GDPR and 17.5 million pounds sterling under the UK GDPR, or 4% of annual global revenue, whichever is greater, and private litigation related to processing of personal data brought by classes of data subjects or consumer protection organizations authorized at law to represent their interests.</w:t>
      </w:r>
    </w:p>
    <w:p>
      <w:pPr>
        <w:spacing w:after="0" w:line="194"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the UK, and other jurisdictions to the United States or other countries due to data localization requirements or limitations on cross-border data flows. Europe, the UK,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EU-US Data Privacy Framework and the EEA and UK’s standard contractual clauses, these mechanisms are subject to legal challenges (which may result in their invalidation). There is no assurance that we can satisfy or rely on these measures in all circumstances to transfer personal data to the United States, as they alone may not necessarily be sufficient as transfers must be assessed on a case-by-case basis and the requirements may change if they are challenged.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EU GDPR’s cross-border data transfer limitations. Regulators in the US are also increasingly scrutinizing certain personal data transfers and may impose personal data localization requirements.</w:t>
      </w:r>
    </w:p>
    <w:p>
      <w:pPr>
        <w:spacing w:after="0" w:line="19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personnel currently use generative artificial intelligence (“AI”) technologies to perform their work for example in the context of development productivity tools and limited internal communication. The disclosure and use of personal data in generative AI technologies may be subject to various privacy laws and other obligations. Governments have passed and are likely to pass additional laws regulating generative AI. Our use of this technology could result in additional compliance costs, regulatory investigations and actions, and consumer lawsuits. 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not representative of our practices, we may be subject to investigation, enforcement actions by regulators, or other adverse consequences.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For example, in 2021 one of our Channel Partners, Apple, began to require mobile applications using its operating system, iOS, to affirmatively (on an opt-in basis) obtain an end user’s permission to “track them across apps or websites owned by other companies” or access their device’s advertising identifier for advertising and advertising measurement purposes. Other technology platforms are considering similar restrictions. Such restrictions could limit the efficacy or our marketing activities. In addition, consumer resistance to the collection and sharing of the data used to deliver targeted advertising, increased visibility of consent or “do not track” mechanisms (such as browser signals from the Global Privacy Control)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or market our products and reach new members, which could materially impair the results of our operations.</w:t>
      </w:r>
    </w:p>
    <w:p>
      <w:pPr>
        <w:spacing w:after="0" w:line="19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are also subject to evolving European Union and UK privacy laws on cookies, tracking technologies and e-marketing. In the European Union and the UK, regulators are increasingly focusing on compliance with requirements related to the behavioral, interest-based, or tailored advertising ecosystem. Enforcement actions could lead to substantial costs, require significant systems and/or operational changes, limit the effectiveness of our marketing activities, divert the attention of our technology personnel, adversely affect our margins, and subject us to additional liabilities. In light of the complex and evolving nature of European Union, EU Member State and UK privacy laws on cookies and tracking technologies, there can be no assurances that we will be successful in our efforts to comply with such laws; violations of such laws could result in regulatory investigations, fines, orders to cease or change our use of such technologies, as well as civil claims including class actions, and reputational damage. Outside of Europe, other laws further regulate behavioral, interest-based, or tailored advertising, making certain online advertising activities more difficult and subject to additional scrutiny. For example, the CCPA grants California residents the right to opt-out of a company’s sharing of personal data for advertising purposes in exchange for money or other valuable consideration.</w:t>
      </w:r>
    </w:p>
    <w:p>
      <w:pPr>
        <w:spacing w:after="0" w:line="19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Further, because we accept debit and credit cards for payment of certain products and services, we are subject to the Payment Card Industry Data Security, or the PCI Standard, issued by the Payment Card Industry Security Standards Council, with respect to payment card information. The PCI DSS requires merchants to adopt certain measures to protect the security of cardholder information, such as using and maintaining firewalls, adopting proper password protections for certain devices and software, and restricting data access. Compliance with the PCI Standard and implementing related procedures, technology and information security measures requires ongoing attention and devotion of resources. Costs and potential problems and interruptions associated with the implementation and maintenance of systems and technology, such as those necessary to achieve compliance with the PCI Standard could also disrupt or reduce the efficiency of our operations. Noncompliance with PCI DSS, to the extent applicable to us, can result in penalties ranging from $5,000 to $100,000 per month by credit card companies, litigation, damage to our reputation, and revenue losses. Generally, we rely on vendors to process payment card data and those vendors may be subject to PCI DSS. Our business may be negatively affected if our vendors are fined or suffer other consequences as a result of PCI DSS noncompliance.</w:t>
      </w:r>
    </w:p>
    <w:p>
      <w:pPr>
        <w:spacing w:after="0" w:line="19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Our business model materially depends on our ability to process personal data, so we are particularly exposed to the risks associated with the rapidly changing legal landscape. For example, we may be at heightened risk of regulatory scrutiny, and changes in regulatory frameworks could require us to fundamentally change our business model. Preparing for and complying with these obligations requires us to devote significant resources and may necessitate changes to our services, information technologies, systems, and practices and to those of any third parties that process personal data on our behalf. In addition, a shift in consumers' data privacy expectations or other social, economic or political developments could impact the regulatory enforcement of these obligations, which could increase the cost of and complicate our compliance with applicable obligations.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Relevant stakeholders (such as government authorities and adjudicatory bodies) may determine that we have been in the past or are presently noncompliant with our data privacy and security obligations as we may at times fail (or be perceived to have failed) in our efforts to comply with such obligations. This risk will likely increase as we grow our market presence in the U.S. and outside the U.S. Moreover, despite our efforts, our personnel or third parties on whom we rely, may fail to comply with such obligations, which could negatively impact our business operations. If we or the third parties on which we rely have failed,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or services; expenditure of time and resources to defend any claim or inquiry; adverse publicity; or substantial changes to our business model or operations.</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in the past received inquiries and been subject to investigations, proceedings, orders, and other various inquiries and claims brought by regulators and private claimants regarding our data privacy (including in relation to children’s data) and security practices and processing of personal data. We may in the future be subject to similar inquiries, claims and other proceedings.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Providers of online websites, applications and services are subject to various laws, regulations and other requirements relating to children’s privacy and protection, which if violated, could subject us to an increased risk of litigation and regulatory actions.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Children’s privacy has been a regular focus of regulatory enforcement activity and subjects our business to potential liability that could adversely affect our business, financial condition, or operating results. The FTC and state attorneys general in the U.S. have in recent years increased enforcement of COPPA. In addition, the GDPR prohibits certain processing of the personal information of children under the age of thirteen to sixteen (depending on jurisdiction) without parental consent. The CCPA requires companies to obtain the consent of children in California under the age of sixteen (or parental consent for children under the age of thirteen) before selling their personal information. In addition, several jurisdictions have issued enforceable codes for designing online services that will be used by children. For example, the UK’s Age Appropriate Design Code requires online services to consider the privacy and data protection impacts of children’s use of such services and to build in protections and controls to address such risks. Our services include the collection of data, including personal data and precise geolocation data, directly from devices associated with children, which fall within the scope of these child privacy laws, regulations and requirements. Although we take reasonable efforts to comply with these laws and regulations, we may in the future face claims under COPPA, the GDPR, the CCPA, or other laws relating to children’s privacy.</w:t>
      </w:r>
    </w:p>
    <w:p>
      <w:pPr>
        <w:spacing w:after="0" w:line="8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Although we take certain efforts designed to comply with these laws and regulations, we may in the future face claims under COPPA, the GDPR, the CCPA or other laws relating to children’s privacy. There are also a number of legislative or regulatory proposals pending before the U.S. Congress, the FTC, various state legislative bodies and foreign governments concerning child or teen safety, content regulation and data protection that could affect us if enacted in the future.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6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proprietary, confidential, and sensitive data (such as precise geolocation data and information relating to children),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18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and the third parties upon which we rely may be subject to and have previously responded to a variety of evolving threats, including but not limited to social-engineering attacks (including through phishing attacks and deep fakes, which may be increasingly more difficult to identify as fake), malicious code (such as viruses and worms), malware (including as a result of advanced persistent threat intrusions), bot-generated activity,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Threat actors may continue to develop and use more sophisticated tools and techniques (including AI) that are specifically designed to circumvent security controls, evade detection, and obfuscate forensic evidence, which may make it more difficult for us to identify, investigate, respond to and recover from incidents.</w:t>
      </w:r>
    </w:p>
    <w:p>
      <w:pPr>
        <w:spacing w:after="0" w:line="19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r>
        <w:rPr>
          <w:rFonts w:ascii="Times New Roman" w:cs="Times New Roman" w:eastAsia="Times New Roman" w:hAnsi="Times New Roman"/>
          <w:sz w:val="18"/>
          <w:szCs w:val="18"/>
          <w:color w:val="231F20"/>
        </w:rPr>
        <w:t>Additionally, to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services to our customers and operate our business, we use a number of products and services, such as IT networks and systems, including those we own and operate as well as others provided by third-party providers. Our ability to provide our platform and services could be interrupted if these systems were impacted by a ransomware or other cyber-attack.</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personnel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8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addition, our reliance on third-party service providers could introduce new cybersecurity risks and vulnerabilities, including supply-chain attacks, and other threats to our business operations. We may rely on third-party service providers and technologies to operate critical business systems to process sensitive data in a variety of contexts, including, without limitation, cloud-based infrastructure, data center facilities, encryption and authentication technology, employee email, content delivery to customers, and other functions. We may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With respect to data or information system vulnerabilities, we may be unable now or in the future to detect all vulnerabilities or other compromises in our data or information systems because such threats and techniques change frequently, are often sophisticated in nature, and may not be detected until after a security incident has occurred. While we presently have identified certain vulnerabilities in our information systems, we take steps designed to mitigate the risks associated with such known vulnerabilities. These steps include implementing compensating controls and other protective measures designed to address certain vulnerabilities. There can be no assurance that these controls and measures will always be effective and thus there remains risks associated with both known and unknown vulnerabilities. Further, we may experience delays in developing and deploying remedial measures designed to address any such identified vulnerabilities.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sensitive data that our members, advertisers, and partners have shared with us) or our information technology systems, or those of the third parties upon whom we rely, or impact the calculation or measurement of our user metrics or other estimates, as disclosed above. A security incident or other interruption could disrupt our ability (and that of third parties upon whom we rely) to provide our services.</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17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For example, we and our third-party providers have been and may in the future be compromised by the aforementioned or similar threats, and result in unauthorized, unlawful, or accidental processing of our information, or vulnerabilities in the products or systems upon which we rely. For example, in 2023, we experienced two credential stuffing attacks that resulted in unauthorized access to a limited number of members’ personal data. In response to each attack, we launched an investigation to determine what occurred, what information was potentially affected and how we could implement further actions designed to prevent similar incidents in the future (such as allowing members to enable multi-factor authentication). Our investigation revealed that the credential stuffing attacks likely leveraged member credentials from other data breaches (not associated with us). We determined that neither of these incidents were material to the Company. We have encountered and may in the future encounter attempts to create false or other illegitimate user accounts or to take other unauthorized actions on or through our platform and services.</w:t>
      </w:r>
    </w:p>
    <w:p>
      <w:pPr>
        <w:spacing w:after="0" w:line="18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such as governmental authorities, partners, and affected individuals, of security incidents. Such disclosures may involve inconsistent requirements and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data (including personal data); litigation (including class claims and mass arbitration demands); indemnification obligations; negative publicity; reputational harm; monetary fund diversions; interruptions in our operations (including availability of data); direct and indirect financial loss (including due to potential loss of members, partners, or advertising revenue); and other similar harms. Security incidents and attendant consequences may cause customers to stop using our services, deter new customers from using our services, disrupt our ability to provide our products and services, and negatively impact our ability to grow and operate our business.</w:t>
      </w:r>
    </w:p>
    <w:p>
      <w:pPr>
        <w:spacing w:after="0" w:line="1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Intellectual Property</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success depends, in part, on the integrity of third-party systems and infrastructures and on continued and unimpeded access to our products and services on the internet.</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rely on third parties to maintain and support our information technology infrastructure, obtain mapping services and collect, process and analyze certain data. If an agreement with a key supplier is terminated or disrupted, Life360’s operations and financial performance could be adversely impacted. In particular, we rely on contracts with AWS for the provision of our computing, network, database, software development platforms and software infrastructure. We procure mapping services from our Channel Partners. Additionally, Jiobit uses GCP for some of its functionality. We have designed our software and computer systems to utilize data processing, storage capabilities, and other services provided by AWS and GCP, and currently rely on such providers for the vast majority of our primary data storage and computing. If the AWS contract, GCP contract, or contracts with other key suppliers in the future are terminated or suffer a disruption for any reason, our business, financial condition and results of operations could be materially adversely impacted.</w:t>
      </w:r>
    </w:p>
    <w:p>
      <w:pPr>
        <w:spacing w:after="0" w:line="1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entered into an agreement (the “Arity Agreement”) to license from Arity 875, LLC (“Arity”) its application program interfaces, including the Arity Driving Engine API, which we integrate into our products and services. Pursuant to the Arity Agreement, we are required to exclusively obtain such services from Arity during the term of the Arity Agreement.</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also entered into an emergency roadside assistance servicing agreement under which Signature Motor Club, Inc. provides Roadside Assistance on our behalf. If Signature Motor Club were to terminate the agreement, we would be required to engage another third party to provide roadside assistance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also partnered with AvantGuard Monitoring Centers LLC (“AvantGuard”) to provide access to AvantGuard’s emergency alert response services to our Life360 Gold and Life360 Platinum subscribers. In the event Life360 detects a crash, Life360 will trigger an alert to AvantGuard, who will call the subscriber and/or dispatch emergency services to the subscriber’s location. If AvantGuard were to terminate the agreement, we would be required to engage another third party to provide emergency alert response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Similarly, under our warranty program agreement with Cover Genius Warranty Services, LLC (“Cover Genius”), Cover Genius administers warranties and service contracts on behalf of Tile. If the Cover Genius contract were terminated or not renewed, Tile would be required to enter into a new warranty program agreement and such agreement may not be available on reasonable terms, or at all, and could be disruptive and costly, and may have an adverse impact on Tile’s business, financial condition and results of operations.</w:t>
      </w:r>
    </w:p>
    <w:p>
      <w:pPr>
        <w:spacing w:after="0" w:line="18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also rely on data center service providers (such as colocation providers), as well as third-party payment processors, computer systems, internet transit providers and other communications systems and service providers, in connection with the provision of our products generally, as well as to facilitate and process certain transactions with our subscribers. We do not control these third-party providers, and we cannot guarantee that such third-party providers will not experience system interruptions, outages or delays, or deterioration in the performance.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AWS or GCP. Data center leases and agreements with the providers of data center services expire at various times. The owners of these data centers and providers of these data center services may have no obligation to renew their agreements with us on commercially reasonable terms, or at all.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Problems or insolvency experienced by third-party service providers upon whom we rely, the telecommunications network providers with whom we or they contract or with the systems through which telecommunications providers allocate capacity among their customers could also materially adversely affect us. Any changes in service levels at our data centers, any third-party “cloud” computing services, or payment processors or any interruptions, outages or delays in our systems or those of our third-party providers, or deterioration in the performance of these systems, could impair our ability to provide our products or process transactions with our subscribers, which could materially adversely impact our business, financial condition, results of operations and prospects. Further, if the data centers and third-party service providers that we use are unable to keep up with our growing needs for capacity, or if we are unable to renew our agreements with data centers, and service providers on commercially reasonable terms, we may be required to transfer servers or content to new data centers or engage new service providers, and we may incur significant costs, and possible service interruption in connection with doing so. Additionally, if we need to migrate our business to different third-party data center service providers or payment aggregators as a result of any such problems or insolvency, it could delay our ability to process transactions with our subscribers. Any changes in third-party service levels at data centers or any real or perceived errors, defects, disruptions, or other performance problems with our platform could harm our reputation and may result in damage to, or loss or compromise of, our members’ content.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9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we depend on the ability of our members to access the internet with high-bandwidth data capabilities.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member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financial condition and results of operations.</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success depends, in part, on the integrity of our information technology systems and infrastructures and on our ability to enhance, expand and adapt these systems and infrastructures in a timely and cost-effective manner.</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may in the future experience system interruptions that make some or all of our systems or data temporarily unavailable and prevent our products from functioning properly for our members;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the financial insolvency of third parties that we work with, global pandemics and other public health crises, and other unanticipated problems or events. While we have backup systems in place for certain aspects of our operations, not all of our systems and infrastructures are fully redundant. Disaster recovery planning can never account for all possible eventualities and even if we anticipate an incident, our incident response, business continuity and disaster recovery plans may not be sufficient to timely and effectively address the issue, and our property and business interruption insurance coverage may not be adequate to compensate us fully for any losses that we may suffer. Any interruptions or outages, regardless of the cause, could negatively impact our members’ experiences with our products, tarnish our brand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continually work to expand and enhance the efficiency and scalability of our technology and network systems to improve the experience of our members, accommodate substantial increases in the volume of traffic to our various products, ensure acceptable load times for our products and keep up with changes in technology and member preferences. Any failure to do so in a timely and cost-effective manner could materially adversely affect our members’ experience with our various products and thereby negatively impact the demand for our products, and could increase our costs, either of which could materially adversely affect our business, financial condition and results of operations.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fail to adequately obtain, protect and maintain our intellectual property rights or prevent third parties from making unauthorized use of such rights.</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intellectual property is a material asset of our business and our success depends in part on our ability to protect our proprietary rights and intellectual property. For example, we rely on a combination of intellectual property rights, including patents,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w:t>
      </w:r>
    </w:p>
    <w:p>
      <w:pPr>
        <w:spacing w:after="0" w:line="18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have in the past sought to register and we expect to continue to apply to register and renew, or secure by contract where appropriate, material trademarks and service marks as they are introduced and used, and reserve, register and renew domain names and social media handles as we deem appropriate. We rely on our trademarks and trade names to identify our platform and to differentiate our platform and services from those of our competitors, and if our trademarks and trade names are not adequately protected, then third parties may use trade names or trademarks similar to ours in a manner that may cause confusion in the market and we may not be able to build and maintain sufficient brand recognition in our markets of interest, which could decrease the value of our brand and adversely affect our business, financial condition and results of operations. Effective trademark protection may not be available or may not be sought in every country in which our products and services are made available, or in every class of goods and services in which we operate, and contractual disputes may affect the use of marks governed by private contract. Our trademarks, trade names or other intellectual property rights may be challenged, infringed, circumvented or declared generic or determined to be infringing on other marks. Further, at times, competitors may have already registered or otherwise adopted trade names or trademarks similar to ours, thereby impeding our ability to build brand identity and possibly leading to market confusion. 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w:t>
      </w:r>
    </w:p>
    <w:p>
      <w:pPr>
        <w:spacing w:after="0" w:line="19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received patents and have filed patent applications with respect to certain aspects of our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spacing w:after="0" w:line="1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Various courts, including the United States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 Patent and Trademark Office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spacing w:after="0" w:line="19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also rely upon trade secret laws to protect intellectual property that may not be patentable, or for which we believe patent protection is too expensive or otherwise undesirable. While it is our policy to enter into confidentiality agreements with employees and third parties to protect our proprietary expertise and other trade secrets, we cannot guarantee that we have entered into such agreements with each party that has developed intellectual property on or behalf, or that has or may have had access to our proprietary information or trade secrets.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United States may be less willing or unwilling to protect trade secrets. In addition, technology that we protect as a trade secret may still be independently developed by others, and trade secret laws do not protect against the use and disclosure of such independently developed technologies. If any of our confidential or proprietary information, such as our trade secrets, was to be disclosed or misappropriated, or if any such information were independently developed by a competitor, our competitive position would be materially adversely harmed.</w:t>
      </w:r>
    </w:p>
    <w:p>
      <w:pPr>
        <w:spacing w:after="0" w:line="19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no assurance can be given that these agreements will be effective in controlling access to or potential misuse of our proprietary information and trade secrets,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Policing unauthorized use of our intellectual property and misappropriation of our technology and trade secrets is difficult and we may not always be aware of such unauthorized use or misappropriation. We may be forced to bring claims against third parties to determine the ownership of what we regard as our intellectual property or to enforce our intellectual property rights against infringement,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any intellectual property-related proceedings that we initiate against third parties. Further, in such proceedings or in proceedings before patent, trademark and copyright agencies, our asserted intellectual property could be narrowed or found to be invalid or unenforceable,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Additionally, enforcing our intellectual property rights in litigation can be costly, can divert our management’s attention and resources, and the success of any such litigation is not assured. Our inability to protect our intellectual property and proprietary technology against unauthorized copying and use could delay further sales or the implementation of our solutions, impair the functionality of our platform, prevent or delay introductions of new or enhanced solutions, or injure our reputation. Furthermore, many of our current and potential competitors may have the ability to dedicate substantially greater resources to developing and protecting their technology or intellectual property rights than we do. As a result, we may be aware of infringement by our competitors but may choose not to bring litigation to protect our intellectual property rights due to the cost, time, and distraction of bringing such litigation.</w:t>
      </w:r>
    </w:p>
    <w:p>
      <w:pPr>
        <w:spacing w:after="0" w:line="19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 Our intellectual property rights and the enforcement or defense of such rights may also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may not favor the enforcement of patents, trademarks, copyrights,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19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patent applications may not result in issued patents, and our issued patents may not provide adequate protection, which may have a material adverse effect on our ability to prevent others from commercially exploiting products similar to ours.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received patents and have filed patent applications with respect to certain aspects of our technology, and we generally rely on patent protection with respect to our proprietary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United States,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Various courts, including the United States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spacing w:after="0" w:line="18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spacing w:after="0" w:line="19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From time to time, we have been and may be party to intellectual property-related litigation and proceedings that are expensive and time-consuming to defend, and, if resolved adversely, could materially adversely impact our business, financial condition and results of operations.</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misappropriation or other violations of the intellectual property rights of third parties. From time to time, however, we have received and may in the future receive claims from third parties which allege that we have infringed upon their intellectual property rights, and we may not prevail in these disputes. For example, patent applications in the United States and some foreign countries are generally not publicly disclosed until the patent is issued or published and we may not be aware of currently filed patent applications that relate to our products or services. If patents later issue on these applications, we may be found liable for subsequent infringement. Companies in the internet and technology industries are subject to frequent litigation based on allegations of infringement, misappropriation or other violations of intellectual property rights. Many companies in these industries, including many of our competitors, have substantially larger intellectual property portfolios than we do, which could make us a target for litigation as we may not be able to assert counterclaims against parties that sue us for infringement, misappropriation or other violations of patent or other intellectual property rights. Furthermore, various “non-practicing entities” that own patents and other intellectual property rights often attempt to assert claims in order to extract value from technology companies and, given that these non-practicing entities typically have no relevant product revenue, our own issued or pending patents and other intellectual property rights may provide little or no deterrence to their bringing infringement claims against us.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 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financial condition and results of operations.</w:t>
      </w:r>
    </w:p>
    <w:p>
      <w:pPr>
        <w:spacing w:after="0" w:line="19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we gain greater public recognition,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 Companies in the technology industry, and other patent, copyright, and trademark 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w:t>
      </w:r>
    </w:p>
    <w:p>
      <w:pPr>
        <w:spacing w:after="0" w:line="189"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Some of our competitors have substantially greater resources than we do and are able to sustain the costs of complex intellectual property litigation to a greater degree and for longer periods of time than we could.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During the course of such litigation matters, there may be announcements of the results of hearings and motions, and other interim developments related to the litigation matters. If securities analysts or investors regard these announcements as material and negative, the market price of our common stock may decline. We may decide to settle such lawsuits and disputes on terms that are unfavorable to us. Similarly, if any litigation to which we are a party is resolved adversely, we may be subject to an unfavorable judgment. The terms of such a settlement or judgment may require us to cease some or all of our operations, pay substantial amounts to the other party including treble damages and attorneys’ fees, if we are found to have willfully infringed a party’s intellectual property rights.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In addition, we may have to seek a license to continue practices found to be in violation of a third party’s rights. However, such arrangements may not be available on reasonable or exclusive terms, or at all, and may significantly increase our operating costs and expenses. As a result, we may be forced to develop or procure alternative non-infringing technology, which could require significant effort, time and expense or discontinue use of the technology. There also 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and results of operations.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use of “open source” software could subject our proprietary software to general release, adversely affect our ability to sell our products and services and subject us to possible litigation.</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products incorporate open-source software in connection with a portion of our proprietary software and we expect to continue to use open-source software in the future. Under certain circumstances, some open-source licenses require users of the licensed code to provide the user’s own proprietary source code to third parties upon request, to license at no cost the user’s own proprietary source code or other materials for the purpose of making derivative works, require the relicensing of the open-source software and derivatives thereof under the terms of the applicable license, or prohibit users from charging a fee to third parties in connection with the use of the user’s proprietary code. While we try to insulate our proprietary code from the effects of such open-source license provisions and employ practices designed to monitor our compliance with the licenses of third-party open-source software, we cannot guarantee that we will be successful. Accordingly, we may face claims from others challenging our use of open-source software, claiming ownership of, or seeking to enforce the license terms applicable to such open-source software, including by demanding release of the open-source software, derivative works or our proprietary source code that was developed or distributed in connection with such software. Such claims could also require us to purchase a commercial license or require us to devote additional research and development resources to change our software, any of which would have a negative effect on our business, financial condition and results of operations. In addition, if the license terms for the open-source code change, we may be forced to re-engineer our software or incur additional costs. Additionally, the terms of many open-source licenses to which we are subject have not been interpreted by U.S. or foreign courts, resulting in a dearth of guidance regarding the proper legal interpretation of such licenses. There is a risk that open-source software licenses could be construed in a manner that imposes unanticipated conditions or restrictions on our ability to market or provide our products and services.</w:t>
      </w:r>
    </w:p>
    <w:p>
      <w:pPr>
        <w:spacing w:after="0" w:line="19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the use of open-source software may entail greater risks than the use of third-party commercial software, as open-source licensors generally do not provide warranties, support, indemnities for infringement or controls on the functionality or origin of the software. Further, the use of open-source software may also present additional security risks because the public availability of the source code of such software may make it easier for hackers and other third parties to exploit vulnerabilities in the software. To the extent that our platform depends upon the successful operation of the open-source software we use,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make our systems more vulnerable to data breaches.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Matters and Our Regulatory Environment</w:t>
      </w:r>
    </w:p>
    <w:p>
      <w:pPr>
        <w:spacing w:after="0" w:line="11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business is subject to complex and evolving U.S. and international laws and regulations. Many of these laws and regulations are subject to change and uncertain interpretation, and failure to comply with such laws and regulations could result in claims, changes to our business practices, monetary penalties, increased cost of operations, reputational damage, or declines in member growth or engagement, or otherwise harm our business, financial condition and results of operations.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and abroad that involve matters that are important to or may otherwise impact our business, including, among others, broadband internet access, online commerce, advertising, data privacy, data security, intermediary liability, protection of minors, consumer protection, accessibility,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These U.S. federal, state, and municipal and foreign laws and regulations, which in some cases can be enforced by private parties in addition to government entities, are constantly evolving and can be subject to significant change. In addition, the introduction of new brands and products, or changes to our existing brands and products, may result in new or enhanced governmental or regulatory scrutiny. As a result, the application, interpretation, and enforcement of these laws and regulations are often uncertain, particularly in the new and rapidly 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We have in the past and may in the future be subject to claims, inquiries or regulatory investigations, relating to such laws and regulations. It is possible that a regulatory inquiry might result in changes to our policies or practices. In addition, it is possible that future orders issued by, or enforcement actions initiated by, regulatory authorities could cause us to incur substantial costs or require us to change our business practices in a manner that could materially adversely affect our business, financial condition and results of operations.</w:t>
      </w:r>
    </w:p>
    <w:p>
      <w:pPr>
        <w:spacing w:after="0" w:line="19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ensure compliance, which could decrease demand for services, reduce revenues, increase costs and subject us to additional liabilities. For example, U.S. courts have increasingly interpreted Title III of the Americans with Disabilities Act (the “ADA”) to require websites and web-based applications to be made fully accessible to individuals with disabilities. As a result, we may become subject to claims that our apps are not compliant with the ADA, which may require us to make modifications to our products to provide enhanced or accessible services to, or make reasonable accommodations for, individuals, and failure to comply could result in litigation, including class action lawsuits.</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adoption of any laws or regulations that adversely affect the popularity or growth in use of the internet or our services, including laws or regulations that undermine open and neutrally administered internet access, could decrease member demand for our service offerings and increase our cost of doing business. For example, in December 2017, the FCC adopted an order reversing net neutrality protections in the United States, including the repeal of specific rules against blocking, throttling or “paid prioritization” of content or services by internet service providers. To the extent internet service providers engage in such blocking, throttling or “paid prioritization” of content or similar actions as a result of this order and the adoption of similar laws or regulations, our business, financial condition and results of operations could be materially adversely affected.</w:t>
      </w:r>
    </w:p>
    <w:p>
      <w:pPr>
        <w:spacing w:after="0" w:line="18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rely on a variety of statutory and common-law frameworks and defenses relevant to the content available on the Life360 Platform, including the Digital Millennium Copyright Act, the Communications Decency Act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We could incur significant costs investigating and defending such claims and, if we are found liable, significant damages.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The European Union is also focused on the regulation of digital services. The DSA came into force in 2022, with the majority of the substantive provisions taking effect in 2024. The DSA could create potential liability for us for illegal services and products or content on our platform and imposes obligations around traceability of business users and enhanced transparency measures (including in relation to any recommendation systems (including the main parameters used by such systems and any available options for recipients to modify or influence them)). In addition to the general DSA obligations, we may be subject to obligations if we are considered a hosting service, such as implementing a notice and takedown procedure for allegedly illegal content, and reporting to national law enforcement or judicial authorities of relevant EU Member States of information that gives rise to suspicions of criminal offenses involving a threat to the life or safety of persons. Further, the DSA contains general requirements that user interfaces may not deceive or manipulate users. The DSA may increase our compliance costs, require changes to our user interfaces, processes, operations, and business practices which may adversely affect our ability to attract, retain and provide our services to members, and may otherwise adversely affect our business, operations and financial condition. Failure to comply with the DSA can result in fines of up to 6% of total annual worldwide turnover and recipients of services have the right to seek compensation from providers in respect of damage or loss suffered due to infringement by the provider to comply with the DSA. Some European jurisdictions and the UK have also proposed or intend to pass legislation that imposes new obligations and liabilities on platforms with respect to certain types of harmful content. While the scope and timing of these proposals are currently uncertain, if the rules, doctrines or currently available defenses change, if international jurisdictions refuse to apply similar protections that are currently available in the United States, or the European Union or if a court were to disagree with our application of those rules to our service, we could be required to expend significant resources to try to comply with the new rules or incur liability, and our business, financial condition and results of operations could be harmed.</w:t>
      </w:r>
    </w:p>
    <w:p>
      <w:pPr>
        <w:spacing w:after="0" w:line="1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fail to comply with laws regulating subscriptions and auto-payment renewals, which could have a material adverse effect on our business, reputation, financial condition and results of operations.</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subject to certain federal and state laws that govern the ability of members to cancel subscriptions and auto-payment renewals. Our subscriptions automatically renew unless the subscriber cancels the subscription before the end of the current period. The Federal Restore Online Shoppers’ Confidence Act (“ROSCA”), and state law analogues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 If we fail to comply with ROSCA or its state law analogues, we could incur substantial legal fees and costs and reputational harm. In addition, compliance and remediation efforts can be costly.</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Adverse litigation judgments or settlements resulting from legal proceedings in which we may be involved could have a material adverse effect on our business, financial condition and results of operations.</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have been in the past, are, and may in the future become, subject to litigation and various legal proceedings (including, without limitation, government and private party inquiries and claims), including litigation and proceedings related to intellectual property matters, data privacy, data security, and consumer protection laws, as well as stockholder derivative suits, class action lawsuits, actions from former employees and other matters, that involve claims for substantial amounts of money or for other relief or that might necessitate changes to our business or operations.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The defense of these legal proceedings could be time-consuming and expensive and could distract our personnel from their normal responsibilities. The results of any such litigation, investigations and legal proceedings are inherently unpredictable and expensive.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If any of these legal proceedings were to be determined adversely to us, or we were to enter into a settlement arrangement, we could be forced to change the way in which we operate our business or be exposed to monetary damages that, to the extent not covered by our insurance, could have a material adverse effect on our business, financial condition and results of operations. See “Item 3. Legal Proceedings.”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use our net operating losses to offset future taxable income may be subject to certain limitations.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March 31, 2024, we have approximately $121.1 million and $65.5 million of federal and state net operating loss carryforwards, respectively, available to offset future taxable income which, if not utilized, will begin to expire in varying amounts in 2033. Our ability to utilize NOLs may be currently subject to limitations due to a prior ownership change. In addition, future changes in our stock ownership, some of which are outside of our control, could result in an ownership change under Section 382 of the Code, further limiting our ability to utilize NOLs arising prior to such ownership change in the future. There is also a risk that due to regulatory changes, such as suspensions on the use of NOLs, or other unforeseen reasons, our existing NOLs could expire or otherwise be unavailable to offset future income tax liabilities. We have recorded a full valuation allowance against the net deferred tax assets attributable to our NOLs.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taxation related risks in multiple jurisdictions.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180"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(“OECD”)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financial condition, results of operations and cash flows. Further, more than 140 countries agreed to enact the Pillar II global minimum tax. While the OECD issued a framework model, each country will enact its own laws to incorporate Pillar II. While Pillar II is a global model, the country by country enactment of different laws to incorporate the framework is complex and there is uncertainty as to how the enactment of these laws will impact us. These changes could increase our total tax burden in the future. Moreover, the U.S. government may enact significant changes to the taxation of business entities including, among others, the imposition of minimum taxes or surtaxes on certain types of income (such as the recent United States Inflation Reduction Act which, among other changes, introduced a 15% corporate minimum tax on certain United States corporations and a 1% excise tax on certain stock redemptions by the United States corporations). Furthermore, if the U.S. or other foreign tax authorities change applicable tax laws or practices, our overall taxes could increase, and our business, financial condition and results of operations may be adversely impacted.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Actions by governments to restrict access to Life360 in their countries, or that otherwise impair our ability to sell advertising in their countries, could substantially harm our business, financial condition and results of operations.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Governments may seek to censor content available on the Life360 Service, restrict access to the platform from their country entirely, or impose other restrictions that may affect the accessibility of the platform in their country for an extended period of time or indefinitely. In addition, government authorities in other countries may seek to restrict member access to the platform if they consider us to be in violation of their laws or a threat to public safety or for other reasons. It is possible that the government authorities could take action that impairs our ability to sell advertising, including in countries where access to our consumer-facing platform may be blocked or restricted. In the event that content shown on the Life360 Service or our other products is subject to censorship, access to our products is restricted, in whole or in part, in one or more countries, we are required to or elect to make changes to our operations, or other restrictions are imposed on our products, or our competitors are able to successfully penetrate new geographic markets or capture a greater share of existing geographic markets that we cannot access or where we face other restrictions, our ability to retain or increase our member base, member engagement, or the level of advertising by marketers may be adversely affected, we may not be able to maintain or grow our revenue as anticipated, and our financial results could be materially adversely affected.</w:t>
      </w:r>
    </w:p>
    <w:p>
      <w:pPr>
        <w:spacing w:after="0" w:line="190" w:lineRule="exact"/>
        <w:rPr>
          <w:sz w:val="20"/>
          <w:szCs w:val="20"/>
          <w:color w:val="auto"/>
        </w:rPr>
      </w:pPr>
    </w:p>
    <w:p>
      <w:pPr>
        <w:ind w:right="1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additional tariffs on Chinese-origin goods are imposed, related countermeasures are taken by the PRC, or we experience supply chain transformation setbacks, it could have an adverse impact on our business, financial condition and results of operations.</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Tile’s products are manufactured in the PRC, making the pricing and availability of our products susceptible to international trade risks. In 2018, the United States imposed additional duties under Section 301 of the U.S. Trade Act of 1974, ranging from 10% to 25%, on a variety of goods imported from the PRC. While these tariffs initially did not affect our products, in May 2019, the United States proposed to place tariffs on essentially all remaining Chinese-origin imports. Subsequently, the Trump Administration announced that 15% tariffs would be imposed on a subset of these goods, including wearable devices, which went into effect September 1, 2019. These tariffs were reduced to 7.5% on February 14, 2020.</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These elevated tariffs have resulted in higher costs for Tile. There is uncertainty as to when the tariffs will ease. However, if additional tariffs are imposed, related countermeasures are taken by the PRC, or we experience setbacks in our supply chain transformation efforts, our revenue, gross margins, financial condition and results of operations may be adversely affected.</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governmental export and import controls and economic sanction laws that could subject us to liability and impair our ability to compete in international markets.</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United States and various foreign governments have imposed controls, export license requirements, prohibitions and restrictions on the import, export, reexport and other transfers of certain goods, software, services and technologies. Compliance with applicable regulatory requirements regarding the export or other transfer of our products and services and other items may create delays in the introduction of our products and services in international markets, prevent our international members from accessing our products and services, and, in some cases, prevent the supply of our products and services to some countries altogether.</w:t>
      </w:r>
    </w:p>
    <w:p>
      <w:pPr>
        <w:spacing w:after="0" w:line="18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provision of products and services to countries, regions, governments, organizations and persons targeted by U.S. sanctions. Even though we take precautions to prevent our products from being provided to targets of U.S. sanctions, our products and services, including our firmware updates, could be provided to those targets. Any such unauthorized provision could have negative consequences, including government investigations, penalties, reputational harm. Our failure to obtain required import, export or other transfer approval for our products could harm our international and domestic sales and adversely affect our revenue.</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could be subject to future enforcement action with respect to compliance with governmental export and import controls and economic sanctions laws that result in penalties, costs, and restrictions on export and reexport eligibility that could have an adverse effect on our business,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CDIs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market price of our CDIs has been, and common stock may be, volatile, which could cause the value of our common stock to decline.</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trading price of our CDIs on the ASX has been volatile, and even if a trading market for our common stock develops, the market price of our common stock may be highly volatile and could be subject to wide fluctuations. In addition, the trading volume in our CDIs and common stock if a market develops may fluctuate and cause significant price variations to occur. Securities markets worldwide experience significant price and volume fluctuations as a result of a variety of factors, many of which are beyond our control but may nonetheless decrease the market price of our CDIs and common stock if a market develops, regardless of our actual operating performance, including:</w:t>
      </w:r>
    </w:p>
    <w:p>
      <w:pPr>
        <w:spacing w:after="0" w:line="7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reaction to our press releases, announcements and filings with the SEC and ASX;</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market prices and trading volumes of technology;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and political conditions, financial markets, and/or the technology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our stockholders;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common stock and/or changes in their recommendations and estimates of our financial performance;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prices and trading volumes of our CDIs on the ASX;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stock market has in the past experienced extreme price and volume fluctuations, and, following periods of such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17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Additionally, our securities may in the future trade on more than one stock exchange and this may result in price variations between the markets and volatility in our stock price. Our CDIs are currently listed on the ASX and we may list our common stock on a U.S. securities exchange in the future. Trading in our common stock and CDIs therefore may take place in different currencies (U.S. dollars on the U.S. securities exchange and Australian dollars on the ASX), and at different times (resulting from different time zones, different trading days and different public holidays in the United States and Australia). The trading prices of our CDIs and our common stock on two markets may differ as a result of these, or other, factors. Any decrease in the price of our CDIs or common stock on either market could cause a decrease in the trading prices of our CDIs or our common stock on the other market. In addition, investors may seek to profit by exploiting the difference, if any, between the price of our CDIs on the ASX and the price of shares of our common stock on a U.S. securities exchange. Such arbitrage activities could cause our stock price in the market with the higher value to decrease to the price set by the market with the lower value and could also lead to significant volatility in the price of our common stock or CDIs.</w:t>
      </w:r>
    </w:p>
    <w:p>
      <w:pPr>
        <w:spacing w:after="0" w:line="1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securities and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trading market for our CDIs on the ASX is influenced by the research and reports that industry or securities analysts publish about us or our business. If one or more of the analysts currently covering our securities ceases coverage, the trading price for our CDIs on the ASX would be negatively impacted. If any of the analysts who cover us issue an adverse or misleading opinion regarding us, our business model, our intellectual property or our CDI performance, or if our results of operations fail to meet the expectations of analysts, our CDIs and common stock price would likely decline. If one or more of these analysts cease coverage of us or fail to publish reports on us regularly, we could lose visibility in the financial markets, which in turn could cause our common stock price or trading volume to decline.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common stock may never be listed on a major U.S. stock exchange.</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common stock is not currently traded on any U.S. securities exchange. No market may ever develop for our common stock, or if developed, may not be sustained in the future. The holders of our shares of common stock and persons who desire to purchase them in any trading market that might develop in the future should be aware that there might be significant state law restrictions upon the ability of investors to resell our shares. Accordingly, even if we are successful in having the shares available for trading on the over-the-counter markets, investors should consider any secondary market for our common shares to be a limited one.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are not able to maintain sufficient cash funds, we may cease trading on the ASX.</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If we are not able to maintain sufficient funds to fund our activities or if ASX considers that our financial position is not adequate to warrant the continued quotation of our CDIs on ASX, ASX may suspend our CDIs from quotation. This would limit our liquidity and, in particular, could harm the ability of CDI holders to liquidate their position in our Company. In addition, the value of our Company could decline if we are not able to maintain our listing on ASX.</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different characteristics of the capital markets in Australia and the United States may negatively affect the trading prices of our CDIs and common stock, and may limit our ability to take certain actions typically performed by a U.S. company.</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subject to ASX listing and associated Australian regulatory requirements, and may in the future determine to concurrently list our shares on a U.S. securities exchange as well, which will have its own listing and regulatory requirements. Such exchanges will have different trading hours, trading characteristics (including trading volume and liquidity), trading and listing rules, and investor bases (including different levels of retail and institutional participation). As a result of these differences, the trading prices of our CDIs and our common stock may not be the same, even allowing for currency differences. Fluctuations in the price of our common stock due to circumstances unusual to the U.S. capital markets could materially and adversely affect the price of the CDIs, or vice versa. Certain events having significant negative impact specifically on the Australian capital markets may result in a decline in the trading price of our CDIs notwithstanding that such event may not impact the trading prices of securities listed in the United States generally or to the same extent, or vice versa.</w:t>
      </w:r>
    </w:p>
    <w:p>
      <w:pPr>
        <w:spacing w:after="0" w:line="19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addition, the listing and regulatory requirements of the ASX may limit our ability to take certain actions typically performed by a U.S. company. For example, the ASX Listing Rules limit the amount of equity securities that a listed company can issue without the approval of its stockholders over any 12 month period to 15% of the outstanding share capital on issue at the start of the period, unless an exception applies. Failure to obtain this approval may make it more difficult for us to issue equity securities in the future at a time and at a price that we deem appropriate. ASX rules also require stockholder approval for the granting of options and restricted stock units to our directors, even when the underlying equity incentive plan has already been approved. This creates a risk that, if stockholders do not approve the grants, our directors will not receive their expected amount of equity compensation. This may make it more difficult for us to attract and retain directors, which could have a material adverse effect on our business, results of operations, financial condition, and prospects.</w:t>
      </w:r>
    </w:p>
    <w:p>
      <w:pPr>
        <w:spacing w:after="0" w:line="19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Further, ASX Listing Rules prohibit us from buying back CDIs on-market at a price which is 5% or more above the volume weighted average market price of our CDIs, calculated over the last five days on which sales of CDIs were recorded before the day on which the purchase under the buy-back was made, which, as a result, may make it more difficult to repurchase our CDIs on-market. In addition, should we wish to undertake an on-market buy-back, the ASX may impose further requirements on us as if we were subject to the Corporations Act, which may include the need to obtain stockholder approval to do so.</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Lastly, the ASX Listing Rules prohibit the issuance of equity securities by a company without stockholder approval during the three-month period after it learns that a person is making, or proposes to make, a takeover for its securities, unless an exception applies. As a result, if a hostile takeover bid is made in respect of our CDIs or common stock, the ASX Listing Rules may limit our ability to issue equity securities, either as a counter-measure to the takeover bid or to fund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Provisions of our charter documents and Delaware law may inhibit a takeover, which could limit the price investors might be willing to pay in the future for our common stock.</w:t>
      </w:r>
    </w:p>
    <w:p>
      <w:pPr>
        <w:spacing w:after="0" w:line="51"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Some provisions of our charter documents could make it more difficult for a third party to acquire control of us, even if the change of control would be beneficial to our stockholders, including: (i) limitations on the ability of our stockholders to act by written consent or call a special meeting; (ii) establishing advance notice provisions for nominations for elections to the Board; and (iii) establishing that our Board is divided into three classes, with</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class serving three-year, staggered term</w:t>
      </w:r>
      <w:r>
        <w:rPr>
          <w:rFonts w:ascii="Arial" w:cs="Arial" w:eastAsia="Arial" w:hAnsi="Arial"/>
          <w:sz w:val="21"/>
          <w:szCs w:val="21"/>
          <w:color w:val="auto"/>
        </w:rPr>
        <w:t>s</w:t>
      </w:r>
      <w:r>
        <w:rPr>
          <w:rFonts w:ascii="Times New Roman" w:cs="Times New Roman" w:eastAsia="Times New Roman" w:hAnsi="Times New Roman"/>
          <w:sz w:val="18"/>
          <w:szCs w:val="18"/>
          <w:color w:val="auto"/>
        </w:rPr>
        <w:t>. In addition, on April 1, 2024, our board of directors adopted resolutions approving, subject to stockholder approval at our Annual Meeting of Stockholders to be held on May 29, 2024, amendments to our charter documents to: (i) increase the authorized number of shares of our common stock; (ii) authorize shares of “blank check” preferred stock; (iii) permit the chairperson of the board of directors, the board of directors, or our chief executive officer to call a special meeting of our stockholders, with the effect of removing the ability of certain stockholders to call a special meeting; (iv) eliminate or limit the liability of our officers to the extent permitted under Delaware law; and (v) provide that the sole and exclusive forum for the resolution of any complainant asserting a cause of action arising under the Securities Act shall be the U.S. federal district courts (such amendments, collectively, the “Charter Amendment Proposals”). These provisions could discourage an acquisition of us or other change in control transactions, thereby negatively affecting the price that investors might be willing to pay in the future for our common stock.</w:t>
      </w:r>
    </w:p>
    <w:p>
      <w:pPr>
        <w:spacing w:after="0" w:line="21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have identified a material weakness in our internal control over financial reporting in the past. If we identify additional material weaknesses in our future or otherwise fail to maintain effective internal control over financial reporting, we may not be able to accurately or timely report our financial condition or results of operations, which may adversely affect our business and the price of our common stock and CDIs.</w:t>
      </w:r>
    </w:p>
    <w:p>
      <w:pPr>
        <w:spacing w:after="0" w:line="6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are required, pursuant to Section 404 Sarbanes-Oxley Act of 2002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because we ceased to be an “emerging growth company” as defined in the Jumpstart our Business Startups Act of 2012 as of December 31, 2023,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Our compliance with Section 404 requires that we incur substantial accounting expense and expend significant management efforts. We may need to hire additional accounting and financial staff with appropriate public company experience and technical accounting knowledge and update the systems and process documentation necessary to perform the evaluation needed to comply with Section 404. Any failure to maintain effective disclosure controls and internal control over financial reporting could harm our business, results of operations, and financial condition and could cause a decline in the trading price of our common stock and CDIs.</w:t>
      </w:r>
    </w:p>
    <w:p>
      <w:pPr>
        <w:spacing w:after="0" w:line="21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connection with the preparation and audit of our financial statements as of and for the fiscal year ended December 31, 2022, our management identified a material weakness in our internal control over financial reporting related to management’s risk assessment process over information technology general controls (ITGCs), including certain controls over logical access, segregation of duties and change management, and certain process level controls including information used in the execution of those controls that impacted our financial reporting processes. During 2023, we identified and implemented remedial measures to address the control deficiencies that led to the material weakness and determined our internal controls over financial reporting were effective as of December 31, 2023. However, there can be no assurance that remedial measures will continue to operate or that they will prevent other control deficiencies or material weaknesses, and we may identify additional material weaknesses in our internal control over financial reporting in the future. If we identify additional material weaknesses in our internal control over financial reporting in the future, there could be errors in our annual or interim consolidated financial statements that could result in a restatement of our financial statements or could cause us to fail to meet our reporting obligations. As a further result, our access to capital markets and perceptions of our creditworthiness could be adversely affected, any of which could diminish investor confidence in us and cause a decline in the price of our common stock and CDIs.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Certificate of Incorporation provides, subject to certain exceptions, that the Court of Chancery of the State of Delaware is the exclusive forum for certain stockholder litigation matters, which could limit our stockholders’ ability to bring a claim in a judicial forum that they find more favorable for disputes with us or our directors, officers, employees or stockholders.</w:t>
      </w:r>
    </w:p>
    <w:p>
      <w:pPr>
        <w:spacing w:after="0" w:line="6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Pursuant to our Certificate of Incorporation unless we consent in writing to the selection of an alternative forum, the Court of Chancery of the State of Delaware will be the exclusive forum for (1) any derivative action or proceeding brought on our behalf, (2) any action or proceeding asserting a claim of breach of a fiduciary duty by any of our stockholders, directors, officers, employees or agents to us or our stockholders, (3) any action or proceeding asserting a claim against us arising pursuant to any provision of the Delaware General Corporation Law or our Certificate of Incorporation or Bylaws or (4) any action or proceeding asserting a claim governed by the internal affairs doctrine. In addition, subject to stockholder approval at our Annual Meeting of Stockholders to be held on May 29, 2024, our Certificate of Incorporation will provide that, unless we consent in writing to the selection of an alternative forum, the sole and exclusive forum for the resolution of any complainant asserting a cause of action arising under the Securities Act shall be the U.S. federal district courts. The forum selection clause in our Certificate of Incorporation may have the effect of discouraging lawsuits against us or our directors and officers and may limit our stockholders’ ability to bring a claim in a judicial forum that they find more favorable for disputes with us or any of our directors, officers, other employees, or stockholders. The exclusive forum provision does not apply to any actions brought to enforce a duty or liability created by the Securities Act, as amended, the Exchange Act or any other claim for which the U.S. federal courts have exclusive jurisdiction.</w:t>
      </w:r>
    </w:p>
    <w:p>
      <w:pPr>
        <w:spacing w:after="0" w:line="1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incur increased costs and are subject to additional regulations and requirements as a result of becoming a U.S. reporting company, and our management is required to devote substantial time to complying with Delaware laws, Australian laws, and reporting requirements pursuant to U.S. securities laws, which could lower profits and make it more difficult to run our business.</w:t>
      </w:r>
    </w:p>
    <w:p>
      <w:pPr>
        <w:spacing w:after="0" w:line="6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a U.S. reporting company, we incur significant legal, accounting, reporting, and other expenses that we have not previously incurred, including costs associated with the SEC reporting company requirements. We also have incurred, and will continue to incur, costs associated with compliance with the rules and regulations of the SEC, the Sarbanes-Oxley Act, and the Dodd-Frank Wall Street Reform and Consumer Protection Act, and various other costs of a reporting company. Registration under the Exchange Act requires the filing of ongoing annual, quarterly, and current reports on Forms 10-K, 10-Q and 8-K, respectively.</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These SEC reports are in addition to the periodic filings required by the ASX Listing Rules. In 2022, the ASX granted us a waiver of certain ASX Listing Rules to permit us to file our annual, quarterly, and current reports on Forms 10-K, 10-Q and 8-K, respectively, in place of ASX annual, half-year and quarterly filings. In the absence of the waiver, we would be required to make annual, half-year and quarterly filings with the ASX in addition to the SEC periodic reports.</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a Delaware corporation, we must also ensure continued compliance with the Delaware law and, as we will be listed on the ASX and registered as a foreign company in Australia, we will also need to ensure continuous compliance with relevant Australian laws and regulations, including the ASX Listing Rules and Australia’s Corporations Act 2001 (Cth) of Australia. To the extent of any inconsistency between Delaware law and Australian law and regulations, we may need to make changes to our business operations, structure or policies to resolve such inconsistency. If we are required to make such changes, this is likely to result in additional demands on management and extra costs.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and board committees and serve as executive officers. Furthermore, if we are unable to satisfy our obligations as a reporting company, we could be subject to fines, sanctions, and other regulatory action and potentially civil litigation and we could be subject to delisting of our CDIs on the ASX or other exchange on which our securities may be traded.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required to delay recognition of some of our revenue, which may harm our financial results in any given period.</w:t>
      </w:r>
    </w:p>
    <w:p>
      <w:pPr>
        <w:spacing w:after="0" w:line="121" w:lineRule="exact"/>
        <w:rPr>
          <w:sz w:val="20"/>
          <w:szCs w:val="20"/>
          <w:color w:val="auto"/>
        </w:rPr>
      </w:pPr>
    </w:p>
    <w:p>
      <w:pPr>
        <w:jc w:val="both"/>
        <w:ind w:right="20" w:firstLine="405"/>
        <w:spacing w:after="0" w:line="281" w:lineRule="auto"/>
        <w:rPr>
          <w:sz w:val="20"/>
          <w:szCs w:val="20"/>
          <w:color w:val="auto"/>
        </w:rPr>
      </w:pPr>
      <w:r>
        <w:rPr>
          <w:rFonts w:ascii="Times New Roman" w:cs="Times New Roman" w:eastAsia="Times New Roman" w:hAnsi="Times New Roman"/>
          <w:sz w:val="18"/>
          <w:szCs w:val="18"/>
          <w:color w:val="auto"/>
        </w:rPr>
        <w:t>We may be required to delay recognition of revenue for a significant period of time after entering into a future agreement due to a variety of factors, including but not limited to, whether:</w:t>
      </w:r>
    </w:p>
    <w:p>
      <w:pPr>
        <w:spacing w:after="0" w:line="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involves acceptance criteria or other terms that may delay revenue recognition;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involves performance milestones or payment terms that depend upon contingencies; or</w:t>
      </w:r>
    </w:p>
    <w:p>
      <w:pPr>
        <w:spacing w:after="0" w:line="6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requires significant modifications, configurations or complex interfaces that could delay delivery or acceptance of our products or services</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Because of these factors and other specific revenue recognition requirements under GAAP, we must have very precise terms in our contracts to recognize revenue when we initially provide access to our platform or other products. Although we strive to enter into agreements that meet the criteria under GAAP for current revenue recognition on delivered performance obligations, our agreements are often subject to negotiation and revision based on the demands of our customers. The final terms of our agreements sometimes result in deferred revenue recognition, which may adversely affect our financial results in any given period. In addition, more customers may require extended payment terms, shorter term contracts or alternative licensing arrangements that could reduce the amount of revenue we recognize upon delivery of our other products and could adversely affect our short-term financial results.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Severe weather, natural disasters, global pandemics, acts of war or terrorism, theft, civil unrest, government expropriation or other external events could have significant effects on our business.</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Severe weather and natural disasters, including hurricanes, tornados, earthquakes, fires, droughts and floods, acts of war or terrorism (such as the recent escalation in regional conflicts between Russia and Ukraine and Israel and Hamas), epidemics and global pandemics (such as COVID-19), theft, civil unrest, government expropriation, condemnation or other external events in the markets where our apps are available for download or where our customers live could have a significant effect on our ability to conduct business. Such events could affect the stability of our deposit base, cause significant property damage, impair employee productivity, result in loss of revenue and/or cause us to incur additional expenses. For example, the conflict in Ukraine delayed certain projects due to temporarily reduced engineering capacity while we redeployed local teams. The occurrence of any such event could have a material adverse effect on our business, which, in turn, could have a material adverse effect on our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27"/>
        </w:trPr>
        <w:tc>
          <w:tcPr>
            <w:tcW w:w="8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No.</w:t>
            </w:r>
          </w:p>
        </w:tc>
        <w:tc>
          <w:tcPr>
            <w:tcW w:w="8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00" w:type="dxa"/>
            <w:vAlign w:val="bottom"/>
            <w:gridSpan w:val="19"/>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vMerge w:val="restart"/>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19"/>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2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gridSpan w:val="2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Amended and Restated Certificate of Incorporation of the</w:t>
              </w:r>
            </w:hyperlink>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Company</w:t>
              </w:r>
            </w:hyperlink>
          </w:p>
        </w:tc>
        <w:tc>
          <w:tcPr>
            <w:tcW w:w="3440" w:type="dxa"/>
            <w:vAlign w:val="bottom"/>
            <w:tcBorders>
              <w:top w:val="single" w:sz="8" w:color="0000FF"/>
            </w:tcBorders>
            <w:gridSpan w:val="10"/>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Amended and Restated Bylaws of the Company</w:t>
              </w:r>
            </w:hyperlink>
          </w:p>
        </w:tc>
        <w:tc>
          <w:tcPr>
            <w:tcW w:w="1260" w:type="dxa"/>
            <w:vAlign w:val="bottom"/>
            <w:gridSpan w:val="14"/>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Form of 2023 Severance and Change in Control Plan.</w:t>
            </w:r>
          </w:p>
        </w:tc>
        <w:tc>
          <w:tcPr>
            <w:tcW w:w="4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0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Employment Agreement, dated May 11, 2020, by and between</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Life360, Inc. and Russell Burke.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Employment Agreement, dated May 2, 2023 by and between</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Life360, Inc. and Lauren Antonoff.</w:t>
            </w:r>
          </w:p>
        </w:tc>
        <w:tc>
          <w:tcPr>
            <w:tcW w:w="184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Employment Agreement, dated July 31, 2023, by and between</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Life360, Inc. and Susan Stick.</w:t>
            </w:r>
          </w:p>
        </w:tc>
        <w:tc>
          <w:tcPr>
            <w:tcW w:w="23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Employment Agreement, dated May 14, 2019, by and between</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Life360, Inc. and David Rice.</w:t>
            </w: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Expatriate Employment Agreement, dated March 10, 2023, by</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and between Life360, Inc. and David Rice.</w:t>
            </w:r>
          </w:p>
        </w:tc>
        <w:tc>
          <w:tcPr>
            <w:tcW w:w="1400" w:type="dxa"/>
            <w:vAlign w:val="bottom"/>
            <w:tcBorders>
              <w:top w:val="single" w:sz="8" w:color="0000FF"/>
            </w:tcBorders>
            <w:gridSpan w:val="10"/>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Chief Executive Officer Certification Pursuant to Rule 13a-</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14(a) of the Exchange Act.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Chief Financial Officer Certification Pursuant to Rule 13a-14(a)</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of the Exchange Act.</w:t>
            </w:r>
          </w:p>
        </w:tc>
        <w:tc>
          <w:tcPr>
            <w:tcW w:w="3100" w:type="dxa"/>
            <w:vAlign w:val="bottom"/>
            <w:tcBorders>
              <w:top w:val="single" w:sz="8" w:color="0000FF"/>
            </w:tcBorders>
            <w:gridSpan w:val="19"/>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w:t>
            </w:r>
          </w:p>
        </w:tc>
        <w:tc>
          <w:tcPr>
            <w:tcW w:w="380" w:type="dxa"/>
            <w:vAlign w:val="bottom"/>
            <w:gridSpan w:val="8"/>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tcBorders>
              <w:bottom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w w:val="99"/>
              </w:rPr>
              <w:t>pursuant to Section 906 of the Sarbanes-Oxley Act of 2002.</w:t>
            </w:r>
          </w:p>
        </w:tc>
        <w:tc>
          <w:tcPr>
            <w:tcW w:w="20" w:type="dxa"/>
            <w:vAlign w:val="bottom"/>
          </w:tcPr>
          <w:p>
            <w:pPr>
              <w:spacing w:after="0"/>
              <w:rPr>
                <w:sz w:val="15"/>
                <w:szCs w:val="15"/>
                <w:color w:val="auto"/>
              </w:rPr>
            </w:pPr>
          </w:p>
        </w:tc>
        <w:tc>
          <w:tcPr>
            <w:tcW w:w="380" w:type="dxa"/>
            <w:vAlign w:val="bottom"/>
            <w:gridSpan w:val="8"/>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380" w:type="dxa"/>
            <w:vAlign w:val="bottom"/>
            <w:gridSpan w:val="8"/>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43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20" w:type="dxa"/>
            <w:vAlign w:val="bottom"/>
            <w:gridSpan w:val="10"/>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47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47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47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47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47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2"/>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7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Cover Page Interactive Data (formatted as Inline XBRL and</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ind w:left="960"/>
        <w:spacing w:after="0"/>
        <w:rPr>
          <w:sz w:val="20"/>
          <w:szCs w:val="20"/>
          <w:color w:val="auto"/>
        </w:rPr>
      </w:pPr>
      <w:r>
        <w:rPr>
          <w:rFonts w:ascii="Times New Roman" w:cs="Times New Roman" w:eastAsia="Times New Roman" w:hAnsi="Times New Roman"/>
          <w:sz w:val="18"/>
          <w:szCs w:val="18"/>
          <w:color w:val="auto"/>
        </w:rPr>
        <w:t>contained in Exhibit 101)</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w:t>
      </w:r>
    </w:p>
    <w:p>
      <w:pPr>
        <w:spacing w:after="0" w:line="200" w:lineRule="exact"/>
        <w:rPr>
          <w:sz w:val="20"/>
          <w:szCs w:val="20"/>
          <w:color w:val="auto"/>
        </w:rPr>
      </w:pPr>
    </w:p>
    <w:p>
      <w:pPr>
        <w:spacing w:after="0" w:line="3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30346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r>
      <w:tr>
        <w:trPr>
          <w:trHeight w:val="23"/>
        </w:trPr>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10-12G/A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000-56424</w:t>
            </w:r>
          </w:p>
        </w:tc>
        <w:tc>
          <w:tcPr>
            <w:tcW w:w="80" w:type="dxa"/>
            <w:vAlign w:val="bottom"/>
          </w:tcPr>
          <w:p>
            <w:pPr>
              <w:spacing w:after="0"/>
              <w:rPr>
                <w:sz w:val="22"/>
                <w:szCs w:val="22"/>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5, 2022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418"/>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000-56424</w:t>
            </w:r>
          </w:p>
        </w:tc>
        <w:tc>
          <w:tcPr>
            <w:tcW w:w="80" w:type="dxa"/>
            <w:vAlign w:val="bottom"/>
          </w:tcPr>
          <w:p>
            <w:pPr>
              <w:spacing w:after="0"/>
              <w:rPr>
                <w:sz w:val="24"/>
                <w:szCs w:val="24"/>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March 23,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ectPr>
          <w:pgSz w:w="11900" w:h="16838" w:orient="portrait"/>
          <w:cols w:equalWidth="0" w:num="2">
            <w:col w:w="6360" w:space="80"/>
            <w:col w:w="4780"/>
          </w:cols>
          <w:pgMar w:left="320" w:top="225"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652"/>
        <w:spacing w:after="0" w:line="261" w:lineRule="auto"/>
        <w:tabs>
          <w:tab w:leader="none" w:pos="28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being filed for purposes of Section 18 of the Exchange Act or otherwise subject to the liability of that section, nor shall it be deemed incorporated by reference into any filing of the registrant under the Securities Act or the Exchange Act,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70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LIFE360, INC.</w:t>
            </w:r>
          </w:p>
        </w:tc>
      </w:tr>
      <w:tr>
        <w:trPr>
          <w:trHeight w:val="48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May 9, 2024</w:t>
            </w:r>
          </w:p>
        </w:tc>
        <w:tc>
          <w:tcPr>
            <w:tcW w:w="22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Hulls</w:t>
            </w:r>
          </w:p>
        </w:tc>
      </w:tr>
      <w:tr>
        <w:trPr>
          <w:trHeight w:val="228"/>
        </w:trPr>
        <w:tc>
          <w:tcPr>
            <w:tcW w:w="7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 Hulls</w:t>
            </w:r>
          </w:p>
        </w:tc>
      </w:tr>
      <w:tr>
        <w:trPr>
          <w:trHeight w:val="312"/>
        </w:trPr>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May 9, 2024</w:t>
            </w:r>
          </w:p>
        </w:tc>
        <w:tc>
          <w:tcPr>
            <w:tcW w:w="22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Russell Burke</w:t>
            </w:r>
          </w:p>
        </w:tc>
      </w:tr>
      <w:tr>
        <w:trPr>
          <w:trHeight w:val="228"/>
        </w:trPr>
        <w:tc>
          <w:tcPr>
            <w:tcW w:w="7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Burke</w:t>
            </w:r>
          </w:p>
        </w:tc>
      </w:tr>
    </w:tbl>
    <w:p>
      <w:pPr>
        <w:spacing w:after="0" w:line="8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225"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Life360,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Severance and Change in Control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Date: [ ]</w:t>
      </w:r>
    </w:p>
    <w:p>
      <w:pPr>
        <w:spacing w:after="0" w:line="26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Introduction.</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The Life360, Inc. Severance and Change in Control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is hereby established by the Board of Directors of Life360,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effective upon the Effective Date listed above. The purpose of the Plan is to provide for the payment of severance and/or Change in Control (as defined below) benefits to eligible employees of the Company. This Plan document also is the Summary Plan Description for the Plan.</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purposes of the Plan, the following terms are defined as follows:</w:t>
      </w:r>
    </w:p>
    <w:p>
      <w:pPr>
        <w:spacing w:after="0" w:line="214" w:lineRule="exact"/>
        <w:rPr>
          <w:sz w:val="20"/>
          <w:szCs w:val="20"/>
          <w:color w:val="auto"/>
        </w:rPr>
      </w:pPr>
    </w:p>
    <w:p>
      <w:pPr>
        <w:jc w:val="both"/>
        <w:ind w:firstLine="1304"/>
        <w:spacing w:after="0" w:line="284" w:lineRule="auto"/>
        <w:tabs>
          <w:tab w:leader="none" w:pos="1932" w:val="left"/>
        </w:tabs>
        <w:numPr>
          <w:ilvl w:val="0"/>
          <w:numId w:val="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Affiliate</w:t>
      </w:r>
      <w:r>
        <w:rPr>
          <w:rFonts w:ascii="Times New Roman" w:cs="Times New Roman" w:eastAsia="Times New Roman" w:hAnsi="Times New Roman"/>
          <w:sz w:val="21"/>
          <w:szCs w:val="21"/>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41" w:lineRule="exact"/>
        <w:rPr>
          <w:rFonts w:ascii="Times New Roman" w:cs="Times New Roman" w:eastAsia="Times New Roman" w:hAnsi="Times New Roman"/>
          <w:sz w:val="19"/>
          <w:szCs w:val="19"/>
          <w:b w:val="1"/>
          <w:bCs w:val="1"/>
          <w:color w:val="auto"/>
        </w:rPr>
      </w:pPr>
    </w:p>
    <w:p>
      <w:pPr>
        <w:jc w:val="both"/>
        <w:ind w:right="20" w:firstLine="1304"/>
        <w:spacing w:after="0" w:line="266" w:lineRule="auto"/>
        <w:tabs>
          <w:tab w:leader="none" w:pos="201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 means base pay (excluding incentive pay, premium pay, commissions, overtime, bonuses and other forms of variable compensation) as in effect prior to any reduction that would give rise to an employee’s right to a resignation for Good Reason (if applicable).</w:t>
      </w:r>
    </w:p>
    <w:p>
      <w:pPr>
        <w:spacing w:after="0" w:line="157" w:lineRule="exact"/>
        <w:rPr>
          <w:rFonts w:ascii="Times New Roman" w:cs="Times New Roman" w:eastAsia="Times New Roman" w:hAnsi="Times New Roman"/>
          <w:sz w:val="20"/>
          <w:szCs w:val="20"/>
          <w:b w:val="1"/>
          <w:bCs w:val="1"/>
          <w:color w:val="auto"/>
        </w:rPr>
      </w:pPr>
    </w:p>
    <w:p>
      <w:pPr>
        <w:jc w:val="both"/>
        <w:ind w:firstLine="1304"/>
        <w:spacing w:after="0" w:line="254" w:lineRule="auto"/>
        <w:tabs>
          <w:tab w:leader="none" w:pos="2002"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with respect to a particular employee, the meaning ascribed to such term in any written employment agreement, offer letter or similar agreement between such employee and the Company defining such term, and, in the absence of such agreement, means with respect to such employee, the term “Cause” as defined in the Equity Plan. The determination whether a termination is for Cause shall be made by the Plan Administrator in its sole and exclusive judgment and discretion.</w:t>
      </w:r>
    </w:p>
    <w:p>
      <w:pPr>
        <w:spacing w:after="0" w:line="173" w:lineRule="exact"/>
        <w:rPr>
          <w:rFonts w:ascii="Times New Roman" w:cs="Times New Roman" w:eastAsia="Times New Roman" w:hAnsi="Times New Roman"/>
          <w:sz w:val="20"/>
          <w:szCs w:val="20"/>
          <w:b w:val="1"/>
          <w:bCs w:val="1"/>
          <w:color w:val="auto"/>
        </w:rPr>
      </w:pPr>
    </w:p>
    <w:p>
      <w:pPr>
        <w:ind w:left="1960" w:hanging="656"/>
        <w:spacing w:after="0"/>
        <w:tabs>
          <w:tab w:leader="none" w:pos="196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Change of Control</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has the meaning ascribed to Change of Control in the</w:t>
      </w:r>
    </w:p>
    <w:p>
      <w:pPr>
        <w:spacing w:after="0" w:line="3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Equity Plan.</w:t>
      </w:r>
    </w:p>
    <w:p>
      <w:pPr>
        <w:spacing w:after="0" w:line="201" w:lineRule="exact"/>
        <w:rPr>
          <w:rFonts w:ascii="Times New Roman" w:cs="Times New Roman" w:eastAsia="Times New Roman" w:hAnsi="Times New Roman"/>
          <w:sz w:val="20"/>
          <w:szCs w:val="20"/>
          <w:b w:val="1"/>
          <w:bCs w:val="1"/>
          <w:color w:val="auto"/>
        </w:rPr>
      </w:pPr>
    </w:p>
    <w:p>
      <w:pPr>
        <w:ind w:firstLine="1304"/>
        <w:spacing w:after="0" w:line="289" w:lineRule="auto"/>
        <w:tabs>
          <w:tab w:leader="none" w:pos="1934"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 Period</w:t>
      </w:r>
      <w:r>
        <w:rPr>
          <w:rFonts w:ascii="Times New Roman" w:cs="Times New Roman" w:eastAsia="Times New Roman" w:hAnsi="Times New Roman"/>
          <w:sz w:val="22"/>
          <w:szCs w:val="22"/>
          <w:color w:val="auto"/>
        </w:rPr>
        <w:t>” means the period commencing three months prior to the Closing of a Change in Control and ending 12 months following the Closing of a Change in Control.</w:t>
      </w:r>
    </w:p>
    <w:p>
      <w:pPr>
        <w:spacing w:after="0" w:line="133" w:lineRule="exact"/>
        <w:rPr>
          <w:rFonts w:ascii="Times New Roman" w:cs="Times New Roman" w:eastAsia="Times New Roman" w:hAnsi="Times New Roman"/>
          <w:sz w:val="20"/>
          <w:szCs w:val="20"/>
          <w:b w:val="1"/>
          <w:bCs w:val="1"/>
          <w:color w:val="auto"/>
        </w:rPr>
      </w:pPr>
    </w:p>
    <w:p>
      <w:pPr>
        <w:jc w:val="both"/>
        <w:ind w:firstLine="1304"/>
        <w:spacing w:after="0" w:line="266" w:lineRule="auto"/>
        <w:tabs>
          <w:tab w:leader="none" w:pos="1939"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means the initial closing of the Change in Control as defined in the definitive agreement executed in connection with the Change in Control. In the case of a series of transactions constituting a Change in Control, “Closing” means the first closing that satisfies the threshold of the definition for a Change in Control.</w:t>
      </w:r>
    </w:p>
    <w:p>
      <w:pPr>
        <w:spacing w:after="0" w:line="157" w:lineRule="exact"/>
        <w:rPr>
          <w:rFonts w:ascii="Times New Roman" w:cs="Times New Roman" w:eastAsia="Times New Roman" w:hAnsi="Times New Roman"/>
          <w:sz w:val="20"/>
          <w:szCs w:val="20"/>
          <w:b w:val="1"/>
          <w:bCs w:val="1"/>
          <w:color w:val="auto"/>
        </w:rPr>
      </w:pPr>
    </w:p>
    <w:p>
      <w:pPr>
        <w:ind w:left="2000" w:hanging="696"/>
        <w:spacing w:after="0"/>
        <w:tabs>
          <w:tab w:leader="none" w:pos="200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 including any applicable regulations and</w:t>
      </w:r>
    </w:p>
    <w:p>
      <w:pPr>
        <w:spacing w:after="0" w:line="3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guidance thereunder.</w:t>
      </w:r>
    </w:p>
    <w:p>
      <w:pPr>
        <w:sectPr>
          <w:pgSz w:w="11900" w:h="16838" w:orient="portrait"/>
          <w:cols w:equalWidth="0" w:num="1">
            <w:col w:w="11240"/>
          </w:cols>
          <w:pgMar w:left="320" w:top="122" w:right="339" w:bottom="1440" w:gutter="0" w:footer="0" w:header="0"/>
        </w:sectPr>
      </w:pPr>
    </w:p>
    <w:bookmarkStart w:id="91" w:name="page92"/>
    <w:bookmarkEnd w:id="91"/>
    <w:p>
      <w:pPr>
        <w:ind w:left="1960" w:hanging="656"/>
        <w:spacing w:after="0"/>
        <w:tabs>
          <w:tab w:leader="none" w:pos="196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Board of Directors or the Compensation Committee of the Board of Directors of</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w:t>
      </w:r>
    </w:p>
    <w:p>
      <w:pPr>
        <w:spacing w:after="0" w:line="201" w:lineRule="exact"/>
        <w:rPr>
          <w:sz w:val="20"/>
          <w:szCs w:val="20"/>
          <w:color w:val="auto"/>
        </w:rPr>
      </w:pPr>
    </w:p>
    <w:p>
      <w:pPr>
        <w:ind w:left="1940" w:hanging="636"/>
        <w:spacing w:after="0"/>
        <w:tabs>
          <w:tab w:leader="none" w:pos="194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Life360, Inc. or, following a Change in Control, the surviving entity resulting from</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event.</w:t>
      </w:r>
    </w:p>
    <w:p>
      <w:pPr>
        <w:spacing w:after="0" w:line="203" w:lineRule="exact"/>
        <w:rPr>
          <w:sz w:val="20"/>
          <w:szCs w:val="20"/>
          <w:color w:val="auto"/>
        </w:rPr>
      </w:pPr>
    </w:p>
    <w:p>
      <w:pPr>
        <w:ind w:firstLine="1304"/>
        <w:spacing w:after="0" w:line="276" w:lineRule="auto"/>
        <w:tabs>
          <w:tab w:leader="none" w:pos="1939"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Confidentiality Agreement</w:t>
      </w:r>
      <w:r>
        <w:rPr>
          <w:rFonts w:ascii="Times New Roman" w:cs="Times New Roman" w:eastAsia="Times New Roman" w:hAnsi="Times New Roman"/>
          <w:sz w:val="22"/>
          <w:szCs w:val="22"/>
          <w:color w:val="auto"/>
        </w:rPr>
        <w:t>” means the Company’s standard form of Confidential Information and Inventions Assignment Agreement or any similar or successor document.</w:t>
      </w:r>
    </w:p>
    <w:p>
      <w:pPr>
        <w:spacing w:after="0" w:line="147" w:lineRule="exact"/>
        <w:rPr>
          <w:rFonts w:ascii="Times New Roman" w:cs="Times New Roman" w:eastAsia="Times New Roman" w:hAnsi="Times New Roman"/>
          <w:sz w:val="20"/>
          <w:szCs w:val="20"/>
          <w:b w:val="1"/>
          <w:bCs w:val="1"/>
          <w:color w:val="auto"/>
        </w:rPr>
      </w:pPr>
    </w:p>
    <w:p>
      <w:pPr>
        <w:ind w:left="1960" w:hanging="656"/>
        <w:spacing w:after="0"/>
        <w:tabs>
          <w:tab w:leader="none" w:pos="196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Termination</w:t>
      </w:r>
      <w:r>
        <w:rPr>
          <w:rFonts w:ascii="Times New Roman" w:cs="Times New Roman" w:eastAsia="Times New Roman" w:hAnsi="Times New Roman"/>
          <w:sz w:val="22"/>
          <w:szCs w:val="22"/>
          <w:color w:val="auto"/>
        </w:rPr>
        <w:t>” has the meaning as set forth in an individual Participation Agreement.</w:t>
      </w:r>
    </w:p>
    <w:p>
      <w:pPr>
        <w:spacing w:after="0" w:line="233" w:lineRule="exact"/>
        <w:rPr>
          <w:rFonts w:ascii="Times New Roman" w:cs="Times New Roman" w:eastAsia="Times New Roman" w:hAnsi="Times New Roman"/>
          <w:sz w:val="20"/>
          <w:szCs w:val="20"/>
          <w:b w:val="1"/>
          <w:bCs w:val="1"/>
          <w:color w:val="auto"/>
        </w:rPr>
      </w:pPr>
    </w:p>
    <w:p>
      <w:pPr>
        <w:jc w:val="both"/>
        <w:ind w:firstLine="1304"/>
        <w:spacing w:after="0" w:line="274" w:lineRule="auto"/>
        <w:tabs>
          <w:tab w:leader="none" w:pos="1996" w:val="left"/>
        </w:tabs>
        <w:numPr>
          <w:ilvl w:val="0"/>
          <w:numId w:val="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color w:val="auto"/>
        </w:rPr>
        <w:t>” means any physical or mental condition which renders an employee incapable of performing the work for which he or she was employed by the Company or similar work offered by the Company. The Disability of an employee shall be established if (i) the employee satisfies the requirements for benefits under the Company’s long-term disability plan or (ii) if no long-term disability plan, the employee satisfies the requirements for Social Security disability benefits.</w:t>
      </w:r>
    </w:p>
    <w:p>
      <w:pPr>
        <w:spacing w:after="0" w:line="152" w:lineRule="exact"/>
        <w:rPr>
          <w:rFonts w:ascii="Times New Roman" w:cs="Times New Roman" w:eastAsia="Times New Roman" w:hAnsi="Times New Roman"/>
          <w:sz w:val="19"/>
          <w:szCs w:val="19"/>
          <w:b w:val="1"/>
          <w:bCs w:val="1"/>
          <w:color w:val="auto"/>
        </w:rPr>
      </w:pPr>
    </w:p>
    <w:p>
      <w:pPr>
        <w:ind w:right="20" w:firstLine="1304"/>
        <w:spacing w:after="0" w:line="289" w:lineRule="auto"/>
        <w:tabs>
          <w:tab w:leader="none" w:pos="2011"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Eligible Employee</w:t>
      </w:r>
      <w:r>
        <w:rPr>
          <w:rFonts w:ascii="Times New Roman" w:cs="Times New Roman" w:eastAsia="Times New Roman" w:hAnsi="Times New Roman"/>
          <w:sz w:val="22"/>
          <w:szCs w:val="22"/>
          <w:color w:val="auto"/>
        </w:rPr>
        <w:t>” means an employee of the Company that meets the requirements to be eligible to receive Plan benefits as set forth in Section 2.</w:t>
      </w:r>
    </w:p>
    <w:p>
      <w:pPr>
        <w:spacing w:after="0" w:line="133" w:lineRule="exact"/>
        <w:rPr>
          <w:rFonts w:ascii="Times New Roman" w:cs="Times New Roman" w:eastAsia="Times New Roman" w:hAnsi="Times New Roman"/>
          <w:sz w:val="20"/>
          <w:szCs w:val="20"/>
          <w:b w:val="1"/>
          <w:bCs w:val="1"/>
          <w:color w:val="auto"/>
        </w:rPr>
      </w:pPr>
    </w:p>
    <w:p>
      <w:pPr>
        <w:ind w:right="20" w:firstLine="1304"/>
        <w:spacing w:after="0" w:line="276" w:lineRule="auto"/>
        <w:tabs>
          <w:tab w:leader="none" w:pos="1943"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Equity Plan</w:t>
      </w:r>
      <w:r>
        <w:rPr>
          <w:rFonts w:ascii="Times New Roman" w:cs="Times New Roman" w:eastAsia="Times New Roman" w:hAnsi="Times New Roman"/>
          <w:sz w:val="22"/>
          <w:szCs w:val="22"/>
          <w:color w:val="auto"/>
        </w:rPr>
        <w:t>” means the Life360, Inc. Amended and Restated 2011 Stock Plan, as amended from time to time, or any successor plan thereto.</w:t>
      </w:r>
    </w:p>
    <w:p>
      <w:pPr>
        <w:spacing w:after="0" w:line="160" w:lineRule="exact"/>
        <w:rPr>
          <w:rFonts w:ascii="Times New Roman" w:cs="Times New Roman" w:eastAsia="Times New Roman" w:hAnsi="Times New Roman"/>
          <w:sz w:val="20"/>
          <w:szCs w:val="20"/>
          <w:b w:val="1"/>
          <w:bCs w:val="1"/>
          <w:color w:val="auto"/>
        </w:rPr>
      </w:pPr>
    </w:p>
    <w:p>
      <w:pPr>
        <w:ind w:firstLine="1304"/>
        <w:spacing w:after="0" w:line="276" w:lineRule="auto"/>
        <w:tabs>
          <w:tab w:leader="none" w:pos="1932"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for an employee’s resignation means the occurrence of any of the following undertaken by the Company without the employee’s written consent:</w:t>
      </w:r>
    </w:p>
    <w:p>
      <w:pPr>
        <w:spacing w:after="0" w:line="153" w:lineRule="exact"/>
        <w:rPr>
          <w:rFonts w:ascii="Times New Roman" w:cs="Times New Roman" w:eastAsia="Times New Roman" w:hAnsi="Times New Roman"/>
          <w:sz w:val="20"/>
          <w:szCs w:val="20"/>
          <w:b w:val="1"/>
          <w:bCs w:val="1"/>
          <w:color w:val="auto"/>
        </w:rPr>
      </w:pPr>
    </w:p>
    <w:p>
      <w:pPr>
        <w:ind w:left="80" w:firstLine="1953"/>
        <w:spacing w:after="0" w:line="284" w:lineRule="auto"/>
        <w:tabs>
          <w:tab w:leader="none" w:pos="2579" w:val="left"/>
        </w:tabs>
        <w:numPr>
          <w:ilvl w:val="1"/>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 material reduction in a such employee’s base salary (unless pursuant to a salary reduction program applicable generally to similarly situated employees of the Company);</w:t>
      </w:r>
    </w:p>
    <w:p>
      <w:pPr>
        <w:spacing w:after="0" w:line="143" w:lineRule="exact"/>
        <w:rPr>
          <w:rFonts w:ascii="Times New Roman" w:cs="Times New Roman" w:eastAsia="Times New Roman" w:hAnsi="Times New Roman"/>
          <w:sz w:val="20"/>
          <w:szCs w:val="20"/>
          <w:b w:val="1"/>
          <w:bCs w:val="1"/>
          <w:color w:val="auto"/>
        </w:rPr>
      </w:pPr>
    </w:p>
    <w:p>
      <w:pPr>
        <w:ind w:left="80" w:firstLine="1953"/>
        <w:spacing w:after="0" w:line="284" w:lineRule="auto"/>
        <w:tabs>
          <w:tab w:leader="none" w:pos="2579" w:val="left"/>
        </w:tabs>
        <w:numPr>
          <w:ilvl w:val="1"/>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relocation of such employee’s principal place of employment to an office from remote work (excluding occasional travel to an office or other location for meeting or other work activities);</w:t>
      </w:r>
    </w:p>
    <w:p>
      <w:pPr>
        <w:spacing w:after="0" w:line="143" w:lineRule="exact"/>
        <w:rPr>
          <w:rFonts w:ascii="Times New Roman" w:cs="Times New Roman" w:eastAsia="Times New Roman" w:hAnsi="Times New Roman"/>
          <w:sz w:val="20"/>
          <w:szCs w:val="20"/>
          <w:b w:val="1"/>
          <w:bCs w:val="1"/>
          <w:color w:val="auto"/>
        </w:rPr>
      </w:pPr>
    </w:p>
    <w:p>
      <w:pPr>
        <w:jc w:val="both"/>
        <w:ind w:left="80" w:right="20" w:firstLine="1953"/>
        <w:spacing w:after="0" w:line="263" w:lineRule="auto"/>
        <w:tabs>
          <w:tab w:leader="none" w:pos="2579" w:val="left"/>
        </w:tabs>
        <w:numPr>
          <w:ilvl w:val="1"/>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 material breach by the Company of any provision of this Plan or any other material agreement between such employee and the Company concerning the terms and conditions of such employee’s employment with the Company; or</w:t>
      </w:r>
    </w:p>
    <w:p>
      <w:pPr>
        <w:spacing w:after="0" w:line="167" w:lineRule="exact"/>
        <w:rPr>
          <w:rFonts w:ascii="Times New Roman" w:cs="Times New Roman" w:eastAsia="Times New Roman" w:hAnsi="Times New Roman"/>
          <w:sz w:val="20"/>
          <w:szCs w:val="20"/>
          <w:b w:val="1"/>
          <w:bCs w:val="1"/>
          <w:color w:val="auto"/>
        </w:rPr>
      </w:pPr>
    </w:p>
    <w:p>
      <w:pPr>
        <w:ind w:left="80" w:firstLine="1953"/>
        <w:spacing w:after="0" w:line="284" w:lineRule="auto"/>
        <w:tabs>
          <w:tab w:leader="none" w:pos="2579" w:val="left"/>
        </w:tabs>
        <w:numPr>
          <w:ilvl w:val="1"/>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assignment to the employee of any duties or responsibilities which result in the material diminution of the employee’s then-current authority, duties or responsibilities.</w:t>
      </w:r>
    </w:p>
    <w:p>
      <w:pPr>
        <w:spacing w:after="0" w:line="143" w:lineRule="exact"/>
        <w:rPr>
          <w:rFonts w:ascii="Times New Roman" w:cs="Times New Roman" w:eastAsia="Times New Roman" w:hAnsi="Times New Roman"/>
          <w:sz w:val="20"/>
          <w:szCs w:val="20"/>
          <w:b w:val="1"/>
          <w:bCs w:val="1"/>
          <w:color w:val="auto"/>
        </w:rPr>
      </w:pPr>
    </w:p>
    <w:p>
      <w:pPr>
        <w:ind w:left="80" w:firstLine="1953"/>
        <w:spacing w:after="0" w:line="271" w:lineRule="auto"/>
        <w:tabs>
          <w:tab w:leader="none" w:pos="2579" w:val="left"/>
        </w:tabs>
        <w:numPr>
          <w:ilvl w:val="1"/>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Notwithstanding the foregoing, in order for the employee’s resignation to be deemed to have been for Good Reason, the employee must (a) provide written</w:t>
      </w:r>
    </w:p>
    <w:p>
      <w:pPr>
        <w:sectPr>
          <w:pgSz w:w="11900" w:h="16838" w:orient="portrait"/>
          <w:cols w:equalWidth="0" w:num="1">
            <w:col w:w="11240"/>
          </w:cols>
          <w:pgMar w:left="320" w:top="1416" w:right="339" w:bottom="1440" w:gutter="0" w:footer="0" w:header="0"/>
        </w:sectPr>
      </w:pPr>
    </w:p>
    <w:bookmarkStart w:id="92" w:name="page93"/>
    <w:bookmarkEnd w:id="92"/>
    <w:p>
      <w:pPr>
        <w:jc w:val="both"/>
        <w:ind w:left="80"/>
        <w:spacing w:after="0" w:line="253" w:lineRule="auto"/>
        <w:rPr>
          <w:sz w:val="20"/>
          <w:szCs w:val="20"/>
          <w:color w:val="auto"/>
        </w:rPr>
      </w:pPr>
      <w:r>
        <w:rPr>
          <w:rFonts w:ascii="Times New Roman" w:cs="Times New Roman" w:eastAsia="Times New Roman" w:hAnsi="Times New Roman"/>
          <w:sz w:val="22"/>
          <w:szCs w:val="22"/>
          <w:color w:val="auto"/>
        </w:rPr>
        <w:t>notice to the Company of such employee’s intent to resign for Good Reason within 30 days after the first occurrence of the event giving rise to Good Reason, which notice shall describe the event(s) the employee believes give rise to Good Reason; (b) allow the Company at least 30 days from receipt of the written notice to cure the event (such period, the “Cure Period”), and (c) if the event is not reasonably cured within the Cure Period, the employee’s resignation from all positions held with the Company is effective not later than 30 days after the expiration of the Cure Period.</w:t>
      </w:r>
    </w:p>
    <w:p>
      <w:pPr>
        <w:spacing w:after="0" w:line="173" w:lineRule="exact"/>
        <w:rPr>
          <w:sz w:val="20"/>
          <w:szCs w:val="20"/>
          <w:color w:val="auto"/>
        </w:rPr>
      </w:pPr>
    </w:p>
    <w:p>
      <w:pPr>
        <w:jc w:val="both"/>
        <w:ind w:firstLine="1304"/>
        <w:spacing w:after="0" w:line="266" w:lineRule="auto"/>
        <w:tabs>
          <w:tab w:leader="none" w:pos="1943"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Participation Agreement</w:t>
      </w:r>
      <w:r>
        <w:rPr>
          <w:rFonts w:ascii="Times New Roman" w:cs="Times New Roman" w:eastAsia="Times New Roman" w:hAnsi="Times New Roman"/>
          <w:sz w:val="22"/>
          <w:szCs w:val="22"/>
          <w:color w:val="auto"/>
        </w:rPr>
        <w:t xml:space="preserve">” means an agreement between an employee and the Company in substantially the form of </w:t>
      </w:r>
      <w:r>
        <w:rPr>
          <w:rFonts w:ascii="Times New Roman" w:cs="Times New Roman" w:eastAsia="Times New Roman" w:hAnsi="Times New Roman"/>
          <w:sz w:val="22"/>
          <w:szCs w:val="22"/>
          <w:b w:val="1"/>
          <w:bCs w:val="1"/>
          <w:color w:val="auto"/>
        </w:rPr>
        <w:t>Appendix A</w:t>
      </w:r>
      <w:r>
        <w:rPr>
          <w:rFonts w:ascii="Times New Roman" w:cs="Times New Roman" w:eastAsia="Times New Roman" w:hAnsi="Times New Roman"/>
          <w:sz w:val="22"/>
          <w:szCs w:val="22"/>
          <w:color w:val="auto"/>
        </w:rPr>
        <w:t xml:space="preserve"> attached hereto, and which may include such other terms as the Committee deems necessary or advisable in the administration of the Plan.</w:t>
      </w:r>
    </w:p>
    <w:p>
      <w:pPr>
        <w:spacing w:after="0" w:line="157" w:lineRule="exact"/>
        <w:rPr>
          <w:rFonts w:ascii="Times New Roman" w:cs="Times New Roman" w:eastAsia="Times New Roman" w:hAnsi="Times New Roman"/>
          <w:sz w:val="20"/>
          <w:szCs w:val="20"/>
          <w:b w:val="1"/>
          <w:bCs w:val="1"/>
          <w:color w:val="auto"/>
        </w:rPr>
      </w:pPr>
    </w:p>
    <w:p>
      <w:pPr>
        <w:ind w:firstLine="1304"/>
        <w:spacing w:after="0" w:line="289" w:lineRule="auto"/>
        <w:tabs>
          <w:tab w:leader="none" w:pos="1943"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 Administrator</w:t>
      </w:r>
      <w:r>
        <w:rPr>
          <w:rFonts w:ascii="Times New Roman" w:cs="Times New Roman" w:eastAsia="Times New Roman" w:hAnsi="Times New Roman"/>
          <w:sz w:val="22"/>
          <w:szCs w:val="22"/>
          <w:color w:val="auto"/>
        </w:rPr>
        <w:t>” means the Committee prior to the Closing and the Representative upon and following the Closing, as applicable.</w:t>
      </w:r>
    </w:p>
    <w:p>
      <w:pPr>
        <w:spacing w:after="0" w:line="133" w:lineRule="exact"/>
        <w:rPr>
          <w:rFonts w:ascii="Times New Roman" w:cs="Times New Roman" w:eastAsia="Times New Roman" w:hAnsi="Times New Roman"/>
          <w:sz w:val="20"/>
          <w:szCs w:val="20"/>
          <w:b w:val="1"/>
          <w:bCs w:val="1"/>
          <w:color w:val="auto"/>
        </w:rPr>
      </w:pPr>
    </w:p>
    <w:p>
      <w:pPr>
        <w:jc w:val="both"/>
        <w:ind w:right="20" w:firstLine="1304"/>
        <w:spacing w:after="0" w:line="260" w:lineRule="auto"/>
        <w:tabs>
          <w:tab w:leader="none" w:pos="1934"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Representative</w:t>
      </w:r>
      <w:r>
        <w:rPr>
          <w:rFonts w:ascii="Times New Roman" w:cs="Times New Roman" w:eastAsia="Times New Roman" w:hAnsi="Times New Roman"/>
          <w:sz w:val="22"/>
          <w:szCs w:val="22"/>
          <w:color w:val="auto"/>
        </w:rPr>
        <w:t>” means one or more members of the Committee or other persons or entities designated by the Committee prior to or in connection with a Change in Control that will have authority to administer and interpret the Plan upon and following the Closing as provided in Section 8(a).</w:t>
      </w:r>
    </w:p>
    <w:p>
      <w:pPr>
        <w:spacing w:after="0" w:line="176" w:lineRule="exact"/>
        <w:rPr>
          <w:rFonts w:ascii="Times New Roman" w:cs="Times New Roman" w:eastAsia="Times New Roman" w:hAnsi="Times New Roman"/>
          <w:sz w:val="20"/>
          <w:szCs w:val="20"/>
          <w:b w:val="1"/>
          <w:bCs w:val="1"/>
          <w:color w:val="auto"/>
        </w:rPr>
      </w:pPr>
    </w:p>
    <w:p>
      <w:pPr>
        <w:ind w:firstLine="1304"/>
        <w:spacing w:after="0" w:line="276" w:lineRule="auto"/>
        <w:tabs>
          <w:tab w:leader="none" w:pos="1937"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means Section 409A of the Code and the treasury regulations and other guidance thereunder and any state law of similar effect.</w:t>
      </w:r>
    </w:p>
    <w:p>
      <w:pPr>
        <w:spacing w:after="0" w:line="147" w:lineRule="exact"/>
        <w:rPr>
          <w:rFonts w:ascii="Times New Roman" w:cs="Times New Roman" w:eastAsia="Times New Roman" w:hAnsi="Times New Roman"/>
          <w:sz w:val="20"/>
          <w:szCs w:val="20"/>
          <w:b w:val="1"/>
          <w:bCs w:val="1"/>
          <w:color w:val="auto"/>
        </w:rPr>
      </w:pPr>
    </w:p>
    <w:p>
      <w:pPr>
        <w:ind w:firstLine="1304"/>
        <w:spacing w:after="0" w:line="289" w:lineRule="auto"/>
        <w:tabs>
          <w:tab w:leader="none" w:pos="1939"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color w:val="auto"/>
        </w:rPr>
        <w:t>” means a “separation from service” within the meaning of Treasury Regulations Section 1.409A-1(h), without regard to any alternative definition thereunder.</w:t>
      </w:r>
    </w:p>
    <w:p>
      <w:pPr>
        <w:spacing w:after="0" w:line="13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Eligibility for Benefits.</w:t>
      </w:r>
    </w:p>
    <w:p>
      <w:pPr>
        <w:spacing w:after="0" w:line="245" w:lineRule="exact"/>
        <w:rPr>
          <w:sz w:val="20"/>
          <w:szCs w:val="20"/>
          <w:color w:val="auto"/>
        </w:rPr>
      </w:pPr>
    </w:p>
    <w:p>
      <w:pPr>
        <w:jc w:val="both"/>
        <w:ind w:firstLine="1304"/>
        <w:spacing w:after="0" w:line="252" w:lineRule="auto"/>
        <w:tabs>
          <w:tab w:leader="none" w:pos="1932"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Eligible Employee</w:t>
      </w:r>
      <w:r>
        <w:rPr>
          <w:rFonts w:ascii="Times New Roman" w:cs="Times New Roman" w:eastAsia="Times New Roman" w:hAnsi="Times New Roman"/>
          <w:sz w:val="22"/>
          <w:szCs w:val="22"/>
          <w:color w:val="auto"/>
        </w:rPr>
        <w:t>. An employee of the Company is eligible to participate in the Plan if (i)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has designated such employee as eligible to participate in the Plan by providing such employee a Participation Agreement; (ii) such employee has signed and returned such Participation Agreement to the Company within the time period required therein; and (iii) such employee meets the other Plan eligibility requirements set forth in this Section 2 and in the Participation Agreement. The determination of whether an employee is an Eligible Employee shall be made by the Plan Administrator, in its sole discretion, and such determination shall be binding and conclusive on all persons.</w:t>
      </w:r>
    </w:p>
    <w:p>
      <w:pPr>
        <w:spacing w:after="0" w:line="174" w:lineRule="exact"/>
        <w:rPr>
          <w:rFonts w:ascii="Times New Roman" w:cs="Times New Roman" w:eastAsia="Times New Roman" w:hAnsi="Times New Roman"/>
          <w:sz w:val="20"/>
          <w:szCs w:val="20"/>
          <w:b w:val="1"/>
          <w:bCs w:val="1"/>
          <w:color w:val="auto"/>
        </w:rPr>
      </w:pPr>
    </w:p>
    <w:p>
      <w:pPr>
        <w:jc w:val="both"/>
        <w:ind w:firstLine="1304"/>
        <w:spacing w:after="0" w:line="257" w:lineRule="auto"/>
        <w:tabs>
          <w:tab w:leader="none" w:pos="1943"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Release Requirement. </w:t>
      </w:r>
      <w:r>
        <w:rPr>
          <w:rFonts w:ascii="Times New Roman" w:cs="Times New Roman" w:eastAsia="Times New Roman" w:hAnsi="Times New Roman"/>
          <w:sz w:val="22"/>
          <w:szCs w:val="22"/>
          <w:color w:val="auto"/>
        </w:rPr>
        <w:t>Except as otherwise provided in an individual Participation Agreement, in order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eligible to receive benefits under the Plan, the employee also must execute a general waiver and release, in such a form as provided by the Company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within the applicable time period set forth therein, and such Release must become effective in accordance with its terms, which must occur in no event more than 60 days following the date of the applicable Covered Termination.</w:t>
      </w:r>
    </w:p>
    <w:p>
      <w:pPr>
        <w:sectPr>
          <w:pgSz w:w="11900" w:h="16838" w:orient="portrait"/>
          <w:cols w:equalWidth="0" w:num="1">
            <w:col w:w="11240"/>
          </w:cols>
          <w:pgMar w:left="320" w:top="1422" w:right="339" w:bottom="1440" w:gutter="0" w:footer="0" w:header="0"/>
        </w:sectPr>
      </w:pPr>
    </w:p>
    <w:bookmarkStart w:id="93" w:name="page94"/>
    <w:bookmarkEnd w:id="93"/>
    <w:p>
      <w:pPr>
        <w:jc w:val="both"/>
        <w:ind w:left="-1120" w:firstLine="1304"/>
        <w:spacing w:after="0" w:line="251" w:lineRule="auto"/>
        <w:tabs>
          <w:tab w:leader="none" w:pos="814"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Plan Benefits Provided In Lieu of Any Previous Benefits. </w:t>
      </w:r>
      <w:r>
        <w:rPr>
          <w:rFonts w:ascii="Times New Roman" w:cs="Times New Roman" w:eastAsia="Times New Roman" w:hAnsi="Times New Roman"/>
          <w:sz w:val="22"/>
          <w:szCs w:val="22"/>
          <w:color w:val="auto"/>
        </w:rPr>
        <w:t>Except as otherwise provided in an individual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Agreement, this Plan shall supersede any change in control or severance benefit plan, policy or practice previously maintained by the Company with respect to an Eligible Employee and any change in control or severance benefits in any individually negotiated employment contract or other agreement between the Company and an Eligible Employee. Notwithstanding the foregoing, the Eligible Employee’s outstanding equity awards shall remain subject to the terms of the Equity Plan or other applicable equity plan under which such awards were granted (including the award documentation governing such awards) that may apply upon a Change in Control and/or termination of such employee’s service and no provision of this Plan shall be construed as to limit the actions that may be taken, or to violate the terms, thereunder.</w:t>
      </w:r>
    </w:p>
    <w:p>
      <w:pPr>
        <w:spacing w:after="0" w:line="178" w:lineRule="exact"/>
        <w:rPr>
          <w:rFonts w:ascii="Times New Roman" w:cs="Times New Roman" w:eastAsia="Times New Roman" w:hAnsi="Times New Roman"/>
          <w:sz w:val="20"/>
          <w:szCs w:val="20"/>
          <w:b w:val="1"/>
          <w:bCs w:val="1"/>
          <w:color w:val="auto"/>
        </w:rPr>
      </w:pPr>
    </w:p>
    <w:p>
      <w:pPr>
        <w:jc w:val="both"/>
        <w:ind w:left="-1120" w:firstLine="1304"/>
        <w:spacing w:after="0" w:line="313" w:lineRule="auto"/>
        <w:tabs>
          <w:tab w:leader="none" w:pos="823" w:val="left"/>
        </w:tabs>
        <w:numPr>
          <w:ilvl w:val="0"/>
          <w:numId w:val="2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 xml:space="preserve">Exceptions to Severance Benefit Entitlement. </w:t>
      </w:r>
      <w:r>
        <w:rPr>
          <w:rFonts w:ascii="Times New Roman" w:cs="Times New Roman" w:eastAsia="Times New Roman" w:hAnsi="Times New Roman"/>
          <w:sz w:val="21"/>
          <w:szCs w:val="21"/>
          <w:color w:val="auto"/>
        </w:rPr>
        <w:t>An employee who otherwise is an Eligible Employee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receive benefits under the Plan in the following circumstances, as determined by the Plan Administrator in its sole discretion:</w:t>
      </w:r>
    </w:p>
    <w:p>
      <w:pPr>
        <w:spacing w:after="0" w:line="116" w:lineRule="exact"/>
        <w:rPr>
          <w:rFonts w:ascii="Times New Roman" w:cs="Times New Roman" w:eastAsia="Times New Roman" w:hAnsi="Times New Roman"/>
          <w:sz w:val="19"/>
          <w:szCs w:val="19"/>
          <w:b w:val="1"/>
          <w:bCs w:val="1"/>
          <w:color w:val="auto"/>
        </w:rPr>
      </w:pPr>
    </w:p>
    <w:p>
      <w:pPr>
        <w:jc w:val="both"/>
        <w:ind w:left="-1040" w:firstLine="1953"/>
        <w:spacing w:after="0" w:line="256" w:lineRule="auto"/>
        <w:tabs>
          <w:tab w:leader="none" w:pos="1459" w:val="left"/>
        </w:tabs>
        <w:numPr>
          <w:ilvl w:val="1"/>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employee is terminated by the Company for Cause or the employee voluntarily terminates employment (including due to the employee’s death or Disability), and in either case, such termination does not constitute a Covered Termination. Voluntary terminations include, but are not limited to, resignation, retirement or failure to return from a leave of absence on the scheduled date.</w:t>
      </w:r>
    </w:p>
    <w:p>
      <w:pPr>
        <w:spacing w:after="0" w:line="176" w:lineRule="exact"/>
        <w:rPr>
          <w:rFonts w:ascii="Times New Roman" w:cs="Times New Roman" w:eastAsia="Times New Roman" w:hAnsi="Times New Roman"/>
          <w:sz w:val="20"/>
          <w:szCs w:val="20"/>
          <w:b w:val="1"/>
          <w:bCs w:val="1"/>
          <w:color w:val="auto"/>
        </w:rPr>
      </w:pPr>
    </w:p>
    <w:p>
      <w:pPr>
        <w:ind w:left="-1040" w:firstLine="1953"/>
        <w:spacing w:after="0" w:line="271" w:lineRule="auto"/>
        <w:tabs>
          <w:tab w:leader="none" w:pos="1459" w:val="left"/>
        </w:tabs>
        <w:numPr>
          <w:ilvl w:val="1"/>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employee voluntarily terminates employment with the Company in order to accept employment with another entity that is wholly or partly owned (directly or indirectly) by the Company or an Affiliate.</w:t>
      </w:r>
    </w:p>
    <w:p>
      <w:pPr>
        <w:spacing w:after="0" w:line="171" w:lineRule="exact"/>
        <w:rPr>
          <w:rFonts w:ascii="Times New Roman" w:cs="Times New Roman" w:eastAsia="Times New Roman" w:hAnsi="Times New Roman"/>
          <w:sz w:val="20"/>
          <w:szCs w:val="20"/>
          <w:b w:val="1"/>
          <w:bCs w:val="1"/>
          <w:color w:val="auto"/>
        </w:rPr>
      </w:pPr>
    </w:p>
    <w:p>
      <w:pPr>
        <w:jc w:val="both"/>
        <w:ind w:left="-1040" w:firstLine="1953"/>
        <w:spacing w:after="0" w:line="249" w:lineRule="auto"/>
        <w:tabs>
          <w:tab w:leader="none" w:pos="1459" w:val="left"/>
        </w:tabs>
        <w:numPr>
          <w:ilvl w:val="1"/>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employee is offered an identical or substantially equivalent or comparable position with the Company or an Affiliate or immediate reemployment by a successor to the Company or an Affiliate or by a purchaser of the Company’s assets, as the case may be, following a Change in Control and the terms of such employment or reemployment would not give rise to the employee’s right to a resignation for Good Reason. For purposes of the foregoing, “immediate reemployment” means that the employee’s employment with the successor to the Company or an Affiliate or the purchaser of its assets, as the case may be, results in uninterrupted employment such that the employee does not incur a lapse in pay or benefits as a result of the change in ownership of the Company or the sale of its assets. For the avoidance of doubt, an employee who becomes immediately reemployed as described in this Section 2(d)(4) by a successor to the Company or an Affiliate or by a purchaser of the Company’s assets, as the case may be, following a Change in Control shall continue to be an Eligible Employee following the date of such reemployment.</w:t>
      </w:r>
    </w:p>
    <w:p>
      <w:pPr>
        <w:spacing w:after="0" w:line="183" w:lineRule="exact"/>
        <w:rPr>
          <w:rFonts w:ascii="Times New Roman" w:cs="Times New Roman" w:eastAsia="Times New Roman" w:hAnsi="Times New Roman"/>
          <w:sz w:val="20"/>
          <w:szCs w:val="20"/>
          <w:b w:val="1"/>
          <w:bCs w:val="1"/>
          <w:color w:val="auto"/>
        </w:rPr>
      </w:pPr>
    </w:p>
    <w:p>
      <w:pPr>
        <w:ind w:left="-1040" w:firstLine="1953"/>
        <w:spacing w:after="0" w:line="284" w:lineRule="auto"/>
        <w:tabs>
          <w:tab w:leader="none" w:pos="1459" w:val="left"/>
        </w:tabs>
        <w:numPr>
          <w:ilvl w:val="1"/>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employee is rehired by the Company or an Affiliate and recommences employment prior to the date severance benefits under the Plan are scheduled to commence.</w:t>
      </w:r>
    </w:p>
    <w:p>
      <w:pPr>
        <w:spacing w:after="0" w:line="140" w:lineRule="exact"/>
        <w:rPr>
          <w:sz w:val="20"/>
          <w:szCs w:val="20"/>
          <w:color w:val="auto"/>
        </w:rPr>
      </w:pPr>
    </w:p>
    <w:p>
      <w:pPr>
        <w:ind w:left="-1120" w:firstLine="1304"/>
        <w:spacing w:after="0" w:line="275" w:lineRule="auto"/>
        <w:tabs>
          <w:tab w:leader="none" w:pos="812"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Termination of Severance Benefits</w:t>
      </w:r>
      <w:r>
        <w:rPr>
          <w:rFonts w:ascii="Times New Roman" w:cs="Times New Roman" w:eastAsia="Times New Roman" w:hAnsi="Times New Roman"/>
          <w:sz w:val="22"/>
          <w:szCs w:val="22"/>
          <w:color w:val="auto"/>
        </w:rPr>
        <w:t>. An Eligible Employee’s right to receive severance benefits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shall terminate immediately if, at any time prior to or</w:t>
      </w:r>
    </w:p>
    <w:p>
      <w:pPr>
        <w:sectPr>
          <w:pgSz w:w="11900" w:h="16838" w:orient="portrait"/>
          <w:cols w:equalWidth="0" w:num="1">
            <w:col w:w="10120"/>
          </w:cols>
          <w:pgMar w:left="1440" w:top="14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color w:val="auto"/>
        </w:rPr>
        <w:t>during the period for which the Eligible Employee is receiving severance benefits under the Plan, the Eligible Employee</w:t>
      </w:r>
    </w:p>
    <w:p>
      <w:pPr>
        <w:spacing w:after="0" w:line="220" w:lineRule="exact"/>
        <w:rPr>
          <w:sz w:val="20"/>
          <w:szCs w:val="20"/>
          <w:color w:val="auto"/>
        </w:rPr>
      </w:pPr>
    </w:p>
    <w:p>
      <w:pPr>
        <w:jc w:val="both"/>
        <w:ind w:left="80" w:firstLine="1953"/>
        <w:spacing w:after="0" w:line="256" w:lineRule="auto"/>
        <w:tabs>
          <w:tab w:leader="none" w:pos="2579"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willfully breaches any material statutory, common law, or contractual obligation to the Company or an Affiliate (including, without limitation, the contractual obligations set forth in the Confidentiality Agreement and any other confidentiality, non-disclosure and developments agreement, non-competition, non-solicitation, or similar type agreement between the Eligible Employee and the Company, as applicable);</w:t>
      </w:r>
    </w:p>
    <w:p>
      <w:pPr>
        <w:spacing w:after="0" w:line="176"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fails to enter into the terms of the Confidentiality Agreement; or</w:t>
      </w:r>
    </w:p>
    <w:p>
      <w:pPr>
        <w:spacing w:after="0" w:line="233" w:lineRule="exact"/>
        <w:rPr>
          <w:rFonts w:ascii="Times New Roman" w:cs="Times New Roman" w:eastAsia="Times New Roman" w:hAnsi="Times New Roman"/>
          <w:sz w:val="20"/>
          <w:szCs w:val="20"/>
          <w:b w:val="1"/>
          <w:bCs w:val="1"/>
          <w:color w:val="auto"/>
        </w:rPr>
      </w:pPr>
    </w:p>
    <w:p>
      <w:pPr>
        <w:jc w:val="both"/>
        <w:ind w:left="80" w:firstLine="1953"/>
        <w:spacing w:after="0" w:line="248" w:lineRule="auto"/>
        <w:tabs>
          <w:tab w:leader="none" w:pos="2579"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without the prior written approval of the Plan Administrator, engages in a Prohibited Action (as defined below). In addition, if benefits under the Plan have already been paid to the Eligible Employee and the Eligible Employee subsequently engages in a Prohibited Action during the Prohibited Period (or it is determined that the Eligible Employee engaged in a Prohibited Action prior to receipt of such benefits), any benefits previously paid to the Eligible Employee shall be subject to recoupment by the Company on such terms and conditions as shall be determined by the Plan Administrator, in its sole discretion. The “</w:t>
      </w:r>
      <w:r>
        <w:rPr>
          <w:rFonts w:ascii="Times New Roman" w:cs="Times New Roman" w:eastAsia="Times New Roman" w:hAnsi="Times New Roman"/>
          <w:sz w:val="22"/>
          <w:szCs w:val="22"/>
          <w:b w:val="1"/>
          <w:bCs w:val="1"/>
          <w:i w:val="1"/>
          <w:iCs w:val="1"/>
          <w:color w:val="auto"/>
        </w:rPr>
        <w:t>Prohibited Period</w:t>
      </w:r>
      <w:r>
        <w:rPr>
          <w:rFonts w:ascii="Times New Roman" w:cs="Times New Roman" w:eastAsia="Times New Roman" w:hAnsi="Times New Roman"/>
          <w:sz w:val="22"/>
          <w:szCs w:val="22"/>
          <w:color w:val="auto"/>
        </w:rPr>
        <w:t>” shall commence on the date of the Eligible Employee’s Covered Termination and continue for the number of months corresponding to the Severance Period set forth in such Eligible Employee’s Participation Agreement. A “</w:t>
      </w:r>
      <w:r>
        <w:rPr>
          <w:rFonts w:ascii="Times New Roman" w:cs="Times New Roman" w:eastAsia="Times New Roman" w:hAnsi="Times New Roman"/>
          <w:sz w:val="22"/>
          <w:szCs w:val="22"/>
          <w:b w:val="1"/>
          <w:bCs w:val="1"/>
          <w:i w:val="1"/>
          <w:iCs w:val="1"/>
          <w:color w:val="auto"/>
        </w:rPr>
        <w:t>Prohibited Action</w:t>
      </w:r>
      <w:r>
        <w:rPr>
          <w:rFonts w:ascii="Times New Roman" w:cs="Times New Roman" w:eastAsia="Times New Roman" w:hAnsi="Times New Roman"/>
          <w:sz w:val="22"/>
          <w:szCs w:val="22"/>
          <w:color w:val="auto"/>
        </w:rPr>
        <w:t>” shall occur if the Eligible Employee: (i) breaches a material provision of the Confidentiality Agreement and/or any obligations of confidentiality, non-solicitation, non-disparagement, no conflicts or non-competition set forth in the Eligible Employee’s employment agreement, offer letter, any other written agreement between the Eligible Employee and the Company, or under applicable law; (ii) encourages or solicits any of the Company’s then current employees to leave the Company’s employ for any reason; or (iii) induces any of the Company’s then current clients, customers, suppliers, vendors, distributors, licensors, licensees, or other third parties to terminate their existing business relationship with the Company.</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Amount of Benefits.</w:t>
      </w:r>
    </w:p>
    <w:p>
      <w:pPr>
        <w:spacing w:after="0" w:line="245" w:lineRule="exact"/>
        <w:rPr>
          <w:sz w:val="20"/>
          <w:szCs w:val="20"/>
          <w:color w:val="auto"/>
        </w:rPr>
      </w:pPr>
    </w:p>
    <w:p>
      <w:pPr>
        <w:ind w:firstLine="1304"/>
        <w:spacing w:after="0" w:line="275" w:lineRule="auto"/>
        <w:tabs>
          <w:tab w:leader="none" w:pos="1932"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Benefits in Participation Agreement. </w:t>
      </w:r>
      <w:r>
        <w:rPr>
          <w:rFonts w:ascii="Times New Roman" w:cs="Times New Roman" w:eastAsia="Times New Roman" w:hAnsi="Times New Roman"/>
          <w:sz w:val="22"/>
          <w:szCs w:val="22"/>
          <w:color w:val="auto"/>
        </w:rPr>
        <w:t>Benefits under the Plan shall be provided to an Eligible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set forth in the Participation Agreement.</w:t>
      </w:r>
    </w:p>
    <w:p>
      <w:pPr>
        <w:spacing w:after="0" w:line="149" w:lineRule="exact"/>
        <w:rPr>
          <w:rFonts w:ascii="Times New Roman" w:cs="Times New Roman" w:eastAsia="Times New Roman" w:hAnsi="Times New Roman"/>
          <w:sz w:val="20"/>
          <w:szCs w:val="20"/>
          <w:b w:val="1"/>
          <w:bCs w:val="1"/>
          <w:color w:val="auto"/>
        </w:rPr>
      </w:pPr>
    </w:p>
    <w:p>
      <w:pPr>
        <w:jc w:val="both"/>
        <w:ind w:firstLine="1304"/>
        <w:spacing w:after="0" w:line="254" w:lineRule="auto"/>
        <w:tabs>
          <w:tab w:leader="none" w:pos="1943"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Additional Benefits. </w:t>
      </w:r>
      <w:r>
        <w:rPr>
          <w:rFonts w:ascii="Times New Roman" w:cs="Times New Roman" w:eastAsia="Times New Roman" w:hAnsi="Times New Roman"/>
          <w:sz w:val="22"/>
          <w:szCs w:val="22"/>
          <w:color w:val="auto"/>
        </w:rPr>
        <w:t>Notwithstanding the foregoing, the Committee may, in its sole discretion,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to individuals who are not Eligible Employees (“</w:t>
      </w:r>
      <w:r>
        <w:rPr>
          <w:rFonts w:ascii="Times New Roman" w:cs="Times New Roman" w:eastAsia="Times New Roman" w:hAnsi="Times New Roman"/>
          <w:sz w:val="22"/>
          <w:szCs w:val="22"/>
          <w:b w:val="1"/>
          <w:bCs w:val="1"/>
          <w:i w:val="1"/>
          <w:iCs w:val="1"/>
          <w:color w:val="auto"/>
        </w:rPr>
        <w:t>Non-Eligible Employees</w:t>
      </w:r>
      <w:r>
        <w:rPr>
          <w:rFonts w:ascii="Times New Roman" w:cs="Times New Roman" w:eastAsia="Times New Roman" w:hAnsi="Times New Roman"/>
          <w:sz w:val="22"/>
          <w:szCs w:val="22"/>
          <w:color w:val="auto"/>
        </w:rPr>
        <w:t>”) chosen by the Plan Administrator, in its sole discretion, and the provision of any such benefits to a Non-Eligible Employee shall in no way obligate the Company to provide such benefits to any other individual, even if similarly situated. If benefits under the Plan are provided to a Non-Eligible Employee, references in the Plan to “Eligible Employee” (and similar references) shall be deemed to refer to such Non-Eligible Employee.</w:t>
      </w:r>
    </w:p>
    <w:p>
      <w:pPr>
        <w:spacing w:after="0" w:line="175" w:lineRule="exact"/>
        <w:rPr>
          <w:rFonts w:ascii="Times New Roman" w:cs="Times New Roman" w:eastAsia="Times New Roman" w:hAnsi="Times New Roman"/>
          <w:sz w:val="20"/>
          <w:szCs w:val="20"/>
          <w:b w:val="1"/>
          <w:bCs w:val="1"/>
          <w:color w:val="auto"/>
        </w:rPr>
      </w:pPr>
    </w:p>
    <w:p>
      <w:pPr>
        <w:jc w:val="both"/>
        <w:ind w:firstLine="1304"/>
        <w:spacing w:after="0" w:line="265" w:lineRule="auto"/>
        <w:tabs>
          <w:tab w:leader="none" w:pos="1934"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Certain Reductions. </w:t>
      </w:r>
      <w:r>
        <w:rPr>
          <w:rFonts w:ascii="Times New Roman" w:cs="Times New Roman" w:eastAsia="Times New Roman" w:hAnsi="Times New Roman"/>
          <w:sz w:val="22"/>
          <w:szCs w:val="22"/>
          <w:color w:val="auto"/>
        </w:rPr>
        <w:t>In addition to Section 2(e) above, the Company, in its sole discretion,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authority to reduce an Eligible Employee’s severance benefits, in whole or in part, by any other severance benefits, pay and benefits provided during a period</w:t>
      </w:r>
    </w:p>
    <w:p>
      <w:pPr>
        <w:sectPr>
          <w:pgSz w:w="11900" w:h="16838" w:orient="portrait"/>
          <w:cols w:equalWidth="0" w:num="1">
            <w:col w:w="11240"/>
          </w:cols>
          <w:pgMar w:left="320" w:top="1422" w:right="339" w:bottom="1440" w:gutter="0" w:footer="0" w:header="0"/>
        </w:sectPr>
      </w:pPr>
    </w:p>
    <w:bookmarkStart w:id="95" w:name="page96"/>
    <w:bookmarkEnd w:id="95"/>
    <w:p>
      <w:pPr>
        <w:jc w:val="both"/>
        <w:spacing w:after="0" w:line="247" w:lineRule="auto"/>
        <w:rPr>
          <w:sz w:val="20"/>
          <w:szCs w:val="20"/>
          <w:color w:val="auto"/>
        </w:rPr>
      </w:pPr>
      <w:r>
        <w:rPr>
          <w:rFonts w:ascii="Times New Roman" w:cs="Times New Roman" w:eastAsia="Times New Roman" w:hAnsi="Times New Roman"/>
          <w:sz w:val="22"/>
          <w:szCs w:val="22"/>
          <w:color w:val="auto"/>
        </w:rPr>
        <w:t>following written notice of a business closing or mass layoff, pay and benefits in lieu of such notice, or other similar benefits payable to the Eligible Employee by the Company or an Affiliate that become payable in connection with the Eligible Employee’s termination of employment pursuant to (i) any applicable legal requirement, including, without limitation, the Worker Adjustment and Retraining Notification Act or any other similar state law or (ii) any Company policy or practice providing for the Eligible Employee to remain on the payroll for a limited period of time after being given notice of the termination of the Eligible Employee’s employment, and the Plan Administrator shall so construe and implement the terms of the Plan. Any such reductions that the Company determines to make pursuant to this Section 3(c) shall be made such that any severance benefit under the Plan shall be reduced solely by any similar type of benefit under such legal requirement, agreement, policy or practice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any cash severance benefits under the Plan shall be reduced solely by any cash payments or severance benefits under such legal requirement, agreement, policy or practice). The Company’s decision to apply such reductions to the severance benefits of one Eligible Employee and the amount of such reductions shall in no way obligate the Company to apply the same reductions in the same amounts to the severance benefits of any other Eligible Employee. In the Company’s sole discretion, such reductions may be applied on a retroactive basis, with severance benefits previously paid being re-characterized as payments pursuant to the Company’s statutory obligation.</w:t>
      </w:r>
    </w:p>
    <w:p>
      <w:pPr>
        <w:spacing w:after="0" w:line="199" w:lineRule="exact"/>
        <w:rPr>
          <w:sz w:val="20"/>
          <w:szCs w:val="20"/>
          <w:color w:val="auto"/>
        </w:rPr>
      </w:pPr>
    </w:p>
    <w:p>
      <w:pPr>
        <w:jc w:val="both"/>
        <w:ind w:firstLine="1304"/>
        <w:spacing w:after="0" w:line="248" w:lineRule="auto"/>
        <w:tabs>
          <w:tab w:leader="none" w:pos="1943"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Parachute Payments. </w:t>
      </w:r>
      <w:r>
        <w:rPr>
          <w:rFonts w:ascii="Times New Roman" w:cs="Times New Roman" w:eastAsia="Times New Roman" w:hAnsi="Times New Roman"/>
          <w:sz w:val="22"/>
          <w:szCs w:val="22"/>
          <w:color w:val="auto"/>
        </w:rPr>
        <w:t>If any payment or benefit an Eligible Employee will or may receive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otherwise (a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any such Payment shall be equal to the Reduced Amount. The “</w:t>
      </w:r>
      <w:r>
        <w:rPr>
          <w:rFonts w:ascii="Times New Roman" w:cs="Times New Roman" w:eastAsia="Times New Roman" w:hAnsi="Times New Roman"/>
          <w:sz w:val="22"/>
          <w:szCs w:val="22"/>
          <w:b w:val="1"/>
          <w:bCs w:val="1"/>
          <w:i w:val="1"/>
          <w:iCs w:val="1"/>
          <w:color w:val="auto"/>
        </w:rPr>
        <w:t>Reduced Amount</w:t>
      </w:r>
      <w:r>
        <w:rPr>
          <w:rFonts w:ascii="Times New Roman" w:cs="Times New Roman" w:eastAsia="Times New Roman" w:hAnsi="Times New Roman"/>
          <w:sz w:val="22"/>
          <w:szCs w:val="22"/>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the Eligible Employee’s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22"/>
          <w:szCs w:val="22"/>
          <w:b w:val="1"/>
          <w:bCs w:val="1"/>
          <w:i w:val="1"/>
          <w:iCs w:val="1"/>
          <w:color w:val="auto"/>
        </w:rPr>
        <w:t>Reduction Method</w:t>
      </w:r>
      <w:r>
        <w:rPr>
          <w:rFonts w:ascii="Times New Roman" w:cs="Times New Roman" w:eastAsia="Times New Roman" w:hAnsi="Times New Roman"/>
          <w:sz w:val="22"/>
          <w:szCs w:val="22"/>
          <w:color w:val="auto"/>
        </w:rPr>
        <w:t>”) that results in the greatest economic benefit for the Eligible Employee. If more than one method of reduction will result in the same economic benefit, the items so reduced will be reduced pro rata (the “</w:t>
      </w:r>
      <w:r>
        <w:rPr>
          <w:rFonts w:ascii="Times New Roman" w:cs="Times New Roman" w:eastAsia="Times New Roman" w:hAnsi="Times New Roman"/>
          <w:sz w:val="22"/>
          <w:szCs w:val="22"/>
          <w:b w:val="1"/>
          <w:bCs w:val="1"/>
          <w:i w:val="1"/>
          <w:iCs w:val="1"/>
          <w:color w:val="auto"/>
        </w:rPr>
        <w:t>Pro Rata Reduction Method</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the Eligible Employee as determined on an after-tax basis; (B) as a second priority, Payments that are contingent on future events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being terminated without</w:t>
      </w:r>
    </w:p>
    <w:p>
      <w:pPr>
        <w:sectPr>
          <w:pgSz w:w="11900" w:h="16838" w:orient="portrait"/>
          <w:cols w:equalWidth="0" w:num="1">
            <w:col w:w="11240"/>
          </w:cols>
          <w:pgMar w:left="320" w:top="1422" w:right="339" w:bottom="1440" w:gutter="0" w:footer="0" w:header="0"/>
        </w:sectPr>
      </w:pPr>
    </w:p>
    <w:bookmarkStart w:id="96" w:name="page97"/>
    <w:bookmarkEnd w:id="96"/>
    <w:p>
      <w:pPr>
        <w:jc w:val="both"/>
        <w:spacing w:after="0" w:line="257" w:lineRule="auto"/>
        <w:rPr>
          <w:sz w:val="20"/>
          <w:szCs w:val="20"/>
          <w:color w:val="auto"/>
        </w:rPr>
      </w:pPr>
      <w:r>
        <w:rPr>
          <w:rFonts w:ascii="Times New Roman" w:cs="Times New Roman" w:eastAsia="Times New Roman" w:hAnsi="Times New Roman"/>
          <w:sz w:val="22"/>
          <w:szCs w:val="22"/>
          <w:color w:val="auto"/>
        </w:rPr>
        <w:t>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8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The Company shall appoint a nationally recognized accounting or law firm to make the determinations required by this Section. The Company shall bear all expenses with respect to the determinations by such accounting or law firm required to be made hereunder. If the Eligible Employee receives a Payment for which the Reduced Amount was determined pursuant to clause</w:t>
      </w:r>
    </w:p>
    <w:p>
      <w:pPr>
        <w:spacing w:after="0" w:line="3" w:lineRule="exact"/>
        <w:rPr>
          <w:sz w:val="20"/>
          <w:szCs w:val="20"/>
          <w:color w:val="auto"/>
        </w:rPr>
      </w:pPr>
    </w:p>
    <w:p>
      <w:pPr>
        <w:jc w:val="both"/>
        <w:ind w:firstLine="8"/>
        <w:spacing w:after="0" w:line="247" w:lineRule="auto"/>
        <w:tabs>
          <w:tab w:leader="none" w:pos="31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and the Internal Revenue Service determines thereafter that some portion of the Payment is subject to the Excise Tax, Eligible Employee agrees to promptly return to the Company a sufficient amount of the Payment (after reduction pursuant to clause (x) above) so that no portion of the remaining Payment is subject to the Excise Tax. For the avoidance of doubt, if the Reduced Amount was determined pursuant to clause (y) above, the Eligible Employee shall have no obligation to return any portion of the Payment pursuant to the preceding sentence.</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Time of Payment and Form of Benefits.</w:t>
      </w:r>
    </w:p>
    <w:p>
      <w:pPr>
        <w:spacing w:after="0" w:line="24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The Company reserves the right in the Participation Agreement to specify whether payments under the Plan will be paid in a single sum, in installments, or in any other form and to determine the timing of such payments. All such payments under the Plan will be subject to applicable withholding for federal, state, foreign, provincial and local taxes. All benefits provided under the Plan are intended to satisfy the requirements for an exemption from application of Section 409A to the maximum extent that an exemption is available and any ambiguities herein shall be interpreted accordingly;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to the extent such an exemption is not available, the benefits provided under the Plan are intended to comply with the requirements of Section 409A to the extent necessary to avoid adverse personal tax consequences and any ambiguities herein shall be interpreted accordingly.</w:t>
      </w:r>
    </w:p>
    <w:p>
      <w:pPr>
        <w:spacing w:after="0" w:line="182"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It is intended that (i) each installment of any benefits payable under the Plan to an Eligible Employee be regarded as a separate “payment” for purposes of Treasury Regulations Section 1.409A-2(b)(2)(i), (ii) all payments of any such benefits under the Plan satisfy, to the greatest extent possible, the exemptions from the application of Section 409A provided under Treasury Regulations Sections 1.409A-1(b)(4), 1.409A-1(b)(5) and 1.409A-1(b)(9)(iii), and (iii) any such benefits consisting of COBRA premiums also satisfy, to the greatest extent possible, the exemption from the application of Section 409A provided under Treasury Regulations Section 1.409A-1(b)(9)(v). However, if the Company determines that any severance benefits payable under the Plan constitute “deferred compensation” under Section 409A and the Eligible Employee is a “specified employee” of the Company, as such term is defined in Section 409A(a)(2)(B)(i), then, solely to the extent necessary to avoid the imposition of the adverse personal tax consequences under Section 409A, (A) the timing of such severance benefit payments shall be delayed until the earlier of (1) the date that is six months and one day after the Eligible Employee’s Separation from Service and (2) the date of the Eligible Employee’s death (such applicable date, the “</w:t>
      </w:r>
      <w:r>
        <w:rPr>
          <w:rFonts w:ascii="Times New Roman" w:cs="Times New Roman" w:eastAsia="Times New Roman" w:hAnsi="Times New Roman"/>
          <w:sz w:val="22"/>
          <w:szCs w:val="22"/>
          <w:b w:val="1"/>
          <w:bCs w:val="1"/>
          <w:i w:val="1"/>
          <w:iCs w:val="1"/>
          <w:color w:val="auto"/>
        </w:rPr>
        <w:t>Delayed Initial Payment Date</w:t>
      </w:r>
      <w:r>
        <w:rPr>
          <w:rFonts w:ascii="Times New Roman" w:cs="Times New Roman" w:eastAsia="Times New Roman" w:hAnsi="Times New Roman"/>
          <w:sz w:val="22"/>
          <w:szCs w:val="22"/>
          <w:color w:val="auto"/>
        </w:rPr>
        <w:t>”), and (B) the Company shall (1) pay</w:t>
      </w:r>
    </w:p>
    <w:p>
      <w:pPr>
        <w:sectPr>
          <w:pgSz w:w="11900" w:h="16838" w:orient="portrait"/>
          <w:cols w:equalWidth="0" w:num="1">
            <w:col w:w="11240"/>
          </w:cols>
          <w:pgMar w:left="320" w:top="1422" w:right="339" w:bottom="1440" w:gutter="0" w:footer="0" w:header="0"/>
        </w:sectPr>
      </w:pPr>
    </w:p>
    <w:bookmarkStart w:id="97" w:name="page98"/>
    <w:bookmarkEnd w:id="97"/>
    <w:p>
      <w:pPr>
        <w:jc w:val="both"/>
        <w:spacing w:after="0" w:line="256" w:lineRule="auto"/>
        <w:rPr>
          <w:sz w:val="20"/>
          <w:szCs w:val="20"/>
          <w:color w:val="auto"/>
        </w:rPr>
      </w:pPr>
      <w:r>
        <w:rPr>
          <w:rFonts w:ascii="Times New Roman" w:cs="Times New Roman" w:eastAsia="Times New Roman" w:hAnsi="Times New Roman"/>
          <w:sz w:val="22"/>
          <w:szCs w:val="22"/>
          <w:color w:val="auto"/>
        </w:rPr>
        <w:t>the Eligible Employee a lump sum amount equal to the sum of the severance benefit payments that the Eligible Employee would otherwise have received through the Delayed Initial Payment Date if the commencement of the payment of the severance benefits had not been delayed pursuant to this paragraph and (2) commence paying the balance, if any, of the severance benefits in accordance with the applicable payment schedule.</w:t>
      </w:r>
    </w:p>
    <w:p>
      <w:pPr>
        <w:spacing w:after="0" w:line="20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In no event shall payment of any severance benefits under the Plan be made prior to an Eligible Employee’s Separation from Service or prior to the effective date of the Release. If the Company determines that any severance payments or benefits provided under the Plan constitute “deferred compensation” under Section 409A, and the Eligible Employee’s Separation from Service occurs at a time during the calendar year when the Release could become effective in the calendar year following the calendar year in which the Eligible Employee’s Separation from Service occurs, then regardless of when the Release is returned to the Company and becomes effective, the Release will not be deemed effective, solely for purposes of the timing of payment of severance benefits under this Plan, any earlier than the latest permitted effective date (the “</w:t>
      </w:r>
      <w:r>
        <w:rPr>
          <w:rFonts w:ascii="Times New Roman" w:cs="Times New Roman" w:eastAsia="Times New Roman" w:hAnsi="Times New Roman"/>
          <w:sz w:val="22"/>
          <w:szCs w:val="22"/>
          <w:b w:val="1"/>
          <w:bCs w:val="1"/>
          <w:i w:val="1"/>
          <w:iCs w:val="1"/>
          <w:color w:val="auto"/>
        </w:rPr>
        <w:t>Release Deadline</w:t>
      </w:r>
      <w:r>
        <w:rPr>
          <w:rFonts w:ascii="Times New Roman" w:cs="Times New Roman" w:eastAsia="Times New Roman" w:hAnsi="Times New Roman"/>
          <w:sz w:val="22"/>
          <w:szCs w:val="22"/>
          <w:color w:val="auto"/>
        </w:rPr>
        <w:t>”). If the Company determines that any severance payments or benefits provided under the Plan constitute “deferred compensation” under Section 409A, then except to the extent that severance payments may be delayed until the Delayed Initial Payment Date pursuant to the preceding paragraph, on the first regular payroll date following the effective date of an Eligible Employee’s Release, the Company shall (1) pay the Eligible Employee a lump sum amount equal to the sum of the severance benefit payments that the Eligible Employee would otherwise have received through such payroll date but for the delay in payment related to the effectiveness of the Release and (2) commence paying the balance, if any, of the severance benefits in accordance with the applicable payment schedule.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Transfer and Assignment.</w:t>
      </w:r>
    </w:p>
    <w:p>
      <w:pPr>
        <w:spacing w:after="0" w:line="24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The rights and obligations of an Eligible Employee under this Plan may not be transferred or assigned without the prior written consent of the Company. This Plan shall be binding upon any entity or person who is a successor by merger, acquisition, consolidation or otherwise to the business formerly carried on by the Company without regard to whether or not such entity or person actively assumes the obligations hereunder and without regard to whether or not a Change in Control occurs.</w:t>
      </w:r>
    </w:p>
    <w:p>
      <w:pPr>
        <w:spacing w:after="0" w:line="1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21"/>
          <w:szCs w:val="21"/>
          <w:b w:val="1"/>
          <w:bCs w:val="1"/>
          <w:color w:val="auto"/>
        </w:rPr>
        <w:t>Mitigation.</w:t>
      </w:r>
    </w:p>
    <w:p>
      <w:pPr>
        <w:spacing w:after="0" w:line="235" w:lineRule="exact"/>
        <w:rPr>
          <w:sz w:val="20"/>
          <w:szCs w:val="20"/>
          <w:color w:val="auto"/>
        </w:rPr>
      </w:pPr>
    </w:p>
    <w:p>
      <w:pPr>
        <w:jc w:val="both"/>
        <w:ind w:firstLine="729"/>
        <w:spacing w:after="0" w:line="256" w:lineRule="auto"/>
        <w:rPr>
          <w:sz w:val="20"/>
          <w:szCs w:val="20"/>
          <w:color w:val="auto"/>
        </w:rPr>
      </w:pPr>
      <w:r>
        <w:rPr>
          <w:rFonts w:ascii="Times New Roman" w:cs="Times New Roman" w:eastAsia="Times New Roman" w:hAnsi="Times New Roman"/>
          <w:sz w:val="22"/>
          <w:szCs w:val="22"/>
          <w:color w:val="auto"/>
        </w:rPr>
        <w:t>Except as otherwise specifically provided in the Plan, an Eligible Employee will not be required to mitigate damages or the amount of any payment provided under the Plan by seeking other employment or otherwise, nor will the amount of any payment provided for under the Plan be reduced by any compensation earned by an Eligible Employee as a result of employment by</w:t>
      </w:r>
    </w:p>
    <w:p>
      <w:pPr>
        <w:sectPr>
          <w:pgSz w:w="11900" w:h="16838" w:orient="portrait"/>
          <w:cols w:equalWidth="0" w:num="1">
            <w:col w:w="11240"/>
          </w:cols>
          <w:pgMar w:left="320" w:top="1422" w:right="339" w:bottom="1440" w:gutter="0" w:footer="0" w:header="0"/>
        </w:sectPr>
      </w:pPr>
    </w:p>
    <w:bookmarkStart w:id="98" w:name="page99"/>
    <w:bookmarkEnd w:id="98"/>
    <w:p>
      <w:pPr>
        <w:jc w:val="both"/>
        <w:spacing w:after="0" w:line="271" w:lineRule="auto"/>
        <w:rPr>
          <w:sz w:val="20"/>
          <w:szCs w:val="20"/>
          <w:color w:val="auto"/>
        </w:rPr>
      </w:pPr>
      <w:r>
        <w:rPr>
          <w:rFonts w:ascii="Times New Roman" w:cs="Times New Roman" w:eastAsia="Times New Roman" w:hAnsi="Times New Roman"/>
          <w:sz w:val="22"/>
          <w:szCs w:val="22"/>
          <w:color w:val="auto"/>
        </w:rPr>
        <w:t>another employer or any retirement benefits received by such Eligible Employee after the date of the Eligible Employee’s termination of employment with the Company.</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21"/>
          <w:szCs w:val="21"/>
          <w:b w:val="1"/>
          <w:bCs w:val="1"/>
          <w:color w:val="auto"/>
        </w:rPr>
        <w:t>Clawback; Recovery.</w:t>
      </w:r>
    </w:p>
    <w:p>
      <w:pPr>
        <w:spacing w:after="0" w:line="24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All payments and severance benefits provided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Plan Administrator may impose such other clawback, recovery or recoupment provisions as the Plan Administrator determines necessary or appropriate, including but not limited to a reacquisition right in respect of previously acquired shares of common stock of the Company or other cash or property upon the occurrence of a termination of employment for Cause. No recovery of compensation under such a clawback policy will be an event giving rise to a right to resign for Good Reason, constructive termination, or any similar term under any plan of or agreement with the Company.</w:t>
      </w:r>
    </w:p>
    <w:p>
      <w:pPr>
        <w:spacing w:after="0" w:line="19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21"/>
          <w:szCs w:val="21"/>
          <w:b w:val="1"/>
          <w:bCs w:val="1"/>
          <w:color w:val="auto"/>
        </w:rPr>
        <w:t>Right to Interpret and Administer Plan; Amendment and Termination.</w:t>
      </w:r>
    </w:p>
    <w:p>
      <w:pPr>
        <w:spacing w:after="0" w:line="231" w:lineRule="exact"/>
        <w:rPr>
          <w:sz w:val="20"/>
          <w:szCs w:val="20"/>
          <w:color w:val="auto"/>
        </w:rPr>
      </w:pPr>
    </w:p>
    <w:p>
      <w:pPr>
        <w:jc w:val="both"/>
        <w:ind w:firstLine="1304"/>
        <w:spacing w:after="0" w:line="249" w:lineRule="auto"/>
        <w:tabs>
          <w:tab w:leader="none" w:pos="1932"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Interpretation and Administration. </w:t>
      </w:r>
      <w:r>
        <w:rPr>
          <w:rFonts w:ascii="Times New Roman" w:cs="Times New Roman" w:eastAsia="Times New Roman" w:hAnsi="Times New Roman"/>
          <w:sz w:val="22"/>
          <w:szCs w:val="22"/>
          <w:color w:val="auto"/>
        </w:rPr>
        <w:t>Prior to the Closing, the Committee shall be the Plan Administrator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have the exclusive discretion and authority to establish rules, forms, and procedures for the administration of the Plan and to construe and interpret the Plan and to decide any and all questions of fact, interpretation, definition, computation or administration arising in connection with the operation of the Plan, including, but not limited to, the eligibility to participate in the Plan and amount of benefits paid under the Plan. The rules, interpretations, computations and other actions of the Committee shall be binding and conclusive on all persons. Upon and after the Closing, the Plan will be interpreted and administered in good faith by the Representative who shall be the Plan Administrator during such period. All actions taken by the Representative in interpreting the terms of the Plan and administering the Plan upon and after the Closing will be final and binding on all Eligible Employees. Any references in this Plan to the “Committee” or “Plan Administrator” with respect to periods following the Closing shall mean the Representative.</w:t>
      </w:r>
    </w:p>
    <w:p>
      <w:pPr>
        <w:spacing w:after="0" w:line="196" w:lineRule="exact"/>
        <w:rPr>
          <w:rFonts w:ascii="Times New Roman" w:cs="Times New Roman" w:eastAsia="Times New Roman" w:hAnsi="Times New Roman"/>
          <w:sz w:val="20"/>
          <w:szCs w:val="20"/>
          <w:b w:val="1"/>
          <w:bCs w:val="1"/>
          <w:color w:val="auto"/>
        </w:rPr>
      </w:pPr>
    </w:p>
    <w:p>
      <w:pPr>
        <w:jc w:val="both"/>
        <w:ind w:firstLine="1304"/>
        <w:spacing w:after="0" w:line="259" w:lineRule="auto"/>
        <w:tabs>
          <w:tab w:leader="none" w:pos="1943"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Amendment. </w:t>
      </w:r>
      <w:r>
        <w:rPr>
          <w:rFonts w:ascii="Times New Roman" w:cs="Times New Roman" w:eastAsia="Times New Roman" w:hAnsi="Times New Roman"/>
          <w:sz w:val="22"/>
          <w:szCs w:val="22"/>
          <w:color w:val="auto"/>
        </w:rPr>
        <w:t>The Plan Administrator reserves the right to amend this Plan at any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any amendment of the Plan will not be effective as to a particular employee who is or may be adversely impacted by such amendment or termination and has an effective Participation Agreement without the written consent of such employee.</w:t>
      </w:r>
    </w:p>
    <w:p>
      <w:pPr>
        <w:spacing w:after="0" w:line="179" w:lineRule="exact"/>
        <w:rPr>
          <w:rFonts w:ascii="Times New Roman" w:cs="Times New Roman" w:eastAsia="Times New Roman" w:hAnsi="Times New Roman"/>
          <w:sz w:val="20"/>
          <w:szCs w:val="20"/>
          <w:b w:val="1"/>
          <w:bCs w:val="1"/>
          <w:color w:val="auto"/>
        </w:rPr>
      </w:pPr>
    </w:p>
    <w:p>
      <w:pPr>
        <w:ind w:right="20" w:firstLine="1304"/>
        <w:spacing w:after="0" w:line="299" w:lineRule="auto"/>
        <w:tabs>
          <w:tab w:leader="none" w:pos="1934" w:val="left"/>
        </w:tabs>
        <w:numPr>
          <w:ilvl w:val="0"/>
          <w:numId w:val="3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 xml:space="preserve">Termination. </w:t>
      </w:r>
      <w:r>
        <w:rPr>
          <w:rFonts w:ascii="Times New Roman" w:cs="Times New Roman" w:eastAsia="Times New Roman" w:hAnsi="Times New Roman"/>
          <w:sz w:val="21"/>
          <w:szCs w:val="21"/>
          <w:color w:val="auto"/>
        </w:rPr>
        <w:t>Unless otherwise extended by the Committee, the Plan will automatically terminate upon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earlier of (i) the fifth anniversary of the Effective Date and (ii) the satisfaction of all the Company’s obligations under the Plan.</w:t>
      </w:r>
    </w:p>
    <w:p>
      <w:pPr>
        <w:sectPr>
          <w:pgSz w:w="11900" w:h="16838" w:orient="portrait"/>
          <w:cols w:equalWidth="0" w:num="1">
            <w:col w:w="11240"/>
          </w:cols>
          <w:pgMar w:left="320" w:top="1422" w:right="339" w:bottom="1440" w:gutter="0" w:footer="0" w:header="0"/>
        </w:sectPr>
      </w:pPr>
    </w:p>
    <w:bookmarkStart w:id="99" w:name="page100"/>
    <w:bookmarkEnd w:id="99"/>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21"/>
          <w:szCs w:val="21"/>
          <w:b w:val="1"/>
          <w:bCs w:val="1"/>
          <w:color w:val="auto"/>
        </w:rPr>
        <w:t>No Implied Employment Contract.</w:t>
      </w:r>
    </w:p>
    <w:p>
      <w:pPr>
        <w:spacing w:after="0" w:line="24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The Plan shall not be deemed (i) to give any employee or other person any right to be retained in the employ of the Company or (ii) to interfere with the right of the Company to discharge any employee or other person at any time, with or without cause, which right is hereby reserved. This Plan does not modify the at-will employment status of any Eligible Employee.</w:t>
      </w:r>
    </w:p>
    <w:p>
      <w:pPr>
        <w:spacing w:after="0" w:line="1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21"/>
          <w:szCs w:val="21"/>
          <w:b w:val="1"/>
          <w:bCs w:val="1"/>
          <w:color w:val="auto"/>
        </w:rPr>
        <w:t>Legal Construction.</w:t>
      </w:r>
    </w:p>
    <w:p>
      <w:pPr>
        <w:spacing w:after="0" w:line="24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This Plan is intended to be governed by and shall be construed in accordance with the Employee Retirement Income Security Act of 1974 (“</w:t>
      </w:r>
      <w:r>
        <w:rPr>
          <w:rFonts w:ascii="Times New Roman" w:cs="Times New Roman" w:eastAsia="Times New Roman" w:hAnsi="Times New Roman"/>
          <w:sz w:val="22"/>
          <w:szCs w:val="22"/>
          <w:b w:val="1"/>
          <w:bCs w:val="1"/>
          <w:i w:val="1"/>
          <w:iCs w:val="1"/>
          <w:color w:val="auto"/>
        </w:rPr>
        <w:t>ERISA</w:t>
      </w:r>
      <w:r>
        <w:rPr>
          <w:rFonts w:ascii="Times New Roman" w:cs="Times New Roman" w:eastAsia="Times New Roman" w:hAnsi="Times New Roman"/>
          <w:sz w:val="22"/>
          <w:szCs w:val="22"/>
          <w:color w:val="auto"/>
        </w:rPr>
        <w:t>”) and, to the extent not preempted by ERISA, the laws of the State of Delaware.</w:t>
      </w:r>
    </w:p>
    <w:p>
      <w:pPr>
        <w:spacing w:after="0" w:line="15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21"/>
          <w:szCs w:val="21"/>
          <w:b w:val="1"/>
          <w:bCs w:val="1"/>
          <w:color w:val="auto"/>
        </w:rPr>
        <w:t>Claims, Inquiries and Appeals.</w:t>
      </w:r>
    </w:p>
    <w:p>
      <w:pPr>
        <w:spacing w:after="0" w:line="245" w:lineRule="exact"/>
        <w:rPr>
          <w:sz w:val="20"/>
          <w:szCs w:val="20"/>
          <w:color w:val="auto"/>
        </w:rPr>
      </w:pPr>
    </w:p>
    <w:p>
      <w:pPr>
        <w:jc w:val="both"/>
        <w:ind w:firstLine="1304"/>
        <w:spacing w:after="0" w:line="265" w:lineRule="auto"/>
        <w:tabs>
          <w:tab w:leader="none" w:pos="1932"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Applications for Benefits and Inquiries. </w:t>
      </w:r>
      <w:r>
        <w:rPr>
          <w:rFonts w:ascii="Times New Roman" w:cs="Times New Roman" w:eastAsia="Times New Roman" w:hAnsi="Times New Roman"/>
          <w:sz w:val="22"/>
          <w:szCs w:val="22"/>
          <w:color w:val="auto"/>
        </w:rPr>
        <w:t>Any application for benefits, inquiries about the Plan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inquiries about present or future rights under the Plan must be submitted to the Plan Administrator in writing by an applicant (or his or her authorized representative). The Plan Administrator is: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Life 360,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Compensation Committee of the Board of Directors or Representative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Attention to: Corporate Secretary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1900 South Norfolk Street, Suite 310</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San Mateo, California 94403</w:t>
      </w:r>
    </w:p>
    <w:p>
      <w:pPr>
        <w:spacing w:after="0" w:line="230" w:lineRule="exact"/>
        <w:rPr>
          <w:sz w:val="20"/>
          <w:szCs w:val="20"/>
          <w:color w:val="auto"/>
        </w:rPr>
      </w:pPr>
    </w:p>
    <w:p>
      <w:pPr>
        <w:jc w:val="both"/>
        <w:ind w:firstLine="1304"/>
        <w:spacing w:after="0" w:line="258" w:lineRule="auto"/>
        <w:tabs>
          <w:tab w:leader="none" w:pos="1943"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Denial of Claims. </w:t>
      </w:r>
      <w:r>
        <w:rPr>
          <w:rFonts w:ascii="Times New Roman" w:cs="Times New Roman" w:eastAsia="Times New Roman" w:hAnsi="Times New Roman"/>
          <w:sz w:val="22"/>
          <w:szCs w:val="22"/>
          <w:color w:val="auto"/>
        </w:rPr>
        <w:t>In the event that any application for benefits is denied in whole or in part,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must provide the applicant with written or electronic notice of the denial of the application, and of the applicant’s right to review the denial. Any electronic notice will comply with the regulations of the U.S. Department of Labor. The notice of denial will be set forth in a manner designed to be understood by the applicant and will include the following:</w:t>
      </w:r>
    </w:p>
    <w:p>
      <w:pPr>
        <w:spacing w:after="0" w:line="171"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1"/>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specific reason or reasons for the denial;</w:t>
      </w:r>
    </w:p>
    <w:p>
      <w:pPr>
        <w:spacing w:after="0" w:line="233"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1"/>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references to the specific Plan provisions upon which the denial is based;</w:t>
      </w:r>
    </w:p>
    <w:p>
      <w:pPr>
        <w:spacing w:after="0" w:line="219" w:lineRule="exact"/>
        <w:rPr>
          <w:rFonts w:ascii="Times New Roman" w:cs="Times New Roman" w:eastAsia="Times New Roman" w:hAnsi="Times New Roman"/>
          <w:sz w:val="20"/>
          <w:szCs w:val="20"/>
          <w:b w:val="1"/>
          <w:bCs w:val="1"/>
          <w:color w:val="auto"/>
        </w:rPr>
      </w:pPr>
    </w:p>
    <w:p>
      <w:pPr>
        <w:ind w:left="80" w:firstLine="1953"/>
        <w:spacing w:after="0" w:line="284" w:lineRule="auto"/>
        <w:tabs>
          <w:tab w:leader="none" w:pos="2579" w:val="left"/>
        </w:tabs>
        <w:numPr>
          <w:ilvl w:val="1"/>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 description of any additional information or material that the Plan Administrator needs to complete the review and an explanation of why such information or material is necessary; and</w:t>
      </w:r>
    </w:p>
    <w:p>
      <w:pPr>
        <w:spacing w:after="0" w:line="143" w:lineRule="exact"/>
        <w:rPr>
          <w:rFonts w:ascii="Times New Roman" w:cs="Times New Roman" w:eastAsia="Times New Roman" w:hAnsi="Times New Roman"/>
          <w:sz w:val="20"/>
          <w:szCs w:val="20"/>
          <w:b w:val="1"/>
          <w:bCs w:val="1"/>
          <w:color w:val="auto"/>
        </w:rPr>
      </w:pPr>
    </w:p>
    <w:p>
      <w:pPr>
        <w:jc w:val="both"/>
        <w:ind w:left="80" w:firstLine="1953"/>
        <w:spacing w:after="0" w:line="263" w:lineRule="auto"/>
        <w:tabs>
          <w:tab w:leader="none" w:pos="2579" w:val="left"/>
        </w:tabs>
        <w:numPr>
          <w:ilvl w:val="1"/>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an explanation of the Plan’s review procedures and the time limits applicable to such procedures, including a statement of the applicant’s right to bring a civil action under Section 502(a) of ERISA following a denial on review of the claim, as described in Section 12(d) below.</w:t>
      </w:r>
    </w:p>
    <w:p>
      <w:pPr>
        <w:sectPr>
          <w:pgSz w:w="11900" w:h="16838" w:orient="portrait"/>
          <w:cols w:equalWidth="0" w:num="1">
            <w:col w:w="11240"/>
          </w:cols>
          <w:pgMar w:left="320" w:top="1418" w:right="339" w:bottom="1440" w:gutter="0" w:footer="0" w:header="0"/>
        </w:sectPr>
      </w:pPr>
    </w:p>
    <w:bookmarkStart w:id="100" w:name="page101"/>
    <w:bookmarkEnd w:id="100"/>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This notice of denial will be given to the applicant within 90 days after the Plan Administrator receives the application, unless special circumstances require an extension of time, in which case, the Plan Administrator has up to an additional 90 days for processing the application. If an extension of time for processing is required, written notice of the extension will be furnished to the applicant before the end of the initial 90 day period.</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This notice of extension will describe the special circumstances necessitating the additional time and the date by which the Plan Administrator is to render its decision on the application.</w:t>
      </w:r>
    </w:p>
    <w:p>
      <w:pPr>
        <w:spacing w:after="0" w:line="154" w:lineRule="exact"/>
        <w:rPr>
          <w:sz w:val="20"/>
          <w:szCs w:val="20"/>
          <w:color w:val="auto"/>
        </w:rPr>
      </w:pPr>
    </w:p>
    <w:p>
      <w:pPr>
        <w:jc w:val="both"/>
        <w:ind w:firstLine="1304"/>
        <w:spacing w:after="0" w:line="265" w:lineRule="auto"/>
        <w:tabs>
          <w:tab w:leader="none" w:pos="1934"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Request for a Review. </w:t>
      </w:r>
      <w:r>
        <w:rPr>
          <w:rFonts w:ascii="Times New Roman" w:cs="Times New Roman" w:eastAsia="Times New Roman" w:hAnsi="Times New Roman"/>
          <w:sz w:val="22"/>
          <w:szCs w:val="22"/>
          <w:color w:val="auto"/>
        </w:rPr>
        <w:t>Any person (or that person’s authorized representative) for whom an application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benefits is denied, in whole or in part, may appeal the denial by submitting a request for a review to the Plan Administrator within 60 days after the application is denied. A request for a review shall be in writing and shall be addressed to:</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Life360,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Compensation Committee of the Board of Directors or Representative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Attention to: Corporate Secretary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1900 South Norfolk Street, Suite 310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San Mateo, California 94403</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A request for review must set forth all of the grounds on which it is based, all facts in support of the request and any other matters that the applicant feels are pertinent. The applicant (or his or her representative) shall have the opportunity to submit (or the Plan Administrator may require the applicant to submit) written comments, documents, records, and other information relating to his or her claim. The applicant (or his or her representative) shall be provided, upon request and free of charge, reasonable access to, and copies of, all documents, records and other information relevant to his or her claim. The review shall take into account all comments, documents, records and other information submitted by the applicant (or his or her representative) relating to the claim, without regard to whether such information was submitted or considered in the initial benefit determination.</w:t>
      </w:r>
    </w:p>
    <w:p>
      <w:pPr>
        <w:spacing w:after="0" w:line="169" w:lineRule="exact"/>
        <w:rPr>
          <w:sz w:val="20"/>
          <w:szCs w:val="20"/>
          <w:color w:val="auto"/>
        </w:rPr>
      </w:pPr>
    </w:p>
    <w:p>
      <w:pPr>
        <w:jc w:val="both"/>
        <w:ind w:firstLine="1304"/>
        <w:spacing w:after="0" w:line="251" w:lineRule="auto"/>
        <w:tabs>
          <w:tab w:leader="none" w:pos="1943"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Decision on Review. </w:t>
      </w:r>
      <w:r>
        <w:rPr>
          <w:rFonts w:ascii="Times New Roman" w:cs="Times New Roman" w:eastAsia="Times New Roman" w:hAnsi="Times New Roman"/>
          <w:sz w:val="22"/>
          <w:szCs w:val="22"/>
          <w:color w:val="auto"/>
        </w:rPr>
        <w:t>The Plan Administrator will act on each request for review within 60 days 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of the request, unless special circumstances require an extension of time (not to exceed an additional 60 days), for processing the request for a review. If an extension for review is required, written notice of the extension will be furnished to the applicant within the initial 60 day period. This notice of extension will describe the special circumstances necessitating the additional time and the date by which the Plan Administrator is to render its decision on the review. The Plan Administrator will give prompt, written or electronic notice of its decision to the applicant. Any electronic notice will comply with the regulations of the U.S. Department of Labor. In the event that the Plan Administrator confirms the denial of the application for benefits in whole or in part, the notice will set forth, in a manner calculated to be understood by the applicant, the following:</w:t>
      </w:r>
    </w:p>
    <w:p>
      <w:pPr>
        <w:spacing w:after="0" w:line="182"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1"/>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specific reason or reasons for the denial;</w:t>
      </w:r>
    </w:p>
    <w:p>
      <w:pPr>
        <w:sectPr>
          <w:pgSz w:w="11900" w:h="16838" w:orient="portrait"/>
          <w:cols w:equalWidth="0" w:num="1">
            <w:col w:w="11240"/>
          </w:cols>
          <w:pgMar w:left="320" w:top="1422" w:right="339" w:bottom="1440" w:gutter="0" w:footer="0" w:header="0"/>
        </w:sectPr>
      </w:pPr>
    </w:p>
    <w:bookmarkStart w:id="101" w:name="page102"/>
    <w:bookmarkEnd w:id="101"/>
    <w:p>
      <w:pPr>
        <w:ind w:left="2580" w:hanging="547"/>
        <w:spacing w:after="0"/>
        <w:tabs>
          <w:tab w:leader="none" w:pos="2580" w:val="left"/>
        </w:tabs>
        <w:numPr>
          <w:ilvl w:val="2"/>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references to the specific Plan provisions upon which the denial is based;</w:t>
      </w:r>
    </w:p>
    <w:p>
      <w:pPr>
        <w:spacing w:after="0" w:line="233" w:lineRule="exact"/>
        <w:rPr>
          <w:rFonts w:ascii="Times New Roman" w:cs="Times New Roman" w:eastAsia="Times New Roman" w:hAnsi="Times New Roman"/>
          <w:sz w:val="20"/>
          <w:szCs w:val="20"/>
          <w:b w:val="1"/>
          <w:bCs w:val="1"/>
          <w:color w:val="auto"/>
        </w:rPr>
      </w:pPr>
    </w:p>
    <w:p>
      <w:pPr>
        <w:ind w:left="80" w:right="20" w:firstLine="1953"/>
        <w:spacing w:after="0" w:line="271" w:lineRule="auto"/>
        <w:tabs>
          <w:tab w:leader="none" w:pos="2579" w:val="left"/>
        </w:tabs>
        <w:numPr>
          <w:ilvl w:val="2"/>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 statement that the applicant is entitled to receive, upon request and free of charge, reasonable access to, and copies of, all documents, records and other information relevant to his or her claim; and</w:t>
      </w:r>
    </w:p>
    <w:p>
      <w:pPr>
        <w:spacing w:after="0" w:line="157"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2"/>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 statement of the applicant’s right to bring a civil action under Section 502(a) of ERISA.</w:t>
      </w:r>
    </w:p>
    <w:p>
      <w:pPr>
        <w:spacing w:after="0" w:line="229" w:lineRule="exact"/>
        <w:rPr>
          <w:rFonts w:ascii="Times New Roman" w:cs="Times New Roman" w:eastAsia="Times New Roman" w:hAnsi="Times New Roman"/>
          <w:sz w:val="20"/>
          <w:szCs w:val="20"/>
          <w:b w:val="1"/>
          <w:bCs w:val="1"/>
          <w:color w:val="auto"/>
        </w:rPr>
      </w:pPr>
    </w:p>
    <w:p>
      <w:pPr>
        <w:jc w:val="both"/>
        <w:ind w:firstLine="1304"/>
        <w:spacing w:after="0" w:line="258" w:lineRule="auto"/>
        <w:tabs>
          <w:tab w:leader="none" w:pos="1934" w:val="left"/>
        </w:tabs>
        <w:numPr>
          <w:ilvl w:val="1"/>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Rules and Procedures. </w:t>
      </w:r>
      <w:r>
        <w:rPr>
          <w:rFonts w:ascii="Times New Roman" w:cs="Times New Roman" w:eastAsia="Times New Roman" w:hAnsi="Times New Roman"/>
          <w:sz w:val="22"/>
          <w:szCs w:val="22"/>
          <w:color w:val="auto"/>
        </w:rPr>
        <w:t>The Plan Administrator will establish rules and procedures, consistent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and with ERISA, as necessary and appropriate in carrying out its responsibilities in reviewing benefit claims. The Plan Administrator may require an applicant who wishes to submit additional information in connection with an appeal from the denial of benefits to do so at the applicant’s own expense.</w:t>
      </w:r>
    </w:p>
    <w:p>
      <w:pPr>
        <w:spacing w:after="0" w:line="167"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1"/>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Exhaustion of Remedies. </w:t>
      </w:r>
      <w:r>
        <w:rPr>
          <w:rFonts w:ascii="Times New Roman" w:cs="Times New Roman" w:eastAsia="Times New Roman" w:hAnsi="Times New Roman"/>
          <w:sz w:val="22"/>
          <w:szCs w:val="22"/>
          <w:color w:val="auto"/>
        </w:rPr>
        <w:t>No legal action for benefits under the Plan may be brought until the applicant</w:t>
      </w:r>
    </w:p>
    <w:p>
      <w:pPr>
        <w:spacing w:after="0" w:line="33" w:lineRule="exact"/>
        <w:rPr>
          <w:rFonts w:ascii="Times New Roman" w:cs="Times New Roman" w:eastAsia="Times New Roman" w:hAnsi="Times New Roman"/>
          <w:sz w:val="20"/>
          <w:szCs w:val="20"/>
          <w:b w:val="1"/>
          <w:bCs w:val="1"/>
          <w:color w:val="auto"/>
        </w:rPr>
      </w:pPr>
    </w:p>
    <w:p>
      <w:pPr>
        <w:jc w:val="both"/>
        <w:ind w:firstLine="8"/>
        <w:spacing w:after="0" w:line="249" w:lineRule="auto"/>
        <w:tabs>
          <w:tab w:leader="none" w:pos="27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submitted a written application for benefits in accordance with the procedures described by Section 11(a) above, (ii) has been notified by the Plan Administrator that the application is denied, (iii) has filed a written request for a review of the application in accordance with the appeal procedure described in Section 11(c) above, and (iv) has been notified that the Plan Administrator has denied the appeal. Notwithstanding the foregoing, if the Plan Administrator does not respond to an Eligible Employee’s claim or appeal within the relevant time limits specified in this Section 11, the Eligible Employee may bring legal action for benefits under the Plan pursuant to Section 502(a) of ERISA.</w:t>
      </w:r>
    </w:p>
    <w:p>
      <w:pPr>
        <w:spacing w:after="0" w:line="17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12.</w:t>
      </w:r>
      <w:r>
        <w:rPr>
          <w:sz w:val="20"/>
          <w:szCs w:val="20"/>
          <w:color w:val="auto"/>
        </w:rPr>
        <w:tab/>
      </w:r>
      <w:r>
        <w:rPr>
          <w:rFonts w:ascii="Times New Roman" w:cs="Times New Roman" w:eastAsia="Times New Roman" w:hAnsi="Times New Roman"/>
          <w:sz w:val="21"/>
          <w:szCs w:val="21"/>
          <w:b w:val="1"/>
          <w:bCs w:val="1"/>
          <w:color w:val="auto"/>
        </w:rPr>
        <w:t>Basis of Payments to and from Plan.</w:t>
      </w:r>
    </w:p>
    <w:p>
      <w:pPr>
        <w:spacing w:after="0" w:line="2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The Plan shall be unfunded, and all cash payments under the Plan shall be paid only from the general assets of the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13.</w:t>
      </w:r>
      <w:r>
        <w:rPr>
          <w:sz w:val="20"/>
          <w:szCs w:val="20"/>
          <w:color w:val="auto"/>
        </w:rPr>
        <w:tab/>
      </w:r>
      <w:r>
        <w:rPr>
          <w:rFonts w:ascii="Times New Roman" w:cs="Times New Roman" w:eastAsia="Times New Roman" w:hAnsi="Times New Roman"/>
          <w:sz w:val="21"/>
          <w:szCs w:val="21"/>
          <w:b w:val="1"/>
          <w:bCs w:val="1"/>
          <w:color w:val="auto"/>
        </w:rPr>
        <w:t>Other Plan Information.</w:t>
      </w:r>
    </w:p>
    <w:p>
      <w:pPr>
        <w:spacing w:after="0" w:line="231" w:lineRule="exact"/>
        <w:rPr>
          <w:sz w:val="20"/>
          <w:szCs w:val="20"/>
          <w:color w:val="auto"/>
        </w:rPr>
      </w:pPr>
    </w:p>
    <w:p>
      <w:pPr>
        <w:jc w:val="both"/>
        <w:ind w:firstLine="1304"/>
        <w:spacing w:after="0" w:line="265" w:lineRule="auto"/>
        <w:tabs>
          <w:tab w:leader="none" w:pos="1932"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Employer and Plan Identification Numbers. </w:t>
      </w:r>
      <w:r>
        <w:rPr>
          <w:rFonts w:ascii="Times New Roman" w:cs="Times New Roman" w:eastAsia="Times New Roman" w:hAnsi="Times New Roman"/>
          <w:sz w:val="22"/>
          <w:szCs w:val="22"/>
          <w:color w:val="auto"/>
        </w:rPr>
        <w:t>The Employer Identification Number assigned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(which is the “Plan Sponsor” as that term is used in ERISA) by the Internal Revenue Service is [***]. The Plan Number assigned to the Plan by the Plan Sponsor pursuant to the instructions of the Internal Revenue Service is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510].</w:t>
      </w:r>
    </w:p>
    <w:p>
      <w:pPr>
        <w:spacing w:after="0" w:line="161" w:lineRule="exact"/>
        <w:rPr>
          <w:rFonts w:ascii="Times New Roman" w:cs="Times New Roman" w:eastAsia="Times New Roman" w:hAnsi="Times New Roman"/>
          <w:sz w:val="20"/>
          <w:szCs w:val="20"/>
          <w:b w:val="1"/>
          <w:bCs w:val="1"/>
          <w:color w:val="auto"/>
        </w:rPr>
      </w:pPr>
    </w:p>
    <w:p>
      <w:pPr>
        <w:ind w:firstLine="1304"/>
        <w:spacing w:after="0" w:line="287" w:lineRule="auto"/>
        <w:tabs>
          <w:tab w:leader="none" w:pos="1943"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Ending Date for Plan’s Fiscal Year. </w:t>
      </w:r>
      <w:r>
        <w:rPr>
          <w:rFonts w:ascii="Times New Roman" w:cs="Times New Roman" w:eastAsia="Times New Roman" w:hAnsi="Times New Roman"/>
          <w:sz w:val="22"/>
          <w:szCs w:val="22"/>
          <w:color w:val="auto"/>
        </w:rPr>
        <w:t>The date of the end of the fiscal year for the purpose of maintaining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Plan’s records is December 31.</w:t>
      </w:r>
    </w:p>
    <w:p>
      <w:pPr>
        <w:spacing w:after="0" w:line="137"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0"/>
          <w:numId w:val="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 xml:space="preserve">Agent for the Service of Legal Process. </w:t>
      </w:r>
      <w:r>
        <w:rPr>
          <w:rFonts w:ascii="Times New Roman" w:cs="Times New Roman" w:eastAsia="Times New Roman" w:hAnsi="Times New Roman"/>
          <w:sz w:val="21"/>
          <w:szCs w:val="21"/>
          <w:color w:val="auto"/>
        </w:rPr>
        <w:t>The agent for the service of legal process with respect to the Plan</w:t>
      </w:r>
    </w:p>
    <w:p>
      <w:pPr>
        <w:spacing w:after="0" w:line="44" w:lineRule="exact"/>
        <w:rPr>
          <w:rFonts w:ascii="Times New Roman" w:cs="Times New Roman" w:eastAsia="Times New Roman" w:hAnsi="Times New Roman"/>
          <w:sz w:val="19"/>
          <w:szCs w:val="19"/>
          <w:b w:val="1"/>
          <w:bCs w:val="1"/>
          <w:color w:val="auto"/>
        </w:rPr>
      </w:pPr>
    </w:p>
    <w:p>
      <w:pPr>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2"/>
          <w:szCs w:val="22"/>
          <w:color w:val="auto"/>
        </w:rPr>
        <w:t>is: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Life360,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Attention to: Corporate Secretary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1900 South Norfolk Street, Suite 310</w:t>
      </w:r>
    </w:p>
    <w:p>
      <w:pPr>
        <w:sectPr>
          <w:pgSz w:w="11900" w:h="16838" w:orient="portrait"/>
          <w:cols w:equalWidth="0" w:num="1">
            <w:col w:w="11240"/>
          </w:cols>
          <w:pgMar w:left="320" w:top="1422" w:right="339" w:bottom="1440" w:gutter="0" w:footer="0" w:header="0"/>
        </w:sectPr>
      </w:pPr>
    </w:p>
    <w:bookmarkStart w:id="102" w:name="page103"/>
    <w:bookmarkEnd w:id="102"/>
    <w:p>
      <w:pPr>
        <w:ind w:left="4380"/>
        <w:spacing w:after="0"/>
        <w:rPr>
          <w:sz w:val="20"/>
          <w:szCs w:val="20"/>
          <w:color w:val="auto"/>
        </w:rPr>
      </w:pPr>
      <w:r>
        <w:rPr>
          <w:rFonts w:ascii="Times New Roman" w:cs="Times New Roman" w:eastAsia="Times New Roman" w:hAnsi="Times New Roman"/>
          <w:sz w:val="22"/>
          <w:szCs w:val="22"/>
          <w:color w:val="auto"/>
        </w:rPr>
        <w:t>San Mateo, California 94403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addition, service of legal process may be made upon the Plan Administrator.</w:t>
      </w:r>
    </w:p>
    <w:p>
      <w:pPr>
        <w:spacing w:after="0" w:line="216" w:lineRule="exact"/>
        <w:rPr>
          <w:sz w:val="20"/>
          <w:szCs w:val="20"/>
          <w:color w:val="auto"/>
        </w:rPr>
      </w:pPr>
    </w:p>
    <w:p>
      <w:pPr>
        <w:ind w:left="1960" w:hanging="656"/>
        <w:spacing w:after="0"/>
        <w:tabs>
          <w:tab w:leader="none" w:pos="196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Plan Sponsor. </w:t>
      </w:r>
      <w:r>
        <w:rPr>
          <w:rFonts w:ascii="Times New Roman" w:cs="Times New Roman" w:eastAsia="Times New Roman" w:hAnsi="Times New Roman"/>
          <w:sz w:val="22"/>
          <w:szCs w:val="22"/>
          <w:color w:val="auto"/>
        </w:rPr>
        <w:t>The “Plan Sponsor” is: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Life360,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1900 South Norfolk Street, Suite 310</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San Mateo, California 94403</w:t>
      </w:r>
    </w:p>
    <w:p>
      <w:pPr>
        <w:spacing w:after="0" w:line="5" w:lineRule="exact"/>
        <w:rPr>
          <w:sz w:val="20"/>
          <w:szCs w:val="20"/>
          <w:color w:val="auto"/>
        </w:rPr>
      </w:pPr>
    </w:p>
    <w:p>
      <w:pPr>
        <w:ind w:left="5480" w:hanging="531"/>
        <w:spacing w:after="0"/>
        <w:tabs>
          <w:tab w:leader="none" w:pos="548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484-5244</w:t>
      </w:r>
    </w:p>
    <w:p>
      <w:pPr>
        <w:spacing w:after="0" w:line="203" w:lineRule="exact"/>
        <w:rPr>
          <w:rFonts w:ascii="Times New Roman" w:cs="Times New Roman" w:eastAsia="Times New Roman" w:hAnsi="Times New Roman"/>
          <w:sz w:val="22"/>
          <w:szCs w:val="22"/>
          <w:color w:val="auto"/>
        </w:rPr>
      </w:pPr>
    </w:p>
    <w:p>
      <w:pPr>
        <w:ind w:firstLine="1304"/>
        <w:spacing w:after="0" w:line="275" w:lineRule="auto"/>
        <w:tabs>
          <w:tab w:leader="none" w:pos="1934"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Plan Administrator. </w:t>
      </w:r>
      <w:r>
        <w:rPr>
          <w:rFonts w:ascii="Times New Roman" w:cs="Times New Roman" w:eastAsia="Times New Roman" w:hAnsi="Times New Roman"/>
          <w:sz w:val="22"/>
          <w:szCs w:val="22"/>
          <w:color w:val="auto"/>
        </w:rPr>
        <w:t>The Plan Administrator is the Committee prior to the Closing and the Representative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and following the Closing. The Plan Administrator’s contact information is: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Life360,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Compensation Committee of the Board of Directors or Representative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1900 South Norfolk Street, Suite 310</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San Mateo, California 94403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Plan Administrator is the named fiduciary charged with the responsibility for administering the Plan.</w:t>
      </w:r>
    </w:p>
    <w:p>
      <w:pPr>
        <w:spacing w:after="0" w:line="2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14.</w:t>
      </w:r>
      <w:r>
        <w:rPr>
          <w:sz w:val="20"/>
          <w:szCs w:val="20"/>
          <w:color w:val="auto"/>
        </w:rPr>
        <w:tab/>
      </w:r>
      <w:r>
        <w:rPr>
          <w:rFonts w:ascii="Times New Roman" w:cs="Times New Roman" w:eastAsia="Times New Roman" w:hAnsi="Times New Roman"/>
          <w:sz w:val="21"/>
          <w:szCs w:val="21"/>
          <w:b w:val="1"/>
          <w:bCs w:val="1"/>
          <w:color w:val="auto"/>
        </w:rPr>
        <w:t>Statement of ERISA Rights.</w:t>
      </w:r>
    </w:p>
    <w:p>
      <w:pPr>
        <w:spacing w:after="0" w:line="249" w:lineRule="exact"/>
        <w:rPr>
          <w:sz w:val="20"/>
          <w:szCs w:val="20"/>
          <w:color w:val="auto"/>
        </w:rPr>
      </w:pPr>
    </w:p>
    <w:p>
      <w:pPr>
        <w:jc w:val="both"/>
        <w:ind w:right="20" w:firstLine="1219"/>
        <w:spacing w:after="0" w:line="257" w:lineRule="auto"/>
        <w:rPr>
          <w:sz w:val="20"/>
          <w:szCs w:val="20"/>
          <w:color w:val="auto"/>
        </w:rPr>
      </w:pPr>
      <w:r>
        <w:rPr>
          <w:rFonts w:ascii="Times New Roman" w:cs="Times New Roman" w:eastAsia="Times New Roman" w:hAnsi="Times New Roman"/>
          <w:sz w:val="22"/>
          <w:szCs w:val="22"/>
          <w:color w:val="auto"/>
        </w:rPr>
        <w:t>Participants in this Plan (which is a welfare benefit plan sponsored by Life360, Inc.) are entitled to certain rights and protections under ERISA. If you are an Eligible Employee, you are considered a participant in the Plan and, under ERISA, you are entitled to:</w:t>
      </w:r>
    </w:p>
    <w:p>
      <w:pPr>
        <w:spacing w:after="0" w:line="182" w:lineRule="exact"/>
        <w:rPr>
          <w:sz w:val="20"/>
          <w:szCs w:val="20"/>
          <w:color w:val="auto"/>
        </w:rPr>
      </w:pPr>
    </w:p>
    <w:p>
      <w:pPr>
        <w:ind w:left="1940" w:hanging="636"/>
        <w:spacing w:after="0"/>
        <w:tabs>
          <w:tab w:leader="none" w:pos="194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Receive Information About Your Plan and Benefits</w:t>
      </w:r>
    </w:p>
    <w:p>
      <w:pPr>
        <w:spacing w:after="0" w:line="223" w:lineRule="exact"/>
        <w:rPr>
          <w:rFonts w:ascii="Times New Roman" w:cs="Times New Roman" w:eastAsia="Times New Roman" w:hAnsi="Times New Roman"/>
          <w:sz w:val="20"/>
          <w:szCs w:val="20"/>
          <w:b w:val="1"/>
          <w:bCs w:val="1"/>
          <w:color w:val="auto"/>
        </w:rPr>
      </w:pPr>
    </w:p>
    <w:p>
      <w:pPr>
        <w:jc w:val="both"/>
        <w:ind w:left="80" w:firstLine="1953"/>
        <w:spacing w:after="0" w:line="256" w:lineRule="auto"/>
        <w:tabs>
          <w:tab w:leader="none" w:pos="2579" w:val="left"/>
        </w:tabs>
        <w:numPr>
          <w:ilvl w:val="1"/>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Employee Benefits Security Administration;</w:t>
      </w:r>
    </w:p>
    <w:p>
      <w:pPr>
        <w:spacing w:after="0" w:line="176" w:lineRule="exact"/>
        <w:rPr>
          <w:rFonts w:ascii="Times New Roman" w:cs="Times New Roman" w:eastAsia="Times New Roman" w:hAnsi="Times New Roman"/>
          <w:sz w:val="20"/>
          <w:szCs w:val="20"/>
          <w:b w:val="1"/>
          <w:bCs w:val="1"/>
          <w:color w:val="auto"/>
        </w:rPr>
      </w:pPr>
    </w:p>
    <w:p>
      <w:pPr>
        <w:jc w:val="both"/>
        <w:ind w:left="80" w:firstLine="1953"/>
        <w:spacing w:after="0" w:line="263" w:lineRule="auto"/>
        <w:tabs>
          <w:tab w:leader="none" w:pos="2579" w:val="left"/>
        </w:tabs>
        <w:numPr>
          <w:ilvl w:val="1"/>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Obtain, upon written request to the Plan Administrator, copies of documents governing the operation of the Plan and copies of the latest annual report (Form 5500 Series), if applicable, and an updated (as necessary) Summary Plan Description. The Administrator may make a reasonable charge for the copies; and</w:t>
      </w:r>
    </w:p>
    <w:p>
      <w:pPr>
        <w:spacing w:after="0" w:line="167" w:lineRule="exact"/>
        <w:rPr>
          <w:rFonts w:ascii="Times New Roman" w:cs="Times New Roman" w:eastAsia="Times New Roman" w:hAnsi="Times New Roman"/>
          <w:sz w:val="20"/>
          <w:szCs w:val="20"/>
          <w:b w:val="1"/>
          <w:bCs w:val="1"/>
          <w:color w:val="auto"/>
        </w:rPr>
      </w:pPr>
    </w:p>
    <w:p>
      <w:pPr>
        <w:ind w:left="80" w:firstLine="1953"/>
        <w:spacing w:after="0" w:line="284" w:lineRule="auto"/>
        <w:tabs>
          <w:tab w:leader="none" w:pos="2579" w:val="left"/>
        </w:tabs>
        <w:numPr>
          <w:ilvl w:val="1"/>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Receive a summary of the Plan’s annual financial report, if applicable. The Plan Administrator is required by law to furnish each Eligible Employee with a copy of this summary annual report.</w:t>
      </w:r>
    </w:p>
    <w:p>
      <w:pPr>
        <w:sectPr>
          <w:pgSz w:w="11900" w:h="16838" w:orient="portrait"/>
          <w:cols w:equalWidth="0" w:num="1">
            <w:col w:w="11240"/>
          </w:cols>
          <w:pgMar w:left="320" w:top="1422" w:right="339" w:bottom="1440" w:gutter="0" w:footer="0" w:header="0"/>
        </w:sectPr>
      </w:pPr>
    </w:p>
    <w:bookmarkStart w:id="103" w:name="page104"/>
    <w:bookmarkEnd w:id="103"/>
    <w:p>
      <w:pPr>
        <w:jc w:val="both"/>
        <w:ind w:firstLine="1304"/>
        <w:spacing w:after="0" w:line="254" w:lineRule="auto"/>
        <w:tabs>
          <w:tab w:leader="none" w:pos="1943"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Prudent Actions by Plan Fiduciaries. </w:t>
      </w:r>
      <w:r>
        <w:rPr>
          <w:rFonts w:ascii="Times New Roman" w:cs="Times New Roman" w:eastAsia="Times New Roman" w:hAnsi="Times New Roman"/>
          <w:sz w:val="22"/>
          <w:szCs w:val="22"/>
          <w:color w:val="auto"/>
        </w:rPr>
        <w:t>In addition to creating rights for Plan Eligible Employees, ERISA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imposes duties upon the people who are responsible for the operation of the employee benefit plan. The people who operate the Plan, called “fiduciaries” of the Plan, have a duty to do so prudently and in the interest of you and other Eligible Employees and beneficiaries. No one, including your employer, your union or any other person, may fire you or otherwise discriminate against you in any way to prevent you from obtaining a Plan benefit or exercising your rights under ERISA.</w:t>
      </w:r>
    </w:p>
    <w:p>
      <w:pPr>
        <w:spacing w:after="0" w:line="173" w:lineRule="exact"/>
        <w:rPr>
          <w:rFonts w:ascii="Times New Roman" w:cs="Times New Roman" w:eastAsia="Times New Roman" w:hAnsi="Times New Roman"/>
          <w:sz w:val="20"/>
          <w:szCs w:val="20"/>
          <w:b w:val="1"/>
          <w:bCs w:val="1"/>
          <w:color w:val="auto"/>
        </w:rPr>
      </w:pPr>
    </w:p>
    <w:p>
      <w:pPr>
        <w:jc w:val="both"/>
        <w:ind w:firstLine="1304"/>
        <w:spacing w:after="0" w:line="265" w:lineRule="auto"/>
        <w:tabs>
          <w:tab w:leader="none" w:pos="1934"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Enforce Your Rights. </w:t>
      </w:r>
      <w:r>
        <w:rPr>
          <w:rFonts w:ascii="Times New Roman" w:cs="Times New Roman" w:eastAsia="Times New Roman" w:hAnsi="Times New Roman"/>
          <w:sz w:val="22"/>
          <w:szCs w:val="22"/>
          <w:color w:val="auto"/>
        </w:rPr>
        <w:t>If your claim for a Plan benefit is denied or ignored, in whole or in part, you have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know why this was done, to obtain copies of documents relating to the decision without charge, and to appeal any denial, all within certain time schedules.</w:t>
      </w:r>
    </w:p>
    <w:p>
      <w:pPr>
        <w:spacing w:after="0" w:line="16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22"/>
          <w:szCs w:val="22"/>
          <w:color w:val="auto"/>
        </w:rPr>
        <w:t>Under ERISA, there are steps you can take to enforce the above rights. For instance, if you request a copy of Plan documents or the latest annual report from the Plan, if applicable,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w:t>
      </w:r>
    </w:p>
    <w:p>
      <w:pPr>
        <w:spacing w:after="0" w:line="17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If you have a claim for benefits which is denied or ignored, in whole or in part, you may file suit in a state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Federal court.</w:t>
      </w:r>
    </w:p>
    <w:p>
      <w:pPr>
        <w:spacing w:after="0" w:line="209"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22"/>
          <w:szCs w:val="22"/>
          <w:color w:val="auto"/>
        </w:rPr>
        <w:t>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75" w:lineRule="exact"/>
        <w:rPr>
          <w:sz w:val="20"/>
          <w:szCs w:val="20"/>
          <w:color w:val="auto"/>
        </w:rPr>
      </w:pPr>
    </w:p>
    <w:p>
      <w:pPr>
        <w:jc w:val="both"/>
        <w:ind w:firstLine="1304"/>
        <w:spacing w:after="0" w:line="252" w:lineRule="auto"/>
        <w:tabs>
          <w:tab w:leader="none" w:pos="1943"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Assistance with Your Questions. </w:t>
      </w:r>
      <w:r>
        <w:rPr>
          <w:rFonts w:ascii="Times New Roman" w:cs="Times New Roman" w:eastAsia="Times New Roman" w:hAnsi="Times New Roman"/>
          <w:sz w:val="22"/>
          <w:szCs w:val="22"/>
          <w:color w:val="auto"/>
        </w:rPr>
        <w:t>If you have any questions about the Plan, you should contact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ectPr>
          <w:pgSz w:w="11900" w:h="16838" w:orient="portrait"/>
          <w:cols w:equalWidth="0" w:num="1">
            <w:col w:w="11240"/>
          </w:cols>
          <w:pgMar w:left="320" w:top="1418"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i w:val="1"/>
          <w:iCs w:val="1"/>
          <w:color w:val="808080"/>
        </w:rPr>
        <w:t>Tier 1 Form (CEO)</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Participation Agreement</w:t>
      </w:r>
    </w:p>
    <w:p>
      <w:pPr>
        <w:sectPr>
          <w:pgSz w:w="11900" w:h="16838" w:orient="portrait"/>
          <w:cols w:equalWidth="0" w:num="1">
            <w:col w:w="11240"/>
          </w:cols>
          <w:pgMar w:left="320" w:top="1418" w:right="339" w:bottom="1440" w:gutter="0" w:footer="0" w:header="0"/>
        </w:sect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Name: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___________________</w:t>
      </w:r>
    </w:p>
    <w:p>
      <w:pPr>
        <w:spacing w:after="0" w:line="200" w:lineRule="exact"/>
        <w:rPr>
          <w:sz w:val="20"/>
          <w:szCs w:val="20"/>
          <w:color w:val="auto"/>
        </w:rPr>
      </w:pPr>
    </w:p>
    <w:p>
      <w:pPr>
        <w:sectPr>
          <w:pgSz w:w="11900" w:h="16838" w:orient="portrait"/>
          <w:cols w:equalWidth="0" w:num="2">
            <w:col w:w="620" w:space="320"/>
            <w:col w:w="10300"/>
          </w:cols>
          <w:pgMar w:left="320" w:top="1418" w:right="3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Section 1.</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Eligibility.</w:t>
      </w:r>
    </w:p>
    <w:p>
      <w:pPr>
        <w:spacing w:after="0" w:line="200" w:lineRule="exact"/>
        <w:rPr>
          <w:sz w:val="20"/>
          <w:szCs w:val="20"/>
          <w:color w:val="auto"/>
        </w:rPr>
      </w:pPr>
    </w:p>
    <w:p>
      <w:pPr>
        <w:sectPr>
          <w:pgSz w:w="11900" w:h="16838" w:orient="portrait"/>
          <w:cols w:equalWidth="0" w:num="2">
            <w:col w:w="820" w:space="480"/>
            <w:col w:w="9940"/>
          </w:cols>
          <w:pgMar w:left="320" w:top="1418" w:right="339" w:bottom="1440" w:gutter="0" w:footer="0" w:header="0"/>
          <w:type w:val="continuous"/>
        </w:sectPr>
      </w:pPr>
    </w:p>
    <w:p>
      <w:pPr>
        <w:spacing w:after="0" w:line="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You have been designated as eligible to participate in the Life360, Inc. Severance and Change in Control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 copy of which is attached to this Participation Agreement (the “</w:t>
      </w:r>
      <w:r>
        <w:rPr>
          <w:rFonts w:ascii="Times New Roman" w:cs="Times New Roman" w:eastAsia="Times New Roman" w:hAnsi="Times New Roman"/>
          <w:sz w:val="22"/>
          <w:szCs w:val="22"/>
          <w:b w:val="1"/>
          <w:bCs w:val="1"/>
          <w:i w:val="1"/>
          <w:iCs w:val="1"/>
          <w:color w:val="auto"/>
        </w:rPr>
        <w:t>Participation Agreement</w:t>
      </w:r>
      <w:r>
        <w:rPr>
          <w:rFonts w:ascii="Times New Roman" w:cs="Times New Roman" w:eastAsia="Times New Roman" w:hAnsi="Times New Roman"/>
          <w:sz w:val="22"/>
          <w:szCs w:val="22"/>
          <w:color w:val="auto"/>
        </w:rPr>
        <w:t>”). Capitalized terms not explicitly defined in this Participation Agreement but defined in the Plan shall have the same definitions as in the Plan. You will receive the benefits set forth below if you meet all the eligibility requirements set forth in the Plan and this Participation Agreement, including, without limitation, executing the required Release within the applicable time period set forth therein and allowing such Release to become effective in accordance with its terms. Notwithstanding the schedule for provision of benefits as set forth below, the schedule and timing of payment of any benefits under this Participant Agreement is subject to any delay in payment that may be required under Section 5 of the Plan.</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Standard Severance Benefits.</w:t>
      </w:r>
    </w:p>
    <w:p>
      <w:pPr>
        <w:spacing w:after="0" w:line="23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you are terminated in a Covered Termination that is not an Enhanced Termination (as defined in Section 4 of this Participation Agreement) then you will receive the severance benefits set forth in this Section 2. All severance benefits described herein are subject to standard deductions and withholdings.</w:t>
      </w:r>
    </w:p>
    <w:p>
      <w:pPr>
        <w:spacing w:after="0" w:line="161" w:lineRule="exact"/>
        <w:rPr>
          <w:sz w:val="20"/>
          <w:szCs w:val="20"/>
          <w:color w:val="auto"/>
        </w:rPr>
      </w:pPr>
    </w:p>
    <w:p>
      <w:pPr>
        <w:jc w:val="both"/>
        <w:ind w:firstLine="1304"/>
        <w:spacing w:after="0" w:line="258" w:lineRule="auto"/>
        <w:tabs>
          <w:tab w:leader="none" w:pos="1932"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Base Salary. </w:t>
      </w:r>
      <w:r>
        <w:rPr>
          <w:rFonts w:ascii="Times New Roman" w:cs="Times New Roman" w:eastAsia="Times New Roman" w:hAnsi="Times New Roman"/>
          <w:sz w:val="22"/>
          <w:szCs w:val="22"/>
          <w:color w:val="auto"/>
        </w:rPr>
        <w:t>You shall receive a cash payment in an amount equal to twelve (12) months (the “</w:t>
      </w:r>
      <w:r>
        <w:rPr>
          <w:rFonts w:ascii="Times New Roman" w:cs="Times New Roman" w:eastAsia="Times New Roman" w:hAnsi="Times New Roman"/>
          <w:sz w:val="22"/>
          <w:szCs w:val="22"/>
          <w:b w:val="1"/>
          <w:bCs w:val="1"/>
          <w:i w:val="1"/>
          <w:iCs w:val="1"/>
          <w:color w:val="auto"/>
        </w:rPr>
        <w:t>Severance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Period</w:t>
      </w:r>
      <w:r>
        <w:rPr>
          <w:rFonts w:ascii="Times New Roman" w:cs="Times New Roman" w:eastAsia="Times New Roman" w:hAnsi="Times New Roman"/>
          <w:sz w:val="22"/>
          <w:szCs w:val="22"/>
          <w:color w:val="auto"/>
        </w:rPr>
        <w:t>”) of payment of your Base Salary. The Base Salary payment will be paid to you in a lump sum cash payment no later than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second regular payroll date following the effective date of the Release, but in any event not later than March 15 of the year following the year in which your Separation from Service occurs.</w:t>
      </w:r>
    </w:p>
    <w:p>
      <w:pPr>
        <w:spacing w:after="0" w:line="169" w:lineRule="exact"/>
        <w:rPr>
          <w:rFonts w:ascii="Times New Roman" w:cs="Times New Roman" w:eastAsia="Times New Roman" w:hAnsi="Times New Roman"/>
          <w:sz w:val="20"/>
          <w:szCs w:val="20"/>
          <w:b w:val="1"/>
          <w:bCs w:val="1"/>
          <w:color w:val="auto"/>
        </w:rPr>
      </w:pPr>
    </w:p>
    <w:p>
      <w:pPr>
        <w:jc w:val="both"/>
        <w:ind w:firstLine="1304"/>
        <w:spacing w:after="0" w:line="263" w:lineRule="auto"/>
        <w:tabs>
          <w:tab w:leader="none" w:pos="1943" w:val="left"/>
        </w:tabs>
        <w:numPr>
          <w:ilvl w:val="0"/>
          <w:numId w:val="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Payment of Continued Group Health Plan Benefits</w:t>
      </w:r>
      <w:r>
        <w:rPr>
          <w:rFonts w:ascii="Times New Roman" w:cs="Times New Roman" w:eastAsia="Times New Roman" w:hAnsi="Times New Roman"/>
          <w:sz w:val="21"/>
          <w:szCs w:val="21"/>
          <w:color w:val="auto"/>
        </w:rPr>
        <w:t>. If you timely elect continued group health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continuation coverage under the Consolidated Omnibus Budget Reconciliation Act of 1985 (“</w:t>
      </w:r>
      <w:r>
        <w:rPr>
          <w:rFonts w:ascii="Times New Roman" w:cs="Times New Roman" w:eastAsia="Times New Roman" w:hAnsi="Times New Roman"/>
          <w:sz w:val="21"/>
          <w:szCs w:val="21"/>
          <w:b w:val="1"/>
          <w:bCs w:val="1"/>
          <w:i w:val="1"/>
          <w:iCs w:val="1"/>
          <w:color w:val="auto"/>
        </w:rPr>
        <w:t>COBRA</w:t>
      </w:r>
      <w:r>
        <w:rPr>
          <w:rFonts w:ascii="Times New Roman" w:cs="Times New Roman" w:eastAsia="Times New Roman" w:hAnsi="Times New Roman"/>
          <w:sz w:val="21"/>
          <w:szCs w:val="21"/>
          <w:color w:val="auto"/>
        </w:rPr>
        <w:t>”) following your Separation from Service date, the Company shall pay directly to the carrier the full amount of your COBRA premiums on behalf of you for your continued coverage under the Company’s group health plans, including coverage for your eligible dependents, until the earliest of (i) the end of the Severance Period following the date of your Separation from Service, (ii) the expiration of your eligibility for the continuation coverage under COBRA, or (iii) the date when you become eligible for substantially equivalent health insurance coverage in connection with new employment (such period from your termination date through the earliest of (i) through (iii), the “</w:t>
      </w:r>
      <w:r>
        <w:rPr>
          <w:rFonts w:ascii="Times New Roman" w:cs="Times New Roman" w:eastAsia="Times New Roman" w:hAnsi="Times New Roman"/>
          <w:sz w:val="21"/>
          <w:szCs w:val="21"/>
          <w:b w:val="1"/>
          <w:bCs w:val="1"/>
          <w:i w:val="1"/>
          <w:iCs w:val="1"/>
          <w:color w:val="auto"/>
        </w:rPr>
        <w:t>COBRA Payment Period</w:t>
      </w:r>
      <w:r>
        <w:rPr>
          <w:rFonts w:ascii="Times New Roman" w:cs="Times New Roman" w:eastAsia="Times New Roman" w:hAnsi="Times New Roman"/>
          <w:sz w:val="21"/>
          <w:szCs w:val="21"/>
          <w:color w:val="auto"/>
        </w:rPr>
        <w:t>”). Upon the conclusion of such period of insurance premium payments made by the Company, you will be responsible for the entire payment of premiums (or payment for the cost of coverage) required</w:t>
      </w:r>
    </w:p>
    <w:p>
      <w:pPr>
        <w:sectPr>
          <w:pgSz w:w="11900" w:h="16838" w:orient="portrait"/>
          <w:cols w:equalWidth="0" w:num="1">
            <w:col w:w="11240"/>
          </w:cols>
          <w:pgMar w:left="320" w:top="1418" w:right="339" w:bottom="1440" w:gutter="0" w:footer="0" w:header="0"/>
          <w:type w:val="continuous"/>
        </w:sectPr>
      </w:pPr>
    </w:p>
    <w:bookmarkStart w:id="105" w:name="page106"/>
    <w:bookmarkEnd w:id="105"/>
    <w:p>
      <w:pPr>
        <w:jc w:val="both"/>
        <w:spacing w:after="0" w:line="253" w:lineRule="auto"/>
        <w:rPr>
          <w:sz w:val="20"/>
          <w:szCs w:val="20"/>
          <w:color w:val="auto"/>
        </w:rPr>
      </w:pPr>
      <w:r>
        <w:rPr>
          <w:rFonts w:ascii="Times New Roman" w:cs="Times New Roman" w:eastAsia="Times New Roman" w:hAnsi="Times New Roman"/>
          <w:sz w:val="22"/>
          <w:szCs w:val="22"/>
          <w:color w:val="auto"/>
        </w:rPr>
        <w:t>under COBRA for the duration of your eligible COBRA coverage period, if any. For purposes of this Section, (1) references to COBRA shall be deemed to refer also to analogous provisions of state law and (2) any applicable insurance premiums that are paid by the Company shall not include any amounts payable by you under an Internal Revenue Code Section 125 health care reimbursement plan, which amounts, if any, are your sole responsibility. You agree to promptly notify the Company as soon as you become eligible for health insurance coverage in connection with new employment or self-employment.</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Notwithstanding the foregoing, if at any time the Company determines, in its sole discretion, that it cannot provide the COBRA premium benefits without potentially incurring financial costs or penalties under applicable law (including, without limitation, Section 2716 of the Public Health Service Act), then in lieu of paying COBRA premiums directly to the carrier on your behalf, the Company will instead pay you on the last day of each remaining month of the COBRA Payment Period a fully taxable cash payment equal to the value of your monthly COBRA premium for the first month of COBRA coverage, subject to applicable tax withholding (such amount, the “</w:t>
      </w:r>
      <w:r>
        <w:rPr>
          <w:rFonts w:ascii="Times New Roman" w:cs="Times New Roman" w:eastAsia="Times New Roman" w:hAnsi="Times New Roman"/>
          <w:sz w:val="22"/>
          <w:szCs w:val="22"/>
          <w:b w:val="1"/>
          <w:bCs w:val="1"/>
          <w:i w:val="1"/>
          <w:iCs w:val="1"/>
          <w:color w:val="auto"/>
        </w:rPr>
        <w:t>Special Severance Payment</w:t>
      </w:r>
      <w:r>
        <w:rPr>
          <w:rFonts w:ascii="Times New Roman" w:cs="Times New Roman" w:eastAsia="Times New Roman" w:hAnsi="Times New Roman"/>
          <w:sz w:val="22"/>
          <w:szCs w:val="22"/>
          <w:color w:val="auto"/>
        </w:rPr>
        <w:t>”), such Special Severance Payment to be made without regard to your election of COBRA coverage or payment of COBRA premiums and without regard to your continued eligibility for COBRA coverage during the COBRA Payment Period. Such Special Severance Payment shall end upon expiration of the COBRA Payment Period.</w:t>
      </w:r>
    </w:p>
    <w:p>
      <w:pPr>
        <w:spacing w:after="0" w:line="19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Enhanced Severance Benefits</w:t>
      </w:r>
      <w:r>
        <w:rPr>
          <w:rFonts w:ascii="Times New Roman" w:cs="Times New Roman" w:eastAsia="Times New Roman" w:hAnsi="Times New Roman"/>
          <w:sz w:val="21"/>
          <w:szCs w:val="21"/>
          <w:color w:val="auto"/>
        </w:rPr>
        <w:t>.</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If you are terminated in an Enhanced Termination (as defined in Section 4 of this Participation Agreement), you will receive:</w:t>
      </w:r>
    </w:p>
    <w:p>
      <w:pPr>
        <w:spacing w:after="0" w:line="220" w:lineRule="exact"/>
        <w:rPr>
          <w:sz w:val="20"/>
          <w:szCs w:val="20"/>
          <w:color w:val="auto"/>
        </w:rPr>
      </w:pPr>
    </w:p>
    <w:p>
      <w:pPr>
        <w:ind w:left="1940" w:hanging="636"/>
        <w:spacing w:after="0"/>
        <w:tabs>
          <w:tab w:leader="none" w:pos="194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base salary cash payment described in Section 2(a) above;</w:t>
      </w:r>
    </w:p>
    <w:p>
      <w:pPr>
        <w:spacing w:after="0" w:line="233" w:lineRule="exact"/>
        <w:rPr>
          <w:rFonts w:ascii="Times New Roman" w:cs="Times New Roman" w:eastAsia="Times New Roman" w:hAnsi="Times New Roman"/>
          <w:sz w:val="20"/>
          <w:szCs w:val="20"/>
          <w:b w:val="1"/>
          <w:bCs w:val="1"/>
          <w:color w:val="auto"/>
        </w:rPr>
      </w:pPr>
    </w:p>
    <w:p>
      <w:pPr>
        <w:ind w:left="1960" w:hanging="656"/>
        <w:spacing w:after="0"/>
        <w:tabs>
          <w:tab w:leader="none" w:pos="196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COBRA benefits described in Section 2(b) above; and</w:t>
      </w:r>
    </w:p>
    <w:p>
      <w:pPr>
        <w:spacing w:after="0" w:line="233" w:lineRule="exact"/>
        <w:rPr>
          <w:rFonts w:ascii="Times New Roman" w:cs="Times New Roman" w:eastAsia="Times New Roman" w:hAnsi="Times New Roman"/>
          <w:sz w:val="20"/>
          <w:szCs w:val="20"/>
          <w:b w:val="1"/>
          <w:bCs w:val="1"/>
          <w:color w:val="auto"/>
        </w:rPr>
      </w:pPr>
    </w:p>
    <w:p>
      <w:pPr>
        <w:jc w:val="both"/>
        <w:ind w:left="1300" w:firstLine="4"/>
        <w:spacing w:after="0" w:line="247" w:lineRule="auto"/>
        <w:tabs>
          <w:tab w:leader="none" w:pos="1761"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vesting and exercisability of each outstanding unvested stock option and other stock award, as applicable, that you hold covering Company common stock as of the date of your Enhanced Termination (each, an “</w:t>
      </w:r>
      <w:r>
        <w:rPr>
          <w:rFonts w:ascii="Times New Roman" w:cs="Times New Roman" w:eastAsia="Times New Roman" w:hAnsi="Times New Roman"/>
          <w:sz w:val="22"/>
          <w:szCs w:val="22"/>
          <w:b w:val="1"/>
          <w:bCs w:val="1"/>
          <w:i w:val="1"/>
          <w:iCs w:val="1"/>
          <w:color w:val="auto"/>
        </w:rPr>
        <w:t>Equity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that is subject to time-vesting shall be accelerated in full and any reacquisition or repurchase rights held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by the Company in respect of Company common stock issued pursuant to any time-vesting Equity Award granted to you shall lapse in full. To the extent your Enhanced Termination occurs prior to a Board Change (as defined in Section 4 of this Participation Agreement), the acceleration set forth in this Section 3(c) shall be contingent and effective upon the Board Change and your Equity Awards will remain outstanding following your Enhanced Termination to give effect to such acceleration as necessary. Any Equity Awards subject to performance-vesting shall vest and become exercisable according to their individual award agreements. Notwithstanding the foregoing, any vesting acceleration of an Equity Award is subject to compliance with the applicable requirements of the Australian Securities Exchange Ltd (ASX) listing rules as of</w:t>
      </w:r>
    </w:p>
    <w:p>
      <w:pPr>
        <w:sectPr>
          <w:pgSz w:w="11900" w:h="16838" w:orient="portrait"/>
          <w:cols w:equalWidth="0" w:num="1">
            <w:col w:w="11240"/>
          </w:cols>
          <w:pgMar w:left="320" w:top="1422" w:right="339" w:bottom="1440" w:gutter="0" w:footer="0" w:header="0"/>
        </w:sectPr>
      </w:pPr>
    </w:p>
    <w:bookmarkStart w:id="106" w:name="page107"/>
    <w:bookmarkEnd w:id="106"/>
    <w:p>
      <w:pPr>
        <w:jc w:val="center"/>
        <w:ind w:right="20"/>
        <w:spacing w:after="0"/>
        <w:rPr>
          <w:sz w:val="20"/>
          <w:szCs w:val="20"/>
          <w:color w:val="auto"/>
        </w:rPr>
      </w:pPr>
      <w:r>
        <w:rPr>
          <w:rFonts w:ascii="Times New Roman" w:cs="Times New Roman" w:eastAsia="Times New Roman" w:hAnsi="Times New Roman"/>
          <w:sz w:val="22"/>
          <w:szCs w:val="22"/>
          <w:color w:val="auto"/>
        </w:rPr>
        <w:t>the effective date of the vesting acceleration (as determined by the Company in its sole discretion).</w:t>
      </w:r>
    </w:p>
    <w:p>
      <w:pPr>
        <w:spacing w:after="0" w:line="24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You shall not be eligible to receive any other benefits under the Plan except as described in this Section 3.</w:t>
      </w:r>
    </w:p>
    <w:p>
      <w:pPr>
        <w:spacing w:after="0" w:line="220" w:lineRule="exact"/>
        <w:rPr>
          <w:sz w:val="20"/>
          <w:szCs w:val="20"/>
          <w:color w:val="auto"/>
        </w:rPr>
      </w:pPr>
    </w:p>
    <w:p>
      <w:pPr>
        <w:jc w:val="both"/>
        <w:ind w:left="80" w:firstLine="648"/>
        <w:spacing w:after="0" w:line="263" w:lineRule="auto"/>
        <w:rPr>
          <w:sz w:val="20"/>
          <w:szCs w:val="20"/>
          <w:color w:val="auto"/>
        </w:rPr>
      </w:pPr>
      <w:r>
        <w:rPr>
          <w:rFonts w:ascii="Times New Roman" w:cs="Times New Roman" w:eastAsia="Times New Roman" w:hAnsi="Times New Roman"/>
          <w:sz w:val="22"/>
          <w:szCs w:val="22"/>
          <w:color w:val="auto"/>
        </w:rPr>
        <w:t>In no event shall you be entitled to benefits under both Section 2 and this Section 3. If you are eligible for severance benefits under both Section 2 and this Section 3, you shall receive the benefits set forth in Section 3 and such benefits shall be reduced by any benefits previously provided to you under Section 2.</w:t>
      </w:r>
    </w:p>
    <w:p>
      <w:pPr>
        <w:spacing w:after="0" w:line="200" w:lineRule="exact"/>
        <w:rPr>
          <w:sz w:val="20"/>
          <w:szCs w:val="20"/>
          <w:color w:val="auto"/>
        </w:rPr>
      </w:pPr>
    </w:p>
    <w:p>
      <w:pPr>
        <w:spacing w:after="0" w:line="20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For purposes of your participation in the Plan, the following definitions shall apply:</w:t>
      </w:r>
    </w:p>
    <w:p>
      <w:pPr>
        <w:spacing w:after="0" w:line="241" w:lineRule="exact"/>
        <w:rPr>
          <w:sz w:val="20"/>
          <w:szCs w:val="20"/>
          <w:color w:val="auto"/>
        </w:rPr>
      </w:pPr>
    </w:p>
    <w:p>
      <w:pPr>
        <w:ind w:left="2020" w:hanging="636"/>
        <w:spacing w:after="0"/>
        <w:tabs>
          <w:tab w:leader="none" w:pos="202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219" w:lineRule="exact"/>
        <w:rPr>
          <w:rFonts w:ascii="Times New Roman" w:cs="Times New Roman" w:eastAsia="Times New Roman" w:hAnsi="Times New Roman"/>
          <w:sz w:val="20"/>
          <w:szCs w:val="20"/>
          <w:b w:val="1"/>
          <w:bCs w:val="1"/>
          <w:color w:val="auto"/>
        </w:rPr>
      </w:pPr>
    </w:p>
    <w:p>
      <w:pPr>
        <w:jc w:val="both"/>
        <w:ind w:left="80" w:firstLine="1304"/>
        <w:spacing w:after="0" w:line="254" w:lineRule="auto"/>
        <w:tabs>
          <w:tab w:leader="none" w:pos="2023"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 Change</w:t>
      </w:r>
      <w:r>
        <w:rPr>
          <w:rFonts w:ascii="Times New Roman" w:cs="Times New Roman" w:eastAsia="Times New Roman" w:hAnsi="Times New Roman"/>
          <w:sz w:val="22"/>
          <w:szCs w:val="22"/>
          <w:color w:val="auto"/>
        </w:rPr>
        <w:t>” means if individuals who, on the date the Plan is adopted, are members of the Board (the “</w:t>
      </w:r>
      <w:r>
        <w:rPr>
          <w:rFonts w:ascii="Times New Roman" w:cs="Times New Roman" w:eastAsia="Times New Roman" w:hAnsi="Times New Roman"/>
          <w:sz w:val="22"/>
          <w:szCs w:val="22"/>
          <w:b w:val="1"/>
          <w:bCs w:val="1"/>
          <w:i w:val="1"/>
          <w:iCs w:val="1"/>
          <w:color w:val="auto"/>
        </w:rPr>
        <w:t>Incumbent Board</w:t>
      </w:r>
      <w:r>
        <w:rPr>
          <w:rFonts w:ascii="Times New Roman" w:cs="Times New Roman" w:eastAsia="Times New Roman" w:hAnsi="Times New Roman"/>
          <w:sz w:val="22"/>
          <w:szCs w:val="22"/>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6" w:lineRule="exact"/>
        <w:rPr>
          <w:rFonts w:ascii="Times New Roman" w:cs="Times New Roman" w:eastAsia="Times New Roman" w:hAnsi="Times New Roman"/>
          <w:sz w:val="20"/>
          <w:szCs w:val="20"/>
          <w:b w:val="1"/>
          <w:bCs w:val="1"/>
          <w:color w:val="auto"/>
        </w:rPr>
      </w:pPr>
    </w:p>
    <w:p>
      <w:pPr>
        <w:jc w:val="both"/>
        <w:ind w:left="80" w:firstLine="1304"/>
        <w:spacing w:after="0" w:line="260" w:lineRule="auto"/>
        <w:tabs>
          <w:tab w:leader="none" w:pos="2014"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Termination</w:t>
      </w:r>
      <w:r>
        <w:rPr>
          <w:rFonts w:ascii="Times New Roman" w:cs="Times New Roman" w:eastAsia="Times New Roman" w:hAnsi="Times New Roman"/>
          <w:sz w:val="22"/>
          <w:szCs w:val="22"/>
          <w:color w:val="auto"/>
        </w:rPr>
        <w:t>” means, with respect to an employee, a termination of employment that is due to a termination by the Company without Cause (and other than as a result of the employee’s death or Disability) which results in such employee’s Separation from Service.</w:t>
      </w:r>
    </w:p>
    <w:p>
      <w:pPr>
        <w:spacing w:after="0" w:line="176" w:lineRule="exact"/>
        <w:rPr>
          <w:rFonts w:ascii="Times New Roman" w:cs="Times New Roman" w:eastAsia="Times New Roman" w:hAnsi="Times New Roman"/>
          <w:sz w:val="20"/>
          <w:szCs w:val="20"/>
          <w:b w:val="1"/>
          <w:bCs w:val="1"/>
          <w:color w:val="auto"/>
        </w:rPr>
      </w:pPr>
    </w:p>
    <w:p>
      <w:pPr>
        <w:jc w:val="both"/>
        <w:ind w:left="80" w:firstLine="1304"/>
        <w:spacing w:after="0" w:line="260" w:lineRule="auto"/>
        <w:tabs>
          <w:tab w:leader="none" w:pos="2023"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Enhanced Termination</w:t>
      </w:r>
      <w:r>
        <w:rPr>
          <w:rFonts w:ascii="Times New Roman" w:cs="Times New Roman" w:eastAsia="Times New Roman" w:hAnsi="Times New Roman"/>
          <w:sz w:val="22"/>
          <w:szCs w:val="22"/>
          <w:color w:val="auto"/>
        </w:rPr>
        <w:t>” means with respect to an employee (1) the employee’s resignation for Good Reason that results in a Separation from Service or (2) any Covered Termination that occurs during the period commencing three months prior to and ending 12 months following a Board Change.</w:t>
      </w:r>
    </w:p>
    <w:p>
      <w:pPr>
        <w:spacing w:after="0" w:line="179" w:lineRule="exact"/>
        <w:rPr>
          <w:sz w:val="20"/>
          <w:szCs w:val="20"/>
          <w:color w:val="auto"/>
        </w:rPr>
      </w:pPr>
    </w:p>
    <w:p>
      <w:pPr>
        <w:ind w:left="80"/>
        <w:spacing w:after="0"/>
        <w:tabs>
          <w:tab w:leader="none" w:pos="136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Acknowledgements; Interaction with Prior Benefits.</w:t>
      </w:r>
    </w:p>
    <w:p>
      <w:pPr>
        <w:spacing w:after="0" w:line="2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As a condition to participation in the Plan, you hereby acknowledge each of the following:</w:t>
      </w:r>
    </w:p>
    <w:p>
      <w:pPr>
        <w:spacing w:after="0" w:line="247" w:lineRule="exact"/>
        <w:rPr>
          <w:sz w:val="20"/>
          <w:szCs w:val="20"/>
          <w:color w:val="auto"/>
        </w:rPr>
      </w:pPr>
    </w:p>
    <w:p>
      <w:pPr>
        <w:ind w:left="80" w:firstLine="1304"/>
        <w:spacing w:after="0" w:line="284" w:lineRule="auto"/>
        <w:tabs>
          <w:tab w:leader="none" w:pos="2012"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benefits that may be provided to you under this Participation Agreement are subject to certain reductions and termination under Section 2 and Section 3 of the Plan.</w:t>
      </w:r>
    </w:p>
    <w:p>
      <w:pPr>
        <w:spacing w:after="0" w:line="143" w:lineRule="exact"/>
        <w:rPr>
          <w:rFonts w:ascii="Times New Roman" w:cs="Times New Roman" w:eastAsia="Times New Roman" w:hAnsi="Times New Roman"/>
          <w:sz w:val="20"/>
          <w:szCs w:val="20"/>
          <w:b w:val="1"/>
          <w:bCs w:val="1"/>
          <w:color w:val="auto"/>
        </w:rPr>
      </w:pPr>
    </w:p>
    <w:p>
      <w:pPr>
        <w:ind w:left="80" w:firstLine="1304"/>
        <w:spacing w:after="0" w:line="284" w:lineRule="auto"/>
        <w:tabs>
          <w:tab w:leader="none" w:pos="2023"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Your eligibility for and receipt of any severance benefits to which you may become entitled as described in Section 2 or Section 3 above is expressly contingent upon</w:t>
      </w:r>
    </w:p>
    <w:p>
      <w:pPr>
        <w:sectPr>
          <w:pgSz w:w="11900" w:h="16838" w:orient="portrait"/>
          <w:cols w:equalWidth="0" w:num="1">
            <w:col w:w="11320"/>
          </w:cols>
          <w:pgMar w:left="240" w:top="1422" w:right="339" w:bottom="1440" w:gutter="0" w:footer="0" w:header="0"/>
        </w:sectPr>
      </w:pPr>
    </w:p>
    <w:bookmarkStart w:id="107" w:name="page108"/>
    <w:bookmarkEnd w:id="107"/>
    <w:p>
      <w:pPr>
        <w:jc w:val="both"/>
        <w:spacing w:after="0" w:line="257" w:lineRule="auto"/>
        <w:rPr>
          <w:sz w:val="20"/>
          <w:szCs w:val="20"/>
          <w:color w:val="auto"/>
        </w:rPr>
      </w:pPr>
      <w:r>
        <w:rPr>
          <w:rFonts w:ascii="Times New Roman" w:cs="Times New Roman" w:eastAsia="Times New Roman" w:hAnsi="Times New Roman"/>
          <w:sz w:val="22"/>
          <w:szCs w:val="22"/>
          <w:color w:val="auto"/>
        </w:rPr>
        <w:t>your execution of and compliance with the terms and conditions of the Plan, the Release and the Confidentiality Agreement. Severance benefits under this Participation Agreement shall immediately cease in the event of your violation of the provisions of Confidentiality Agreement or any other written agreement with the Company.</w:t>
      </w:r>
    </w:p>
    <w:p>
      <w:pPr>
        <w:spacing w:after="0" w:line="186" w:lineRule="exact"/>
        <w:rPr>
          <w:sz w:val="20"/>
          <w:szCs w:val="20"/>
          <w:color w:val="auto"/>
        </w:rPr>
      </w:pPr>
    </w:p>
    <w:p>
      <w:pPr>
        <w:jc w:val="both"/>
        <w:ind w:firstLine="1304"/>
        <w:spacing w:after="0" w:line="257" w:lineRule="auto"/>
        <w:tabs>
          <w:tab w:leader="none" w:pos="1934"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As further described in Section 2(c) of the Plan, this Participation Agreement and the Plan supersede and replace any change in control or severance benefits previously provided to you, including but not limited to any benefits under your employment or other written agreement or plan, and by executing below you expressly agree to such treatment.</w:t>
      </w:r>
    </w:p>
    <w:p>
      <w:pPr>
        <w:spacing w:after="0" w:line="186"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To accept the terms of this Participation Agreement and participate in the Plan, please sign and date this Participation Agreement in the space provided below and return it to _____________________ no later than _________, ____.</w:t>
      </w:r>
    </w:p>
    <w:p>
      <w:pPr>
        <w:sectPr>
          <w:pgSz w:w="11900" w:h="16838" w:orient="portrait"/>
          <w:cols w:equalWidth="0" w:num="1">
            <w:col w:w="11240"/>
          </w:cols>
          <w:pgMar w:left="320" w:top="1422" w:right="339" w:bottom="1440" w:gutter="0" w:footer="0" w:header="0"/>
        </w:sectPr>
      </w:pPr>
    </w:p>
    <w:bookmarkStart w:id="108" w:name="page109"/>
    <w:bookmarkEnd w:id="108"/>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Life360, Inc.</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-14605</wp:posOffset>
            </wp:positionV>
            <wp:extent cx="342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Eligible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[Insert Name]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1714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i w:val="1"/>
          <w:iCs w:val="1"/>
          <w:color w:val="808080"/>
        </w:rPr>
        <w:t>Tier 2 Form (Non-CEO ASX Officers)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Participation Agreement</w:t>
      </w:r>
    </w:p>
    <w:p>
      <w:pPr>
        <w:sectPr>
          <w:pgSz w:w="11900" w:h="16838" w:orient="portrait"/>
          <w:cols w:equalWidth="0" w:num="1">
            <w:col w:w="11240"/>
          </w:cols>
          <w:pgMar w:left="320" w:top="1418" w:right="339" w:bottom="1440" w:gutter="0" w:footer="0" w:header="0"/>
        </w:sect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Name: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___________________</w:t>
      </w:r>
    </w:p>
    <w:p>
      <w:pPr>
        <w:spacing w:after="0" w:line="200" w:lineRule="exact"/>
        <w:rPr>
          <w:sz w:val="20"/>
          <w:szCs w:val="20"/>
          <w:color w:val="auto"/>
        </w:rPr>
      </w:pPr>
    </w:p>
    <w:p>
      <w:pPr>
        <w:sectPr>
          <w:pgSz w:w="11900" w:h="16838" w:orient="portrait"/>
          <w:cols w:equalWidth="0" w:num="2">
            <w:col w:w="620" w:space="320"/>
            <w:col w:w="10300"/>
          </w:cols>
          <w:pgMar w:left="320" w:top="1418" w:right="3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Section 6.</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Eligibility.</w:t>
      </w:r>
    </w:p>
    <w:p>
      <w:pPr>
        <w:spacing w:after="0" w:line="200" w:lineRule="exact"/>
        <w:rPr>
          <w:sz w:val="20"/>
          <w:szCs w:val="20"/>
          <w:color w:val="auto"/>
        </w:rPr>
      </w:pPr>
    </w:p>
    <w:p>
      <w:pPr>
        <w:sectPr>
          <w:pgSz w:w="11900" w:h="16838" w:orient="portrait"/>
          <w:cols w:equalWidth="0" w:num="2">
            <w:col w:w="820" w:space="480"/>
            <w:col w:w="9940"/>
          </w:cols>
          <w:pgMar w:left="320" w:top="1418" w:right="339" w:bottom="1440" w:gutter="0" w:footer="0" w:header="0"/>
          <w:type w:val="continuous"/>
        </w:sectPr>
      </w:pPr>
    </w:p>
    <w:p>
      <w:pPr>
        <w:spacing w:after="0" w:line="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You have been designated as eligible to participate in the Life360, Inc. Severance and Change in Control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 copy of which is attached to this Participation Agreement (the “</w:t>
      </w:r>
      <w:r>
        <w:rPr>
          <w:rFonts w:ascii="Times New Roman" w:cs="Times New Roman" w:eastAsia="Times New Roman" w:hAnsi="Times New Roman"/>
          <w:sz w:val="22"/>
          <w:szCs w:val="22"/>
          <w:b w:val="1"/>
          <w:bCs w:val="1"/>
          <w:i w:val="1"/>
          <w:iCs w:val="1"/>
          <w:color w:val="auto"/>
        </w:rPr>
        <w:t>Participation Agreement</w:t>
      </w:r>
      <w:r>
        <w:rPr>
          <w:rFonts w:ascii="Times New Roman" w:cs="Times New Roman" w:eastAsia="Times New Roman" w:hAnsi="Times New Roman"/>
          <w:sz w:val="22"/>
          <w:szCs w:val="22"/>
          <w:color w:val="auto"/>
        </w:rPr>
        <w:t>”). Capitalized terms not explicitly defined in this Participation Agreement but defined in the Plan shall have the same definitions as in the Plan. You will receive the benefits set forth below if you meet all the eligibility requirements set forth in the Plan and this Participation Agreement, including, without limitation, executing the required Release within the applicable time period set forth therein and allowing such Release to become effective in accordance with its terms. Notwithstanding the schedule for provision of benefits as set forth below, the schedule and timing of payment of any benefits under this Participant Agreement is subject to any delay in payment that may be required under Section 5 of the Plan.</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21"/>
          <w:szCs w:val="21"/>
          <w:b w:val="1"/>
          <w:bCs w:val="1"/>
          <w:color w:val="auto"/>
        </w:rPr>
        <w:t>Standard Severance Benefits.</w:t>
      </w:r>
    </w:p>
    <w:p>
      <w:pPr>
        <w:spacing w:after="0" w:line="23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you are terminated in a Covered Termination that is not an Enhanced Termination (as defined in Section 4 of this Participation Agreement) then you will receive the severance benefits set forth in this Section 2. All severance benefits described herein are subject to standard deductions and withholdings.</w:t>
      </w:r>
    </w:p>
    <w:p>
      <w:pPr>
        <w:spacing w:after="0" w:line="188" w:lineRule="exact"/>
        <w:rPr>
          <w:sz w:val="20"/>
          <w:szCs w:val="20"/>
          <w:color w:val="auto"/>
        </w:rPr>
      </w:pPr>
    </w:p>
    <w:p>
      <w:pPr>
        <w:jc w:val="both"/>
        <w:ind w:firstLine="1304"/>
        <w:spacing w:after="0" w:line="258" w:lineRule="auto"/>
        <w:tabs>
          <w:tab w:leader="none" w:pos="1932"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Base Salary. </w:t>
      </w:r>
      <w:r>
        <w:rPr>
          <w:rFonts w:ascii="Times New Roman" w:cs="Times New Roman" w:eastAsia="Times New Roman" w:hAnsi="Times New Roman"/>
          <w:sz w:val="22"/>
          <w:szCs w:val="22"/>
          <w:color w:val="auto"/>
        </w:rPr>
        <w:t>You shall receive a cash payment in an amount equal to six (6) months (the “</w:t>
      </w:r>
      <w:r>
        <w:rPr>
          <w:rFonts w:ascii="Times New Roman" w:cs="Times New Roman" w:eastAsia="Times New Roman" w:hAnsi="Times New Roman"/>
          <w:sz w:val="22"/>
          <w:szCs w:val="22"/>
          <w:b w:val="1"/>
          <w:bCs w:val="1"/>
          <w:i w:val="1"/>
          <w:iCs w:val="1"/>
          <w:color w:val="auto"/>
        </w:rPr>
        <w:t>Severance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Period</w:t>
      </w:r>
      <w:r>
        <w:rPr>
          <w:rFonts w:ascii="Times New Roman" w:cs="Times New Roman" w:eastAsia="Times New Roman" w:hAnsi="Times New Roman"/>
          <w:sz w:val="22"/>
          <w:szCs w:val="22"/>
          <w:color w:val="auto"/>
        </w:rPr>
        <w:t>”) of payment of your Base Salary. The Base Salary payment will be paid to you in a lump sum cash payment no later than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second regular payroll date following the effective date of the Release, but in any event not later than March 15 of the year following the year in which your Separation from Service occurs.</w:t>
      </w:r>
    </w:p>
    <w:p>
      <w:pPr>
        <w:spacing w:after="0" w:line="169" w:lineRule="exact"/>
        <w:rPr>
          <w:rFonts w:ascii="Times New Roman" w:cs="Times New Roman" w:eastAsia="Times New Roman" w:hAnsi="Times New Roman"/>
          <w:sz w:val="20"/>
          <w:szCs w:val="20"/>
          <w:b w:val="1"/>
          <w:bCs w:val="1"/>
          <w:color w:val="auto"/>
        </w:rPr>
      </w:pPr>
    </w:p>
    <w:p>
      <w:pPr>
        <w:jc w:val="both"/>
        <w:ind w:firstLine="1304"/>
        <w:spacing w:after="0" w:line="263" w:lineRule="auto"/>
        <w:tabs>
          <w:tab w:leader="none" w:pos="1943" w:val="left"/>
        </w:tabs>
        <w:numPr>
          <w:ilvl w:val="0"/>
          <w:numId w:val="5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Payment of Continued Group Health Plan Benefits</w:t>
      </w:r>
      <w:r>
        <w:rPr>
          <w:rFonts w:ascii="Times New Roman" w:cs="Times New Roman" w:eastAsia="Times New Roman" w:hAnsi="Times New Roman"/>
          <w:sz w:val="21"/>
          <w:szCs w:val="21"/>
          <w:color w:val="auto"/>
        </w:rPr>
        <w:t>. If you timely elect continued group health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continuation coverage under the Consolidated Omnibus Budget Reconciliation Act of 1985 (“</w:t>
      </w:r>
      <w:r>
        <w:rPr>
          <w:rFonts w:ascii="Times New Roman" w:cs="Times New Roman" w:eastAsia="Times New Roman" w:hAnsi="Times New Roman"/>
          <w:sz w:val="21"/>
          <w:szCs w:val="21"/>
          <w:b w:val="1"/>
          <w:bCs w:val="1"/>
          <w:i w:val="1"/>
          <w:iCs w:val="1"/>
          <w:color w:val="auto"/>
        </w:rPr>
        <w:t>COBRA</w:t>
      </w:r>
      <w:r>
        <w:rPr>
          <w:rFonts w:ascii="Times New Roman" w:cs="Times New Roman" w:eastAsia="Times New Roman" w:hAnsi="Times New Roman"/>
          <w:sz w:val="21"/>
          <w:szCs w:val="21"/>
          <w:color w:val="auto"/>
        </w:rPr>
        <w:t>”) following your Separation from Service date, the Company shall pay directly to the carrier the full amount of your COBRA premiums on behalf of you for your continued coverage under the Company’s group health plans, including coverage for your eligible dependents, until the earliest of (i) the end of the Severance Period following the date of your Separation from Service, (ii) the expiration of your eligibility for the continuation coverage under COBRA, or (iii) the date when you become eligible for substantially equivalent health insurance coverage in connection with new employment (such period from your termination date through the earliest of (i) through (iii), the “</w:t>
      </w:r>
      <w:r>
        <w:rPr>
          <w:rFonts w:ascii="Times New Roman" w:cs="Times New Roman" w:eastAsia="Times New Roman" w:hAnsi="Times New Roman"/>
          <w:sz w:val="21"/>
          <w:szCs w:val="21"/>
          <w:b w:val="1"/>
          <w:bCs w:val="1"/>
          <w:i w:val="1"/>
          <w:iCs w:val="1"/>
          <w:color w:val="auto"/>
        </w:rPr>
        <w:t>COBRA Payment Period</w:t>
      </w:r>
      <w:r>
        <w:rPr>
          <w:rFonts w:ascii="Times New Roman" w:cs="Times New Roman" w:eastAsia="Times New Roman" w:hAnsi="Times New Roman"/>
          <w:sz w:val="21"/>
          <w:szCs w:val="21"/>
          <w:color w:val="auto"/>
        </w:rPr>
        <w:t>”). Upon the conclusion of such period of insurance premium payments made by the Company, you will be responsible for the entire payment of premiums (or payment for the cost of coverage) required</w:t>
      </w:r>
    </w:p>
    <w:p>
      <w:pPr>
        <w:sectPr>
          <w:pgSz w:w="11900" w:h="16838" w:orient="portrait"/>
          <w:cols w:equalWidth="0" w:num="1">
            <w:col w:w="11240"/>
          </w:cols>
          <w:pgMar w:left="320" w:top="1418" w:right="339" w:bottom="1440" w:gutter="0" w:footer="0" w:header="0"/>
          <w:type w:val="continuous"/>
        </w:sectPr>
      </w:pPr>
    </w:p>
    <w:bookmarkStart w:id="110" w:name="page111"/>
    <w:bookmarkEnd w:id="110"/>
    <w:p>
      <w:pPr>
        <w:jc w:val="both"/>
        <w:spacing w:after="0" w:line="253" w:lineRule="auto"/>
        <w:rPr>
          <w:sz w:val="20"/>
          <w:szCs w:val="20"/>
          <w:color w:val="auto"/>
        </w:rPr>
      </w:pPr>
      <w:r>
        <w:rPr>
          <w:rFonts w:ascii="Times New Roman" w:cs="Times New Roman" w:eastAsia="Times New Roman" w:hAnsi="Times New Roman"/>
          <w:sz w:val="22"/>
          <w:szCs w:val="22"/>
          <w:color w:val="auto"/>
        </w:rPr>
        <w:t>under COBRA for the duration of your eligible COBRA coverage period, if any. For purposes of this Section, (1) references to COBRA shall be deemed to refer also to analogous provisions of state law and (2) any applicable insurance premiums that are paid by the Company shall not include any amounts payable by you under an Internal Revenue Code Section 125 health care reimbursement plan, which amounts, if any, are your sole responsibility. You agree to promptly notify the Company as soon as you become eligible for health insurance coverage in connection with new employment or self-employment.</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Notwithstanding the foregoing, if at any time the Company determines, in its sole discretion, that it cannot provide the COBRA premium benefits without potentially incurring financial costs or penalties under applicable law (including, without limitation, Section 2716 of the Public Health Service Act), then in lieu of paying COBRA premiums directly to the carrier on your behalf, the Company will instead pay you on the last day of each remaining month of the COBRA Payment Period a fully taxable cash payment equal to the value of your monthly COBRA premium for the first month of COBRA coverage, subject to applicable tax withholding (such amount, the “</w:t>
      </w:r>
      <w:r>
        <w:rPr>
          <w:rFonts w:ascii="Times New Roman" w:cs="Times New Roman" w:eastAsia="Times New Roman" w:hAnsi="Times New Roman"/>
          <w:sz w:val="22"/>
          <w:szCs w:val="22"/>
          <w:b w:val="1"/>
          <w:bCs w:val="1"/>
          <w:i w:val="1"/>
          <w:iCs w:val="1"/>
          <w:color w:val="auto"/>
        </w:rPr>
        <w:t>Special Severance Payment</w:t>
      </w:r>
      <w:r>
        <w:rPr>
          <w:rFonts w:ascii="Times New Roman" w:cs="Times New Roman" w:eastAsia="Times New Roman" w:hAnsi="Times New Roman"/>
          <w:sz w:val="22"/>
          <w:szCs w:val="22"/>
          <w:color w:val="auto"/>
        </w:rPr>
        <w:t>”), such Special Severance Payment to be made without regard to your election of COBRA coverage or payment of COBRA premiums and without regard to your continued eligibility for COBRA coverage during the COBRA Payment Period. Such Special Severance Payment shall end upon expiration of the COBRA Payment Period.</w:t>
      </w:r>
    </w:p>
    <w:p>
      <w:pPr>
        <w:spacing w:after="0" w:line="19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21"/>
          <w:szCs w:val="21"/>
          <w:b w:val="1"/>
          <w:bCs w:val="1"/>
          <w:color w:val="auto"/>
        </w:rPr>
        <w:t>Enhanced Severance Benefits</w:t>
      </w:r>
      <w:r>
        <w:rPr>
          <w:rFonts w:ascii="Times New Roman" w:cs="Times New Roman" w:eastAsia="Times New Roman" w:hAnsi="Times New Roman"/>
          <w:sz w:val="21"/>
          <w:szCs w:val="21"/>
          <w:color w:val="auto"/>
        </w:rPr>
        <w:t>.</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If you are terminated in an Enhanced Termination (as defined in Section 4 of this Participation Agreement), you will receive:</w:t>
      </w:r>
    </w:p>
    <w:p>
      <w:pPr>
        <w:spacing w:after="0" w:line="220" w:lineRule="exact"/>
        <w:rPr>
          <w:sz w:val="20"/>
          <w:szCs w:val="20"/>
          <w:color w:val="auto"/>
        </w:rPr>
      </w:pPr>
    </w:p>
    <w:p>
      <w:pPr>
        <w:ind w:left="1940" w:hanging="636"/>
        <w:spacing w:after="0"/>
        <w:tabs>
          <w:tab w:leader="none" w:pos="194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base salary cash payment described in Section 2(a) above;</w:t>
      </w:r>
    </w:p>
    <w:p>
      <w:pPr>
        <w:spacing w:after="0" w:line="233" w:lineRule="exact"/>
        <w:rPr>
          <w:rFonts w:ascii="Times New Roman" w:cs="Times New Roman" w:eastAsia="Times New Roman" w:hAnsi="Times New Roman"/>
          <w:sz w:val="20"/>
          <w:szCs w:val="20"/>
          <w:b w:val="1"/>
          <w:bCs w:val="1"/>
          <w:color w:val="auto"/>
        </w:rPr>
      </w:pPr>
    </w:p>
    <w:p>
      <w:pPr>
        <w:ind w:left="1960" w:hanging="656"/>
        <w:spacing w:after="0"/>
        <w:tabs>
          <w:tab w:leader="none" w:pos="196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COBRA benefits described in Section 2(b) above; and</w:t>
      </w:r>
    </w:p>
    <w:p>
      <w:pPr>
        <w:spacing w:after="0" w:line="233" w:lineRule="exact"/>
        <w:rPr>
          <w:rFonts w:ascii="Times New Roman" w:cs="Times New Roman" w:eastAsia="Times New Roman" w:hAnsi="Times New Roman"/>
          <w:sz w:val="20"/>
          <w:szCs w:val="20"/>
          <w:b w:val="1"/>
          <w:bCs w:val="1"/>
          <w:color w:val="auto"/>
        </w:rPr>
      </w:pPr>
    </w:p>
    <w:p>
      <w:pPr>
        <w:jc w:val="both"/>
        <w:ind w:left="1300" w:firstLine="4"/>
        <w:spacing w:after="0" w:line="248" w:lineRule="auto"/>
        <w:tabs>
          <w:tab w:leader="none" w:pos="2044"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vesting and exercisability of each outstanding unvested stock option and other stock award, as applicable, that you hold covering Company common stock as of the date of your Enhanced Termination (each, an “</w:t>
      </w:r>
      <w:r>
        <w:rPr>
          <w:rFonts w:ascii="Times New Roman" w:cs="Times New Roman" w:eastAsia="Times New Roman" w:hAnsi="Times New Roman"/>
          <w:sz w:val="22"/>
          <w:szCs w:val="22"/>
          <w:b w:val="1"/>
          <w:bCs w:val="1"/>
          <w:i w:val="1"/>
          <w:iCs w:val="1"/>
          <w:color w:val="auto"/>
        </w:rPr>
        <w:t>Equity Award</w:t>
      </w:r>
      <w:r>
        <w:rPr>
          <w:rFonts w:ascii="Times New Roman" w:cs="Times New Roman" w:eastAsia="Times New Roman" w:hAnsi="Times New Roman"/>
          <w:sz w:val="22"/>
          <w:szCs w:val="22"/>
          <w:color w:val="auto"/>
        </w:rPr>
        <w:t>”) that is subject to time-vesting shall be accelerated in full and any reacquisition or repurchase rights held by the Company in respect of Company common stock issued pursuant to any time-vesting Equity Award granted to you shall lapse in full. To the extent your Enhanced Termination occurs prior to a Board Change (as defined in Section 4 of this Participation Agreement), the acceleration set forth in this Section 3(c) shall be contingent and effective upon the Board Change and your Equity Awards will remain outstanding following your Enhanced Termination to give effect to such acceleration as necessary. Any Equity Awards subject to performance-vesting shall vest and become exercisable according to their individual award agreements. Notwithstanding the foregoing, any vesting acceleration of Equity Awards pursuant to this Participation Agreement is subject to compliance with the applicable requirements of the Australian Securities</w:t>
      </w:r>
    </w:p>
    <w:p>
      <w:pPr>
        <w:sectPr>
          <w:pgSz w:w="11900" w:h="16838" w:orient="portrait"/>
          <w:cols w:equalWidth="0" w:num="1">
            <w:col w:w="11240"/>
          </w:cols>
          <w:pgMar w:left="320" w:top="1422" w:right="339" w:bottom="1440" w:gutter="0" w:footer="0" w:header="0"/>
        </w:sectPr>
      </w:pPr>
    </w:p>
    <w:bookmarkStart w:id="111" w:name="page112"/>
    <w:bookmarkEnd w:id="111"/>
    <w:p>
      <w:pPr>
        <w:ind w:left="1300" w:right="20"/>
        <w:spacing w:after="0" w:line="271" w:lineRule="auto"/>
        <w:rPr>
          <w:sz w:val="20"/>
          <w:szCs w:val="20"/>
          <w:color w:val="auto"/>
        </w:rPr>
      </w:pPr>
      <w:r>
        <w:rPr>
          <w:rFonts w:ascii="Times New Roman" w:cs="Times New Roman" w:eastAsia="Times New Roman" w:hAnsi="Times New Roman"/>
          <w:sz w:val="22"/>
          <w:szCs w:val="22"/>
          <w:color w:val="auto"/>
        </w:rPr>
        <w:t>Exchange Ltd (ASX) listing rules as of the effective date of the vesting acceleration (as determined by the Company in its sole discretion).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You shall not be eligible to receive any other benefits under the Plan except as described in this Section 3.</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no event shall you be entitled to benefits under both Section 2 and this Section 3. If you are eligible for severance benefits under both Section 2 and this Section 3, you shall receive the benefits set forth in Section 3 and such benefits shall be reduced by any benefits previously provided to you under Section 2.</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w:t>
      </w:r>
    </w:p>
    <w:p>
      <w:pPr>
        <w:spacing w:after="0" w:line="2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your participation in the Plan, the following definitions shall apply:</w:t>
      </w:r>
    </w:p>
    <w:p>
      <w:pPr>
        <w:spacing w:after="0" w:line="241" w:lineRule="exact"/>
        <w:rPr>
          <w:sz w:val="20"/>
          <w:szCs w:val="20"/>
          <w:color w:val="auto"/>
        </w:rPr>
      </w:pPr>
    </w:p>
    <w:p>
      <w:pPr>
        <w:ind w:left="1940" w:hanging="636"/>
        <w:spacing w:after="0"/>
        <w:tabs>
          <w:tab w:leader="none" w:pos="194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233" w:lineRule="exact"/>
        <w:rPr>
          <w:rFonts w:ascii="Times New Roman" w:cs="Times New Roman" w:eastAsia="Times New Roman" w:hAnsi="Times New Roman"/>
          <w:sz w:val="20"/>
          <w:szCs w:val="20"/>
          <w:b w:val="1"/>
          <w:bCs w:val="1"/>
          <w:color w:val="auto"/>
        </w:rPr>
      </w:pPr>
    </w:p>
    <w:p>
      <w:pPr>
        <w:jc w:val="both"/>
        <w:ind w:firstLine="1304"/>
        <w:spacing w:after="0" w:line="254" w:lineRule="auto"/>
        <w:tabs>
          <w:tab w:leader="none" w:pos="1943"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 Change</w:t>
      </w:r>
      <w:r>
        <w:rPr>
          <w:rFonts w:ascii="Times New Roman" w:cs="Times New Roman" w:eastAsia="Times New Roman" w:hAnsi="Times New Roman"/>
          <w:sz w:val="22"/>
          <w:szCs w:val="22"/>
          <w:color w:val="auto"/>
        </w:rPr>
        <w:t>” means if individuals who, on the date the Plan is adopted, are members of the Board (the “</w:t>
      </w:r>
      <w:r>
        <w:rPr>
          <w:rFonts w:ascii="Times New Roman" w:cs="Times New Roman" w:eastAsia="Times New Roman" w:hAnsi="Times New Roman"/>
          <w:sz w:val="22"/>
          <w:szCs w:val="22"/>
          <w:b w:val="1"/>
          <w:bCs w:val="1"/>
          <w:i w:val="1"/>
          <w:iCs w:val="1"/>
          <w:color w:val="auto"/>
        </w:rPr>
        <w:t>Incumbent Board</w:t>
      </w:r>
      <w:r>
        <w:rPr>
          <w:rFonts w:ascii="Times New Roman" w:cs="Times New Roman" w:eastAsia="Times New Roman" w:hAnsi="Times New Roman"/>
          <w:sz w:val="22"/>
          <w:szCs w:val="22"/>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73" w:lineRule="exact"/>
        <w:rPr>
          <w:rFonts w:ascii="Times New Roman" w:cs="Times New Roman" w:eastAsia="Times New Roman" w:hAnsi="Times New Roman"/>
          <w:sz w:val="20"/>
          <w:szCs w:val="20"/>
          <w:b w:val="1"/>
          <w:bCs w:val="1"/>
          <w:color w:val="auto"/>
        </w:rPr>
      </w:pPr>
    </w:p>
    <w:p>
      <w:pPr>
        <w:jc w:val="both"/>
        <w:ind w:firstLine="1304"/>
        <w:spacing w:after="0" w:line="266" w:lineRule="auto"/>
        <w:tabs>
          <w:tab w:leader="none" w:pos="1934"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Termination</w:t>
      </w:r>
      <w:r>
        <w:rPr>
          <w:rFonts w:ascii="Times New Roman" w:cs="Times New Roman" w:eastAsia="Times New Roman" w:hAnsi="Times New Roman"/>
          <w:sz w:val="22"/>
          <w:szCs w:val="22"/>
          <w:color w:val="auto"/>
        </w:rPr>
        <w:t>” means, with respect to an employee, a termination of employment that is due to a termination by the Company without Cause (and other than as a result of the employee’s death or Disability) which results in such employee’s Separation from Service.</w:t>
      </w:r>
    </w:p>
    <w:p>
      <w:pPr>
        <w:spacing w:after="0" w:line="157" w:lineRule="exact"/>
        <w:rPr>
          <w:rFonts w:ascii="Times New Roman" w:cs="Times New Roman" w:eastAsia="Times New Roman" w:hAnsi="Times New Roman"/>
          <w:sz w:val="20"/>
          <w:szCs w:val="20"/>
          <w:b w:val="1"/>
          <w:bCs w:val="1"/>
          <w:color w:val="auto"/>
        </w:rPr>
      </w:pPr>
    </w:p>
    <w:p>
      <w:pPr>
        <w:jc w:val="both"/>
        <w:ind w:firstLine="1304"/>
        <w:spacing w:after="0" w:line="266" w:lineRule="auto"/>
        <w:tabs>
          <w:tab w:leader="none" w:pos="1943"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Enhanced Termination</w:t>
      </w:r>
      <w:r>
        <w:rPr>
          <w:rFonts w:ascii="Times New Roman" w:cs="Times New Roman" w:eastAsia="Times New Roman" w:hAnsi="Times New Roman"/>
          <w:sz w:val="22"/>
          <w:szCs w:val="22"/>
          <w:color w:val="auto"/>
        </w:rPr>
        <w:t>” means with respect to an employee (1) the employee’s resignation for Good Reason that results in a Separation from Service or (2) any Covered Termination that occurs during the period commencing three months prior to and ending 12 months following a Board Change.</w:t>
      </w:r>
    </w:p>
    <w:p>
      <w:pPr>
        <w:spacing w:after="0" w:line="16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21"/>
          <w:szCs w:val="21"/>
          <w:b w:val="1"/>
          <w:bCs w:val="1"/>
          <w:color w:val="auto"/>
        </w:rPr>
        <w:t>Acknowledgements; Interaction with Prior Benefits.</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a condition to participation in the Plan, you hereby acknowledge each of the following:</w:t>
      </w:r>
    </w:p>
    <w:p>
      <w:pPr>
        <w:spacing w:after="0" w:line="260" w:lineRule="exact"/>
        <w:rPr>
          <w:sz w:val="20"/>
          <w:szCs w:val="20"/>
          <w:color w:val="auto"/>
        </w:rPr>
      </w:pPr>
    </w:p>
    <w:p>
      <w:pPr>
        <w:ind w:firstLine="1304"/>
        <w:spacing w:after="0" w:line="271" w:lineRule="auto"/>
        <w:tabs>
          <w:tab w:leader="none" w:pos="1932"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benefits that may be provided to you under this Participation Agreement are subject to certain reductions and termination under Section 2 and Section 3 of the Plan.</w:t>
      </w:r>
    </w:p>
    <w:p>
      <w:pPr>
        <w:spacing w:after="0" w:line="157" w:lineRule="exact"/>
        <w:rPr>
          <w:rFonts w:ascii="Times New Roman" w:cs="Times New Roman" w:eastAsia="Times New Roman" w:hAnsi="Times New Roman"/>
          <w:sz w:val="20"/>
          <w:szCs w:val="20"/>
          <w:b w:val="1"/>
          <w:bCs w:val="1"/>
          <w:color w:val="auto"/>
        </w:rPr>
      </w:pPr>
    </w:p>
    <w:p>
      <w:pPr>
        <w:jc w:val="both"/>
        <w:ind w:firstLine="1304"/>
        <w:spacing w:after="0" w:line="263" w:lineRule="auto"/>
        <w:tabs>
          <w:tab w:leader="none" w:pos="1943"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Your eligibility for and receipt of any severance benefits to which you may become entitled as described in Section 2 or Section 3 above is expressly contingent upon your execution of and compliance with the terms and conditions of the Plan, the Release and the</w:t>
      </w:r>
    </w:p>
    <w:p>
      <w:pPr>
        <w:sectPr>
          <w:pgSz w:w="11900" w:h="16838" w:orient="portrait"/>
          <w:cols w:equalWidth="0" w:num="1">
            <w:col w:w="11240"/>
          </w:cols>
          <w:pgMar w:left="320" w:top="1422" w:right="339" w:bottom="1440" w:gutter="0" w:footer="0" w:header="0"/>
        </w:sectPr>
      </w:pPr>
    </w:p>
    <w:bookmarkStart w:id="112" w:name="page113"/>
    <w:bookmarkEnd w:id="112"/>
    <w:p>
      <w:pPr>
        <w:spacing w:after="0" w:line="271" w:lineRule="auto"/>
        <w:rPr>
          <w:sz w:val="20"/>
          <w:szCs w:val="20"/>
          <w:color w:val="auto"/>
        </w:rPr>
      </w:pPr>
      <w:r>
        <w:rPr>
          <w:rFonts w:ascii="Times New Roman" w:cs="Times New Roman" w:eastAsia="Times New Roman" w:hAnsi="Times New Roman"/>
          <w:sz w:val="22"/>
          <w:szCs w:val="22"/>
          <w:color w:val="auto"/>
        </w:rPr>
        <w:t>Confidentiality Agreement. Severance benefits under this Participation Agreement shall immediately cease in the event of your violation of the provisions of Confidentiality Agreement or any other written agreement with the Company.</w:t>
      </w:r>
    </w:p>
    <w:p>
      <w:pPr>
        <w:spacing w:after="0" w:line="158" w:lineRule="exact"/>
        <w:rPr>
          <w:sz w:val="20"/>
          <w:szCs w:val="20"/>
          <w:color w:val="auto"/>
        </w:rPr>
      </w:pPr>
    </w:p>
    <w:p>
      <w:pPr>
        <w:jc w:val="both"/>
        <w:ind w:firstLine="1304"/>
        <w:spacing w:after="0" w:line="263" w:lineRule="auto"/>
        <w:tabs>
          <w:tab w:leader="none" w:pos="1934"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As further described in Section 2(c) of the Plan, this Participation Agreement and the Plan supersede and replace any change in control or severance benefits previously provided to you, including but not limited to any benefits under your employment or other written agreement or plan, and by executing below you expressly agree to such treatment.</w:t>
      </w:r>
    </w:p>
    <w:p>
      <w:pPr>
        <w:spacing w:after="0" w:line="167"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To accept the terms of this Participation Agreement and participate in the Plan, please sign and date this Participation Agreement in the space provided below and return it to _____________________ no later than _________, ____.</w:t>
      </w:r>
    </w:p>
    <w:p>
      <w:pPr>
        <w:sectPr>
          <w:pgSz w:w="11900" w:h="16838" w:orient="portrait"/>
          <w:cols w:equalWidth="0" w:num="1">
            <w:col w:w="11240"/>
          </w:cols>
          <w:pgMar w:left="320" w:top="1422" w:right="339" w:bottom="1440" w:gutter="0" w:footer="0" w:header="0"/>
        </w:sectPr>
      </w:pPr>
    </w:p>
    <w:bookmarkStart w:id="113" w:name="page114"/>
    <w:bookmarkEnd w:id="113"/>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Life360, Inc.</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Eligible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[Insert Name]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1714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i w:val="1"/>
          <w:iCs w:val="1"/>
          <w:color w:val="808080"/>
        </w:rPr>
        <w:t>Tier 3 Form</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Participation Agreement</w:t>
      </w:r>
    </w:p>
    <w:p>
      <w:pPr>
        <w:spacing w:after="0" w:line="23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Name:</w:t>
        <w:tab/>
        <w:t>___________________</w:t>
      </w:r>
    </w:p>
    <w:p>
      <w:pPr>
        <w:spacing w:after="0" w:line="22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21"/>
          <w:szCs w:val="21"/>
          <w:b w:val="1"/>
          <w:bCs w:val="1"/>
          <w:color w:val="auto"/>
        </w:rPr>
        <w:t>Eligibility.</w:t>
      </w:r>
    </w:p>
    <w:p>
      <w:pPr>
        <w:spacing w:after="0" w:line="2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You have been designated as eligible to participate in the Life360, Inc. Severance and Change in Control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 copy of which is attached to this Participation Agreement (the “</w:t>
      </w:r>
      <w:r>
        <w:rPr>
          <w:rFonts w:ascii="Times New Roman" w:cs="Times New Roman" w:eastAsia="Times New Roman" w:hAnsi="Times New Roman"/>
          <w:sz w:val="22"/>
          <w:szCs w:val="22"/>
          <w:b w:val="1"/>
          <w:bCs w:val="1"/>
          <w:i w:val="1"/>
          <w:iCs w:val="1"/>
          <w:color w:val="auto"/>
        </w:rPr>
        <w:t>Participation Agreement</w:t>
      </w:r>
      <w:r>
        <w:rPr>
          <w:rFonts w:ascii="Times New Roman" w:cs="Times New Roman" w:eastAsia="Times New Roman" w:hAnsi="Times New Roman"/>
          <w:sz w:val="22"/>
          <w:szCs w:val="22"/>
          <w:color w:val="auto"/>
        </w:rPr>
        <w:t>”). Capitalized terms not explicitly defined in this Participation Agreement but defined in the Plan shall have the same definitions as in the Plan. You will receive the benefits set forth below if you meet all the eligibility requirements set forth in the Plan and this Participation Agreement, including, without limitation, executing the required Release within the applicable time period set forth therein and allowing such Release to become effective in accordance with its terms. Notwithstanding the schedule for provision of benefits as set forth below, the schedule and timing of payment of any benefits under this Participant Agreement is subject to any delay in payment that may be required under Section 5 of the Plan.</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12.</w:t>
      </w:r>
      <w:r>
        <w:rPr>
          <w:sz w:val="20"/>
          <w:szCs w:val="20"/>
          <w:color w:val="auto"/>
        </w:rPr>
        <w:tab/>
      </w:r>
      <w:r>
        <w:rPr>
          <w:rFonts w:ascii="Times New Roman" w:cs="Times New Roman" w:eastAsia="Times New Roman" w:hAnsi="Times New Roman"/>
          <w:sz w:val="21"/>
          <w:szCs w:val="21"/>
          <w:b w:val="1"/>
          <w:bCs w:val="1"/>
          <w:color w:val="auto"/>
        </w:rPr>
        <w:t>Change in Control Severance Benefits.</w:t>
      </w:r>
    </w:p>
    <w:p>
      <w:pPr>
        <w:spacing w:after="0" w:line="2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If you are terminated in a Covered Termination (as defined below) that occurs during the Change in Control Period (a “</w:t>
      </w:r>
      <w:r>
        <w:rPr>
          <w:rFonts w:ascii="Times New Roman" w:cs="Times New Roman" w:eastAsia="Times New Roman" w:hAnsi="Times New Roman"/>
          <w:sz w:val="22"/>
          <w:szCs w:val="22"/>
          <w:b w:val="1"/>
          <w:bCs w:val="1"/>
          <w:i w:val="1"/>
          <w:iCs w:val="1"/>
          <w:color w:val="auto"/>
        </w:rPr>
        <w:t>CIC Covered Termination</w:t>
      </w:r>
      <w:r>
        <w:rPr>
          <w:rFonts w:ascii="Times New Roman" w:cs="Times New Roman" w:eastAsia="Times New Roman" w:hAnsi="Times New Roman"/>
          <w:sz w:val="22"/>
          <w:szCs w:val="22"/>
          <w:color w:val="auto"/>
        </w:rPr>
        <w:t>”), you will receive the severance benefits set forth in this Section 2. All severance benefits described herein are subject to standard deductions and withholdings. For purposes of your participation in the Plan, a “Covered Termination” shall have the following meaning:</w:t>
      </w:r>
    </w:p>
    <w:p>
      <w:pPr>
        <w:spacing w:after="0" w:line="17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Termination</w:t>
      </w:r>
      <w:r>
        <w:rPr>
          <w:rFonts w:ascii="Times New Roman" w:cs="Times New Roman" w:eastAsia="Times New Roman" w:hAnsi="Times New Roman"/>
          <w:sz w:val="22"/>
          <w:szCs w:val="22"/>
          <w:color w:val="auto"/>
        </w:rPr>
        <w:t>” means, with respect to an employee, a termination of employment that is due to a termination by the Company without Cause (and other than as a result of the employee’s death or Disability) which results in such employee’s Separation from Service</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jc w:val="both"/>
        <w:ind w:firstLine="1304"/>
        <w:spacing w:after="0" w:line="258" w:lineRule="auto"/>
        <w:tabs>
          <w:tab w:leader="none" w:pos="1932"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Base Salary. </w:t>
      </w:r>
      <w:r>
        <w:rPr>
          <w:rFonts w:ascii="Times New Roman" w:cs="Times New Roman" w:eastAsia="Times New Roman" w:hAnsi="Times New Roman"/>
          <w:sz w:val="22"/>
          <w:szCs w:val="22"/>
          <w:color w:val="auto"/>
        </w:rPr>
        <w:t>You shall receive a cash payment in an amount equal to four (4) months (the “</w:t>
      </w:r>
      <w:r>
        <w:rPr>
          <w:rFonts w:ascii="Times New Roman" w:cs="Times New Roman" w:eastAsia="Times New Roman" w:hAnsi="Times New Roman"/>
          <w:sz w:val="22"/>
          <w:szCs w:val="22"/>
          <w:b w:val="1"/>
          <w:bCs w:val="1"/>
          <w:i w:val="1"/>
          <w:iCs w:val="1"/>
          <w:color w:val="auto"/>
        </w:rPr>
        <w:t>Severance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Period</w:t>
      </w:r>
      <w:r>
        <w:rPr>
          <w:rFonts w:ascii="Times New Roman" w:cs="Times New Roman" w:eastAsia="Times New Roman" w:hAnsi="Times New Roman"/>
          <w:sz w:val="22"/>
          <w:szCs w:val="22"/>
          <w:color w:val="auto"/>
        </w:rPr>
        <w:t>”) of payment of your Base Salary. The Base Salary payment will be paid to you in a lump sum cash payment no later than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second regular payroll date following the later of (i) the effective date of the Release or (ii) the Closing, but in any event not later than March 15 of the year following the year in which your Separation from Service occurs.</w:t>
      </w:r>
    </w:p>
    <w:p>
      <w:pPr>
        <w:spacing w:after="0" w:line="169" w:lineRule="exact"/>
        <w:rPr>
          <w:rFonts w:ascii="Times New Roman" w:cs="Times New Roman" w:eastAsia="Times New Roman" w:hAnsi="Times New Roman"/>
          <w:sz w:val="20"/>
          <w:szCs w:val="20"/>
          <w:b w:val="1"/>
          <w:bCs w:val="1"/>
          <w:color w:val="auto"/>
        </w:rPr>
      </w:pPr>
    </w:p>
    <w:p>
      <w:pPr>
        <w:jc w:val="both"/>
        <w:ind w:firstLine="1304"/>
        <w:spacing w:after="0" w:line="258" w:lineRule="auto"/>
        <w:tabs>
          <w:tab w:leader="none" w:pos="1943"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Payment of Continued Group Health Plan Benefits</w:t>
      </w:r>
      <w:r>
        <w:rPr>
          <w:rFonts w:ascii="Times New Roman" w:cs="Times New Roman" w:eastAsia="Times New Roman" w:hAnsi="Times New Roman"/>
          <w:sz w:val="22"/>
          <w:szCs w:val="22"/>
          <w:color w:val="auto"/>
        </w:rPr>
        <w:t>. If you timely elect continued group health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continuation coverage under the Consolidated Omnibus Budget Reconciliation Act of 1985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following your CIC Covered Termination date, the Company shall pay directly to the carrier the full amount of your COBRA premiums on behalf of you for your continued coverage under the Company’s group health plans, including coverage</w:t>
      </w:r>
    </w:p>
    <w:p>
      <w:pPr>
        <w:sectPr>
          <w:pgSz w:w="11900" w:h="16838" w:orient="portrait"/>
          <w:cols w:equalWidth="0" w:num="1">
            <w:col w:w="11240"/>
          </w:cols>
          <w:pgMar w:left="320" w:top="1418" w:right="339" w:bottom="1440" w:gutter="0" w:footer="0" w:header="0"/>
        </w:sectPr>
      </w:pPr>
    </w:p>
    <w:bookmarkStart w:id="115" w:name="page116"/>
    <w:bookmarkEnd w:id="115"/>
    <w:p>
      <w:pPr>
        <w:jc w:val="both"/>
        <w:spacing w:after="0" w:line="262" w:lineRule="auto"/>
        <w:rPr>
          <w:sz w:val="20"/>
          <w:szCs w:val="20"/>
          <w:color w:val="auto"/>
        </w:rPr>
      </w:pPr>
      <w:r>
        <w:rPr>
          <w:rFonts w:ascii="Times New Roman" w:cs="Times New Roman" w:eastAsia="Times New Roman" w:hAnsi="Times New Roman"/>
          <w:sz w:val="21"/>
          <w:szCs w:val="21"/>
          <w:color w:val="auto"/>
        </w:rPr>
        <w:t>for your eligible dependents, until the earliest of (i) the end of the Severance Period following the date of your CIC Covered Termination, (ii) the expiration of your eligibility for the continuation coverage under COBRA, or (iii) the date when you become eligible for substantially equivalent health insurance coverage in connection with new employment (such period from your termination date through the earliest of (i) through (iii), the “</w:t>
      </w:r>
      <w:r>
        <w:rPr>
          <w:rFonts w:ascii="Times New Roman" w:cs="Times New Roman" w:eastAsia="Times New Roman" w:hAnsi="Times New Roman"/>
          <w:sz w:val="21"/>
          <w:szCs w:val="21"/>
          <w:b w:val="1"/>
          <w:bCs w:val="1"/>
          <w:i w:val="1"/>
          <w:iCs w:val="1"/>
          <w:color w:val="auto"/>
        </w:rPr>
        <w:t>COBRA Payment Period</w:t>
      </w:r>
      <w:r>
        <w:rPr>
          <w:rFonts w:ascii="Times New Roman" w:cs="Times New Roman" w:eastAsia="Times New Roman" w:hAnsi="Times New Roman"/>
          <w:sz w:val="21"/>
          <w:szCs w:val="21"/>
          <w:color w:val="auto"/>
        </w:rPr>
        <w:t>”). Upon the conclusion of such period of insurance premium payments made by the Company, you will be responsible for the entire payment of premiums (or payment for the cost of coverage) required under COBRA for the duration of your eligible COBRA coverage period, if any. For purposes of this Section, (1) references to COBRA shall be deemed to refer also to analogous provisions of state law and (2) any applicable insurance premiums that are paid by the Company shall not include any amounts payable by you under an Internal Revenue Code Section 125 health care reimbursement plan, which amounts, if any, are your sole responsibility. You agree to promptly notify the Company as soon as you become eligible for health insurance coverage in connection with new employment or self-employment.</w:t>
      </w:r>
    </w:p>
    <w:p>
      <w:pPr>
        <w:spacing w:after="0" w:line="17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Notwithstanding the foregoing, if at any time the Company determines, in its sole discretion, that it cannot provide the COBRA premium benefits without potentially incurring financial costs or penalties under applicable law (including, without limitation, Section 2716 of the Public Health Service Act), then in lieu of paying COBRA premiums directly to the carrier on your behalf, the Company will instead pay you on the last day of each remaining month of the COBRA Payment Period a fully taxable cash payment equal to the value of your monthly COBRA premium for the first month of COBRA coverage, subject to applicable tax withholding (such amount, the “</w:t>
      </w:r>
      <w:r>
        <w:rPr>
          <w:rFonts w:ascii="Times New Roman" w:cs="Times New Roman" w:eastAsia="Times New Roman" w:hAnsi="Times New Roman"/>
          <w:sz w:val="22"/>
          <w:szCs w:val="22"/>
          <w:b w:val="1"/>
          <w:bCs w:val="1"/>
          <w:i w:val="1"/>
          <w:iCs w:val="1"/>
          <w:color w:val="auto"/>
        </w:rPr>
        <w:t>Special Severance Payment</w:t>
      </w:r>
      <w:r>
        <w:rPr>
          <w:rFonts w:ascii="Times New Roman" w:cs="Times New Roman" w:eastAsia="Times New Roman" w:hAnsi="Times New Roman"/>
          <w:sz w:val="22"/>
          <w:szCs w:val="22"/>
          <w:color w:val="auto"/>
        </w:rPr>
        <w:t>”), such Special Severance Payment to be made without regard to your election of COBRA coverage or payment of COBRA premiums and without regard to your continued eligibility for COBRA coverage during the COBRA Payment Period. Such Special Severance Payment shall end upon expiration of the COBRA Payment Period.</w:t>
      </w:r>
    </w:p>
    <w:p>
      <w:pPr>
        <w:spacing w:after="0" w:line="195" w:lineRule="exact"/>
        <w:rPr>
          <w:sz w:val="20"/>
          <w:szCs w:val="20"/>
          <w:color w:val="auto"/>
        </w:rPr>
      </w:pPr>
    </w:p>
    <w:p>
      <w:pPr>
        <w:jc w:val="both"/>
        <w:ind w:firstLine="1304"/>
        <w:spacing w:after="0" w:line="249" w:lineRule="auto"/>
        <w:tabs>
          <w:tab w:leader="none" w:pos="1934"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Equity Acceleration</w:t>
      </w:r>
      <w:r>
        <w:rPr>
          <w:rFonts w:ascii="Times New Roman" w:cs="Times New Roman" w:eastAsia="Times New Roman" w:hAnsi="Times New Roman"/>
          <w:sz w:val="22"/>
          <w:szCs w:val="22"/>
          <w:color w:val="auto"/>
        </w:rPr>
        <w:t>. The vesting and exercisability of each outstanding unvested stock option and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award, as applicable, that you hold covering Company common stock as of the date of your CIC Covered Termination (each, an “</w:t>
      </w:r>
      <w:r>
        <w:rPr>
          <w:rFonts w:ascii="Times New Roman" w:cs="Times New Roman" w:eastAsia="Times New Roman" w:hAnsi="Times New Roman"/>
          <w:sz w:val="22"/>
          <w:szCs w:val="22"/>
          <w:b w:val="1"/>
          <w:bCs w:val="1"/>
          <w:i w:val="1"/>
          <w:iCs w:val="1"/>
          <w:color w:val="auto"/>
        </w:rPr>
        <w:t>Equity Award</w:t>
      </w:r>
      <w:r>
        <w:rPr>
          <w:rFonts w:ascii="Times New Roman" w:cs="Times New Roman" w:eastAsia="Times New Roman" w:hAnsi="Times New Roman"/>
          <w:sz w:val="22"/>
          <w:szCs w:val="22"/>
          <w:color w:val="auto"/>
        </w:rPr>
        <w:t>”) that is subject to time-vesting shall be accelerated in full and any reacquisition or repurchase rights held by the Company in respect of Company common stock issued pursuant to any time-vesting Equity Award granted to you shall lapse in full. To the extent your CIC Covered Termination occurs prior to the Change in Control, the acceleration set forth in this Section 2(c) shall be contingent and effective upon the Change in Control and your Equity Awards will remain outstanding following your CIC Covered Termination to give effect to such acceleration as necessary. Any Equity Awards subject to performance-vesting shall vest and become exercisable according to their individual award agreements. Notwithstanding the foregoing, any vesting acceleration of Equity Awards pursuant to this Participation Agreement is subject to compliance with the applicable requirements of the Australian Securities Exchange Ltd (ASX) listing rules as of the effective date of the vesting acceleration (as determined by the Company in its sole discretion).</w:t>
      </w:r>
    </w:p>
    <w:p>
      <w:pPr>
        <w:sectPr>
          <w:pgSz w:w="11900" w:h="16838" w:orient="portrait"/>
          <w:cols w:equalWidth="0" w:num="1">
            <w:col w:w="11240"/>
          </w:cols>
          <w:pgMar w:left="320" w:top="1422" w:right="339" w:bottom="1440" w:gutter="0" w:footer="0" w:header="0"/>
        </w:sectPr>
      </w:pPr>
    </w:p>
    <w:bookmarkStart w:id="116" w:name="page117"/>
    <w:bookmarkEnd w:id="116"/>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13.</w:t>
      </w:r>
      <w:r>
        <w:rPr>
          <w:sz w:val="20"/>
          <w:szCs w:val="20"/>
          <w:color w:val="auto"/>
        </w:rPr>
        <w:tab/>
      </w:r>
      <w:r>
        <w:rPr>
          <w:rFonts w:ascii="Times New Roman" w:cs="Times New Roman" w:eastAsia="Times New Roman" w:hAnsi="Times New Roman"/>
          <w:sz w:val="21"/>
          <w:szCs w:val="21"/>
          <w:b w:val="1"/>
          <w:bCs w:val="1"/>
          <w:color w:val="auto"/>
        </w:rPr>
        <w:t>Non-Change in Control Severance Benefits</w:t>
      </w:r>
      <w:r>
        <w:rPr>
          <w:rFonts w:ascii="Times New Roman" w:cs="Times New Roman" w:eastAsia="Times New Roman" w:hAnsi="Times New Roman"/>
          <w:sz w:val="21"/>
          <w:szCs w:val="21"/>
          <w:color w:val="auto"/>
        </w:rPr>
        <w:t>.</w:t>
      </w:r>
    </w:p>
    <w:p>
      <w:pPr>
        <w:spacing w:after="0" w:line="249" w:lineRule="exact"/>
        <w:rPr>
          <w:sz w:val="20"/>
          <w:szCs w:val="20"/>
          <w:color w:val="auto"/>
        </w:rPr>
      </w:pPr>
    </w:p>
    <w:p>
      <w:pPr>
        <w:ind w:firstLine="246"/>
        <w:spacing w:after="0" w:line="271" w:lineRule="auto"/>
        <w:rPr>
          <w:sz w:val="20"/>
          <w:szCs w:val="20"/>
          <w:color w:val="auto"/>
        </w:rPr>
      </w:pPr>
      <w:r>
        <w:rPr>
          <w:rFonts w:ascii="Times New Roman" w:cs="Times New Roman" w:eastAsia="Times New Roman" w:hAnsi="Times New Roman"/>
          <w:sz w:val="22"/>
          <w:szCs w:val="22"/>
          <w:color w:val="auto"/>
        </w:rPr>
        <w:t>If you are terminated in a Covered Termination that occurs at a time that is not during the Change in Control Period, you will receive:</w:t>
      </w:r>
    </w:p>
    <w:p>
      <w:pPr>
        <w:spacing w:after="0" w:line="158" w:lineRule="exact"/>
        <w:rPr>
          <w:sz w:val="20"/>
          <w:szCs w:val="20"/>
          <w:color w:val="auto"/>
        </w:rPr>
      </w:pPr>
    </w:p>
    <w:p>
      <w:pPr>
        <w:ind w:left="1940" w:hanging="636"/>
        <w:spacing w:after="0"/>
        <w:tabs>
          <w:tab w:leader="none" w:pos="194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base salary cash payment described in Section 2(a) above; and</w:t>
      </w:r>
    </w:p>
    <w:p>
      <w:pPr>
        <w:spacing w:after="0" w:line="233" w:lineRule="exact"/>
        <w:rPr>
          <w:rFonts w:ascii="Times New Roman" w:cs="Times New Roman" w:eastAsia="Times New Roman" w:hAnsi="Times New Roman"/>
          <w:sz w:val="20"/>
          <w:szCs w:val="20"/>
          <w:b w:val="1"/>
          <w:bCs w:val="1"/>
          <w:color w:val="auto"/>
        </w:rPr>
      </w:pPr>
    </w:p>
    <w:p>
      <w:pPr>
        <w:ind w:left="1960" w:hanging="656"/>
        <w:spacing w:after="0"/>
        <w:tabs>
          <w:tab w:leader="none" w:pos="196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COBRA benefits described in Section 2(b) above.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You shall not be eligible to receive any other benefits under the Plan except as described in Section 2(a) and Section 2(b)</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no event shall you be entitled to benefits under both Section 2 and this Section 3. If you are eligible for severance benefits under both Section 2 and this Section 3, you shall receive the benefits set forth in Section 2 and such benefits shall be reduced by any benefits previously provided to you under Section 3.</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14.</w:t>
      </w:r>
      <w:r>
        <w:rPr>
          <w:sz w:val="20"/>
          <w:szCs w:val="20"/>
          <w:color w:val="auto"/>
        </w:rPr>
        <w:tab/>
      </w:r>
      <w:r>
        <w:rPr>
          <w:rFonts w:ascii="Times New Roman" w:cs="Times New Roman" w:eastAsia="Times New Roman" w:hAnsi="Times New Roman"/>
          <w:sz w:val="21"/>
          <w:szCs w:val="21"/>
          <w:b w:val="1"/>
          <w:bCs w:val="1"/>
          <w:color w:val="auto"/>
        </w:rPr>
        <w:t>Acknowledgements; Interaction with Prior Benefits.</w:t>
      </w:r>
    </w:p>
    <w:p>
      <w:pPr>
        <w:spacing w:after="0" w:line="2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a condition to participation in the Plan, you hereby acknowledge each of the following:</w:t>
      </w:r>
    </w:p>
    <w:p>
      <w:pPr>
        <w:spacing w:after="0" w:line="247" w:lineRule="exact"/>
        <w:rPr>
          <w:sz w:val="20"/>
          <w:szCs w:val="20"/>
          <w:color w:val="auto"/>
        </w:rPr>
      </w:pPr>
    </w:p>
    <w:p>
      <w:pPr>
        <w:ind w:firstLine="1304"/>
        <w:spacing w:after="0" w:line="271" w:lineRule="auto"/>
        <w:tabs>
          <w:tab w:leader="none" w:pos="1932"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benefits that may be provided to you under this Participation Agreement are subject to certain reductions and termination under Section 2 and Section 3 of the Plan.</w:t>
      </w:r>
    </w:p>
    <w:p>
      <w:pPr>
        <w:spacing w:after="0" w:line="171" w:lineRule="exact"/>
        <w:rPr>
          <w:rFonts w:ascii="Times New Roman" w:cs="Times New Roman" w:eastAsia="Times New Roman" w:hAnsi="Times New Roman"/>
          <w:sz w:val="20"/>
          <w:szCs w:val="20"/>
          <w:b w:val="1"/>
          <w:bCs w:val="1"/>
          <w:color w:val="auto"/>
        </w:rPr>
      </w:pPr>
    </w:p>
    <w:p>
      <w:pPr>
        <w:jc w:val="both"/>
        <w:ind w:firstLine="1304"/>
        <w:spacing w:after="0" w:line="253" w:lineRule="auto"/>
        <w:tabs>
          <w:tab w:leader="none" w:pos="1943"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Your eligibility for and receipt of any severance benefits to which you may become entitled as described in Section 2 or Section 3 above is expressly contingent upon your execution of and compliance with the terms and conditions of the Plan, the Release and the Confidentiality Agreement. Severance benefits under this Participation Agreement shall immediately cease in the event of your violation of the provisions of Confidentiality Agreement or any other written agreement with the Company.</w:t>
      </w:r>
    </w:p>
    <w:p>
      <w:pPr>
        <w:spacing w:after="0" w:line="178" w:lineRule="exact"/>
        <w:rPr>
          <w:rFonts w:ascii="Times New Roman" w:cs="Times New Roman" w:eastAsia="Times New Roman" w:hAnsi="Times New Roman"/>
          <w:sz w:val="20"/>
          <w:szCs w:val="20"/>
          <w:b w:val="1"/>
          <w:bCs w:val="1"/>
          <w:color w:val="auto"/>
        </w:rPr>
      </w:pPr>
    </w:p>
    <w:p>
      <w:pPr>
        <w:jc w:val="both"/>
        <w:ind w:firstLine="1304"/>
        <w:spacing w:after="0" w:line="263" w:lineRule="auto"/>
        <w:tabs>
          <w:tab w:leader="none" w:pos="1934"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As further described in Section 2(c) of the Plan, this Participation Agreement and the Plan supersede and replace any change in control or severance benefits previously provided to you, including but not limited to any benefits under your employment or other written agreement or plan, and by executing below you expressly agree to such treatment.</w:t>
      </w:r>
    </w:p>
    <w:p>
      <w:pPr>
        <w:spacing w:after="0" w:line="16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To accept the terms of this Participation Agreement and participate in the Plan, please sign and date this Participation Agreement in the space provided below and return it to _____________________ no later than _________, ____.</w:t>
      </w:r>
    </w:p>
    <w:p>
      <w:pPr>
        <w:sectPr>
          <w:pgSz w:w="11900" w:h="16838" w:orient="portrait"/>
          <w:cols w:equalWidth="0" w:num="1">
            <w:col w:w="11240"/>
          </w:cols>
          <w:pgMar w:left="320" w:top="1418" w:right="339" w:bottom="1440" w:gutter="0" w:footer="0" w:header="0"/>
        </w:sectPr>
      </w:pPr>
    </w:p>
    <w:bookmarkStart w:id="117" w:name="page118"/>
    <w:bookmarkEnd w:id="117"/>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Life360, Inc.</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37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Eligible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137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[Insert Name]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1714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between Life360, Inc., a corporation organized under the laws of the State of Delaware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Russell Burke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(the Company and Executive is sometimes collectively referred to herein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sets forth the terms and conditions that shall govern Executive’s employment with the Company.</w:t>
      </w:r>
    </w:p>
    <w:p>
      <w:pPr>
        <w:spacing w:after="0" w:line="172"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xml:space="preserve">. Capitalized terms not otherwise defined shall have the meanings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Executive will commence full-time employment with the Company effective as of May 11, 2020 or such earlier date as agreed upon between the Executive and the Company (the actual date Executive commences employment,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is an “At Will” employment agreement. Nothing in the Company’s policies, actions, or this document shall be construed to alter the “At Will” nature of Executive’s status with Company, and Executive understands that Employer may terminate his employment at any time for any reason or for no reason, provided it is not terminated in violation of state or federal law. Similarly, the Executive may terminate his employment at any time and for any or for no reason. The term of this Agreement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begins on the Effective Date and ends on either (i) the date Executive voluntarily terminates his employment or (ii) the date the Company terminates Executive’s employment.</w:t>
      </w:r>
    </w:p>
    <w:p>
      <w:pPr>
        <w:spacing w:after="0" w:line="19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w:t>
      </w:r>
      <w:r>
        <w:rPr>
          <w:rFonts w:ascii="Times New Roman" w:cs="Times New Roman" w:eastAsia="Times New Roman" w:hAnsi="Times New Roman"/>
          <w:sz w:val="22"/>
          <w:szCs w:val="22"/>
          <w:color w:val="auto"/>
        </w:rPr>
        <w:t>. During the Term, Executive shall serve as the Company’s Chief Financial Officer. Executive shall report directly to the Company’s Chief Executive Officer (the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In such capacity, Executive shall have the duties, functions, responsibilities, and authority customarily appertaining to that position and shall have such other duties, functions, responsibilities, and authority consistent with such position as are from time to time delegated to him by the CEO.</w:t>
      </w:r>
    </w:p>
    <w:p>
      <w:pPr>
        <w:spacing w:after="0" w:line="192"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9"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xml:space="preserve">. Executive shall have supervision, control over, and responsibility for the day-to-day business and affairs of the Company and shall have such other powers and duties as may from time to time be prescribed by the CEO, provided that such supervision, control over, responsibilities and duties are consistent with Executive’s position or other positions that he may hold from time to time. Executive shall devote substantially all of his business time and attention to the performance of Executive’s duties hereunder and to the Company’s affairs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nothing herein shall preclude Executive from (i) serving on the board of directors of four (4) for-profit or non-profit companies that do not compete with the Company in the judgment of the CEO; (ii) serving on civic or charitable boards or committees; and/or (iii) managing personal investments, so long as all such activities described in clauses (i) through (iii) above do not unreasonably interfere with Executive’s performance of his duties to the Company as provided in this Agreement and, in the case of the activities described in clauses (i) and (ii), are disclosed to the CEO.</w:t>
      </w:r>
    </w:p>
    <w:p>
      <w:pPr>
        <w:sectPr>
          <w:pgSz w:w="11900" w:h="16838" w:orient="portrait"/>
          <w:cols w:equalWidth="0" w:num="1">
            <w:col w:w="11240"/>
          </w:cols>
          <w:pgMar w:left="320" w:top="122" w:right="339" w:bottom="1440" w:gutter="0" w:footer="0" w:header="0"/>
        </w:sectPr>
      </w:pPr>
    </w:p>
    <w:bookmarkStart w:id="119" w:name="page120"/>
    <w:bookmarkEnd w:id="119"/>
    <w:p>
      <w:pPr>
        <w:jc w:val="both"/>
        <w:ind w:left="-656" w:firstLine="1304"/>
        <w:spacing w:after="0" w:line="256" w:lineRule="auto"/>
        <w:tabs>
          <w:tab w:leader="none" w:pos="1285"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Principal Place of Employment</w:t>
      </w:r>
      <w:r>
        <w:rPr>
          <w:rFonts w:ascii="Times New Roman" w:cs="Times New Roman" w:eastAsia="Times New Roman" w:hAnsi="Times New Roman"/>
          <w:sz w:val="22"/>
          <w:szCs w:val="22"/>
          <w:color w:val="auto"/>
        </w:rPr>
        <w:t>. Executive’s initial principal place of employment during the Term shall be 539 Bryant, Suite 402, San Francisco, CA 94107, or as shall be designated by the CEO, subject to the terms and conditions of this Agreement. The Parties acknowledge that Executive may be required to travel in connection with the performance of his duties hereunder.</w:t>
      </w:r>
    </w:p>
    <w:p>
      <w:pPr>
        <w:spacing w:after="0" w:line="176" w:lineRule="exact"/>
        <w:rPr>
          <w:rFonts w:ascii="Times New Roman" w:cs="Times New Roman" w:eastAsia="Times New Roman" w:hAnsi="Times New Roman"/>
          <w:sz w:val="22"/>
          <w:szCs w:val="22"/>
          <w:color w:val="auto"/>
        </w:rPr>
      </w:pPr>
    </w:p>
    <w:p>
      <w:pPr>
        <w:ind w:left="-656" w:firstLine="1304"/>
        <w:spacing w:after="0" w:line="271" w:lineRule="auto"/>
        <w:tabs>
          <w:tab w:leader="none" w:pos="1283"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Policies</w:t>
      </w:r>
      <w:r>
        <w:rPr>
          <w:rFonts w:ascii="Times New Roman" w:cs="Times New Roman" w:eastAsia="Times New Roman" w:hAnsi="Times New Roman"/>
          <w:sz w:val="22"/>
          <w:szCs w:val="22"/>
          <w:color w:val="auto"/>
        </w:rPr>
        <w:t>. During the Term, Executive shall be subject to all of the Company’s corporate governance, ethics, and executive compensation and other policies as in effect from time to time.</w:t>
      </w:r>
    </w:p>
    <w:p>
      <w:pPr>
        <w:spacing w:after="0" w:line="157" w:lineRule="exact"/>
        <w:rPr>
          <w:rFonts w:ascii="Times New Roman" w:cs="Times New Roman" w:eastAsia="Times New Roman" w:hAnsi="Times New Roman"/>
          <w:sz w:val="22"/>
          <w:szCs w:val="22"/>
          <w:color w:val="auto"/>
        </w:rPr>
      </w:pPr>
    </w:p>
    <w:p>
      <w:pPr>
        <w:jc w:val="both"/>
        <w:ind w:left="-656" w:firstLine="1304"/>
        <w:spacing w:after="0" w:line="263" w:lineRule="auto"/>
        <w:tabs>
          <w:tab w:leader="none" w:pos="1285"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Benefits, Other Items Applicable to Executive</w:t>
      </w:r>
      <w:r>
        <w:rPr>
          <w:rFonts w:ascii="Times New Roman" w:cs="Times New Roman" w:eastAsia="Times New Roman" w:hAnsi="Times New Roman"/>
          <w:sz w:val="22"/>
          <w:szCs w:val="22"/>
          <w:color w:val="auto"/>
        </w:rPr>
        <w:t>. During the Term, Executive shall be entitled to the compensation and benefits described in Sections 4, 5 and 6 of this Agreement, in addition to any other compensation agreed to between Executive and the Company.</w:t>
      </w:r>
    </w:p>
    <w:p>
      <w:pPr>
        <w:spacing w:after="0" w:line="167"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56" w:firstLine="1304"/>
        <w:spacing w:after="0" w:line="252" w:lineRule="auto"/>
        <w:tabs>
          <w:tab w:leader="none" w:pos="1285"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Executive shall receive an annual base salary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of three hundred thousand dollars ($300,000), payable in regular installments in accordance with the Company’s usual payroll practices. Executive’s Base Salary is subject to annual review and may, in the Company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discretion, be increased or decreased. As so adjusted, the term “Base Salary” shall refer to the adjusted amount.</w:t>
      </w:r>
    </w:p>
    <w:p>
      <w:pPr>
        <w:spacing w:after="0" w:line="192" w:lineRule="exact"/>
        <w:rPr>
          <w:rFonts w:ascii="Times New Roman" w:cs="Times New Roman" w:eastAsia="Times New Roman" w:hAnsi="Times New Roman"/>
          <w:sz w:val="22"/>
          <w:szCs w:val="22"/>
          <w:color w:val="auto"/>
        </w:rPr>
      </w:pPr>
    </w:p>
    <w:p>
      <w:pPr>
        <w:jc w:val="both"/>
        <w:ind w:left="-656" w:firstLine="1304"/>
        <w:spacing w:after="0" w:line="247" w:lineRule="auto"/>
        <w:tabs>
          <w:tab w:leader="none" w:pos="1283"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Bonus</w:t>
      </w:r>
      <w:r>
        <w:rPr>
          <w:rFonts w:ascii="Times New Roman" w:cs="Times New Roman" w:eastAsia="Times New Roman" w:hAnsi="Times New Roman"/>
          <w:sz w:val="22"/>
          <w:szCs w:val="22"/>
          <w:color w:val="auto"/>
        </w:rPr>
        <w:t>. During the Term, Executive shall also be eligible to earn a performance bonus (the “</w:t>
      </w:r>
      <w:r>
        <w:rPr>
          <w:rFonts w:ascii="Times New Roman" w:cs="Times New Roman" w:eastAsia="Times New Roman" w:hAnsi="Times New Roman"/>
          <w:sz w:val="22"/>
          <w:szCs w:val="22"/>
          <w:u w:val="single" w:color="auto"/>
          <w:color w:val="auto"/>
        </w:rPr>
        <w:t>Annual Performance Bonus</w:t>
      </w:r>
      <w:r>
        <w:rPr>
          <w:rFonts w:ascii="Times New Roman" w:cs="Times New Roman" w:eastAsia="Times New Roman" w:hAnsi="Times New Roman"/>
          <w:sz w:val="22"/>
          <w:szCs w:val="22"/>
          <w:color w:val="auto"/>
        </w:rPr>
        <w:t>”) of up to $100,000 at target performance (the “</w:t>
      </w:r>
      <w:r>
        <w:rPr>
          <w:rFonts w:ascii="Times New Roman" w:cs="Times New Roman" w:eastAsia="Times New Roman" w:hAnsi="Times New Roman"/>
          <w:sz w:val="22"/>
          <w:szCs w:val="22"/>
          <w:u w:val="single" w:color="auto"/>
          <w:color w:val="auto"/>
        </w:rPr>
        <w:t>Target Bonus Amount</w:t>
      </w:r>
      <w:r>
        <w:rPr>
          <w:rFonts w:ascii="Times New Roman" w:cs="Times New Roman" w:eastAsia="Times New Roman" w:hAnsi="Times New Roman"/>
          <w:sz w:val="22"/>
          <w:szCs w:val="22"/>
          <w:color w:val="auto"/>
        </w:rPr>
        <w:t>”) each year during the Term based (i) 50% upon certain individual qualitative performance and (ii) 50% upon certain quantitative Company performance goals, in each case, to be determined in the Company’s and/or the Board’s discretion (the “</w:t>
      </w:r>
      <w:r>
        <w:rPr>
          <w:rFonts w:ascii="Times New Roman" w:cs="Times New Roman" w:eastAsia="Times New Roman" w:hAnsi="Times New Roman"/>
          <w:sz w:val="22"/>
          <w:szCs w:val="22"/>
          <w:u w:val="single" w:color="auto"/>
          <w:color w:val="auto"/>
        </w:rPr>
        <w:t>Performance Bonus</w:t>
      </w:r>
      <w:r>
        <w:rPr>
          <w:rFonts w:ascii="Times New Roman" w:cs="Times New Roman" w:eastAsia="Times New Roman" w:hAnsi="Times New Roman"/>
          <w:sz w:val="22"/>
          <w:szCs w:val="22"/>
          <w:color w:val="auto"/>
        </w:rPr>
        <w:t>”). For superior performance, the Annual Bonus may payout above the Target Bonus Amount, up to a maximum of 200% of the Target Bonus Amount. The Board will determine whether Executive have earned such Annual Performance Bonus in its sole and absolute discretion, which determination will be final and binding. The Annual Performance Bonus will be paid, if at all, following the Company’s completion of its semi-annual review process but no later than August 31 and February 28 of each year, provided Executive will not be eligible to earn any such bonus unless Executive is employed by the Company on the date when such bonus is paid.</w:t>
      </w:r>
    </w:p>
    <w:p>
      <w:pPr>
        <w:spacing w:after="0" w:line="204"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p>
    <w:p>
      <w:pPr>
        <w:spacing w:after="0" w:line="219" w:lineRule="exact"/>
        <w:rPr>
          <w:rFonts w:ascii="Times New Roman" w:cs="Times New Roman" w:eastAsia="Times New Roman" w:hAnsi="Times New Roman"/>
          <w:sz w:val="22"/>
          <w:szCs w:val="22"/>
          <w:color w:val="auto"/>
        </w:rPr>
      </w:pPr>
    </w:p>
    <w:p>
      <w:pPr>
        <w:jc w:val="both"/>
        <w:ind w:left="-656" w:firstLine="1304"/>
        <w:spacing w:after="0" w:line="250" w:lineRule="auto"/>
        <w:tabs>
          <w:tab w:leader="none" w:pos="1285"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Stock Option</w:t>
      </w:r>
      <w:r>
        <w:rPr>
          <w:rFonts w:ascii="Times New Roman" w:cs="Times New Roman" w:eastAsia="Times New Roman" w:hAnsi="Times New Roman"/>
          <w:sz w:val="22"/>
          <w:szCs w:val="22"/>
          <w:color w:val="auto"/>
        </w:rPr>
        <w:t>. Company management will recommend to the Board that Executive be granted an incentive stock option entitling Executive to purchase a number of shares of the Company’s common stock equivalent to 0.5% of the Company’s fully diluted share count based on the treasury stock method as of the Effective Date (the “</w:t>
      </w:r>
      <w:r>
        <w:rPr>
          <w:rFonts w:ascii="Times New Roman" w:cs="Times New Roman" w:eastAsia="Times New Roman" w:hAnsi="Times New Roman"/>
          <w:sz w:val="22"/>
          <w:szCs w:val="22"/>
          <w:u w:val="single" w:color="auto"/>
          <w:color w:val="auto"/>
        </w:rPr>
        <w:t>Initial Option</w:t>
      </w:r>
      <w:r>
        <w:rPr>
          <w:rFonts w:ascii="Times New Roman" w:cs="Times New Roman" w:eastAsia="Times New Roman" w:hAnsi="Times New Roman"/>
          <w:sz w:val="22"/>
          <w:szCs w:val="22"/>
          <w:color w:val="auto"/>
        </w:rPr>
        <w:t>”). The Initial Option shall vest and become exercisable pursuant to a 48 month vesting schedule which will provide that 1/4th of the shares subject to the Initial Option shall become vested and</w:t>
      </w:r>
    </w:p>
    <w:p>
      <w:pPr>
        <w:sectPr>
          <w:pgSz w:w="11900" w:h="16838" w:orient="portrait"/>
          <w:cols w:equalWidth="0" w:num="1">
            <w:col w:w="10584"/>
          </w:cols>
          <w:pgMar w:left="976" w:top="1422" w:right="339" w:bottom="1440" w:gutter="0" w:footer="0" w:header="0"/>
        </w:sectPr>
      </w:pPr>
    </w:p>
    <w:bookmarkStart w:id="120" w:name="page121"/>
    <w:bookmarkEnd w:id="120"/>
    <w:p>
      <w:pPr>
        <w:jc w:val="both"/>
        <w:spacing w:after="0" w:line="257" w:lineRule="auto"/>
        <w:rPr>
          <w:sz w:val="20"/>
          <w:szCs w:val="20"/>
          <w:color w:val="auto"/>
        </w:rPr>
      </w:pPr>
      <w:r>
        <w:rPr>
          <w:rFonts w:ascii="Times New Roman" w:cs="Times New Roman" w:eastAsia="Times New Roman" w:hAnsi="Times New Roman"/>
          <w:sz w:val="22"/>
          <w:szCs w:val="22"/>
          <w:color w:val="auto"/>
        </w:rPr>
        <w:t>exercisable after twelve (12) months of continuous service with the Company, and 1/48th of the shares subject to the Initial Option shall vest and become exercisable as and when Executive completes each month of continuous service with the Company thereafter.</w:t>
      </w:r>
    </w:p>
    <w:p>
      <w:pPr>
        <w:spacing w:after="0" w:line="186" w:lineRule="exact"/>
        <w:rPr>
          <w:sz w:val="20"/>
          <w:szCs w:val="20"/>
          <w:color w:val="auto"/>
        </w:rPr>
      </w:pPr>
    </w:p>
    <w:p>
      <w:pPr>
        <w:jc w:val="both"/>
        <w:ind w:firstLine="1304"/>
        <w:spacing w:after="0" w:line="247" w:lineRule="auto"/>
        <w:tabs>
          <w:tab w:leader="none" w:pos="193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 Stock Option</w:t>
      </w:r>
      <w:r>
        <w:rPr>
          <w:rFonts w:ascii="Times New Roman" w:cs="Times New Roman" w:eastAsia="Times New Roman" w:hAnsi="Times New Roman"/>
          <w:sz w:val="22"/>
          <w:szCs w:val="22"/>
          <w:color w:val="auto"/>
        </w:rPr>
        <w:t>. In addition to the Initial Option, the Company management will recommend to the Board that Executive be granted a second incentive stock option entitling Executive to purchase an additional number of shares of the Company’s common stock equivalent to 0.5% of the Company’s fully diluted share count based on the treasury stock method as of the Effective Date (the “</w:t>
      </w:r>
      <w:r>
        <w:rPr>
          <w:rFonts w:ascii="Times New Roman" w:cs="Times New Roman" w:eastAsia="Times New Roman" w:hAnsi="Times New Roman"/>
          <w:sz w:val="22"/>
          <w:szCs w:val="22"/>
          <w:u w:val="single" w:color="auto"/>
          <w:color w:val="auto"/>
        </w:rPr>
        <w:t>Second Option</w:t>
      </w:r>
      <w:r>
        <w:rPr>
          <w:rFonts w:ascii="Times New Roman" w:cs="Times New Roman" w:eastAsia="Times New Roman" w:hAnsi="Times New Roman"/>
          <w:sz w:val="22"/>
          <w:szCs w:val="22"/>
          <w:color w:val="auto"/>
        </w:rPr>
        <w:t>”). The Second Option shall vest and become exercisable pursuant to a 48 month vesting schedule which will provide that 1/4th of the shares subject to the Second Option shall become vested and exercisable after twelve (12) months of continuous service with the Company following the grant date of the Second Option, and 1/48th of the shares subject to the Second Option shall vest and become exercisable as and when Executive completes each month of continuous service with the Company thereafter; provided, however, that no portion of the Second Option shall vest and the entire Second Option shall be forfeited in its entirety for no consideration unless, within the twelve (12) month period following the Effective Date (the “</w:t>
      </w:r>
      <w:r>
        <w:rPr>
          <w:rFonts w:ascii="Times New Roman" w:cs="Times New Roman" w:eastAsia="Times New Roman" w:hAnsi="Times New Roman"/>
          <w:sz w:val="22"/>
          <w:szCs w:val="22"/>
          <w:u w:val="single" w:color="auto"/>
          <w:color w:val="auto"/>
        </w:rPr>
        <w:t>Measurement Period</w:t>
      </w:r>
      <w:r>
        <w:rPr>
          <w:rFonts w:ascii="Times New Roman" w:cs="Times New Roman" w:eastAsia="Times New Roman" w:hAnsi="Times New Roman"/>
          <w:sz w:val="22"/>
          <w:szCs w:val="22"/>
          <w:color w:val="auto"/>
        </w:rPr>
        <w:t>”), the weighted average trading price (as reported on the Australian Stock Exchange) of a CHESS Depositary Interest (CDI) with respect to the Company over any thirty (30) consecutive calendar days during the Measurement Period equals or exceeds A$4.79 (the offering price of a CDI on the date of the Company’s Initial Public Offering in Australian dollars).</w:t>
      </w:r>
    </w:p>
    <w:p>
      <w:pPr>
        <w:spacing w:after="0" w:line="19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Terms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The exercise price per share of the Initial Option and the Second Option (collectively, the “</w:t>
      </w: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will be equal to the fair market value per share of the Company’s common stock on the date the Options are granted, as determined by the Board in good faith. The Options will be subject to the terms and conditions applicable to stock options granted under the Company’s Amended and Restated 2011 Stock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as described in that Plan and the applicable stock option agreement, which Executive will be required to accept.</w:t>
      </w:r>
    </w:p>
    <w:p>
      <w:pPr>
        <w:spacing w:after="0" w:line="178"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86"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Notwithstanding anything stated herein, subject to the ASX listing rules, if a Change of Control (as defined in the Plan) occurs and following such Change of Control, Executive’s job or compensation would materially and adversely change relative to the job or compensation, as applicable, in effect prior to such Change of Control (but not in the event of Executive’s termination or other circumstances), then effective as such Change of Control, the vesting of all Options held by Executive shall accelerate such that 50% of the shares subject to all of the Options (as applied on an Option-by-Option basis) that are unvested as of such termination will become vested (not to exceed 100% of the shares subject to all of the Options granted to Executive); provided, however, if the successor to the Company or any affiliate of such successor does not agree to assume, substitute or otherwise continue any awards of Options at the time of a Change of Control (and if offered new or continued employment with such acquirer or successor, Executive does not voluntarily resign without Good Reason), then 100% of the then unvested shares subject to the awards of Options</w:t>
      </w:r>
    </w:p>
    <w:p>
      <w:pPr>
        <w:sectPr>
          <w:pgSz w:w="11900" w:h="16838" w:orient="portrait"/>
          <w:cols w:equalWidth="0" w:num="1">
            <w:col w:w="11240"/>
          </w:cols>
          <w:pgMar w:left="320" w:top="1422" w:right="339" w:bottom="1440" w:gutter="0" w:footer="0" w:header="0"/>
        </w:sectPr>
      </w:pPr>
    </w:p>
    <w:bookmarkStart w:id="121" w:name="page122"/>
    <w:bookmarkEnd w:id="121"/>
    <w:p>
      <w:pPr>
        <w:spacing w:after="0" w:line="271" w:lineRule="auto"/>
        <w:rPr>
          <w:sz w:val="20"/>
          <w:szCs w:val="20"/>
          <w:color w:val="auto"/>
        </w:rPr>
      </w:pPr>
      <w:r>
        <w:rPr>
          <w:rFonts w:ascii="Times New Roman" w:cs="Times New Roman" w:eastAsia="Times New Roman" w:hAnsi="Times New Roman"/>
          <w:sz w:val="22"/>
          <w:szCs w:val="22"/>
          <w:color w:val="auto"/>
        </w:rPr>
        <w:t>that are not assumed or substituted for, as applicable, shall fully vest and, if applicable, become exercisable immediately prior to, and contingent upon, the consummation of such Change of Control.</w:t>
      </w:r>
    </w:p>
    <w:p>
      <w:pPr>
        <w:spacing w:after="0" w:line="158" w:lineRule="exact"/>
        <w:rPr>
          <w:sz w:val="20"/>
          <w:szCs w:val="20"/>
          <w:color w:val="auto"/>
        </w:rPr>
      </w:pPr>
    </w:p>
    <w:p>
      <w:pPr>
        <w:jc w:val="both"/>
        <w:ind w:firstLine="1952"/>
        <w:spacing w:after="0" w:line="281" w:lineRule="auto"/>
        <w:tabs>
          <w:tab w:leader="none" w:pos="2592" w:val="left"/>
        </w:tabs>
        <w:numPr>
          <w:ilvl w:val="2"/>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Regulatory Requirements</w:t>
      </w:r>
      <w:r>
        <w:rPr>
          <w:rFonts w:ascii="Times New Roman" w:cs="Times New Roman" w:eastAsia="Times New Roman" w:hAnsi="Times New Roman"/>
          <w:sz w:val="21"/>
          <w:szCs w:val="21"/>
          <w:color w:val="auto"/>
        </w:rPr>
        <w:t>. If the grant of the Second Option would violate any regulatory provisions, including, without limitation, any regulations with respect to the Australian Securities Exchange, then Executive and the Company shall, in good faith, consider alternative arrangements designed to provide similar economic value to the Executive.</w:t>
      </w:r>
    </w:p>
    <w:p>
      <w:pPr>
        <w:spacing w:after="0" w:line="150"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and Fringe Benefits; Expense Reimbursements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During the Term, Executive and his eligible dependents (if any) shall be able to participate in employee benefit plans and perquisite and fringe benefit programs on a basis no less favorable than the basis on which such benefits and perquisites are provided by the Company from time to time to other similarly situated senior executive employees, including the $200 monthly quality of life benefit allowance and the up to $500 monthly gym membership/home gym equipment purchase reimbursement (less applicable withholdings), subject in each case to the terms and conditions of the plan or program in question, including any eligibility requirements set forth therein, and the determination of any person or committee administering the plan or program. Notwithstanding the foregoing or any other statement to the contrary, the Company reserves the right to modify or terminate benefits from time to time as it deems necessary or appropriate.</w:t>
      </w:r>
    </w:p>
    <w:p>
      <w:pPr>
        <w:spacing w:after="0" w:line="195"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Executive shall be entitled to paid vacation each year in accordance with the Company’s then-current vacation policy for other similarly situated senior executive employees. The rules relating to other absences from regular duties for holidays, sick or disability leave, leave of absence without pay, or for other reasons, shall be the same as those provided to the Company’s other similarly situated senior executive employees.</w:t>
      </w:r>
    </w:p>
    <w:p>
      <w:pPr>
        <w:spacing w:after="0" w:line="17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w:t>
      </w:r>
      <w:r>
        <w:rPr>
          <w:rFonts w:ascii="Times New Roman" w:cs="Times New Roman" w:eastAsia="Times New Roman" w:hAnsi="Times New Roman"/>
          <w:sz w:val="22"/>
          <w:szCs w:val="22"/>
          <w:color w:val="auto"/>
        </w:rPr>
        <w:t>. Executive shall be entitled to receive prompt reimbursement for all travel and business expenses reasonably incurred and accounted for by Executive (in accordance with the policies and procedures established from time to time by the Company for Executive or as otherwise provided for in the Company’s approved travel budget) in performing services hereunder. Any reimbursement that Executive is entitled to receive shall (i) be paid as soon as practicable and in any event no later than the last day of Executive’s tax year following the tax year in which the expense was incurred, (ii) not be affected by any other expenses that are eligible for reimbursement in any tax year and (ii) not be subject to liquidation or exchange for another benefit.</w:t>
      </w:r>
    </w:p>
    <w:p>
      <w:pPr>
        <w:spacing w:after="0" w:line="179"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Except for the provisions intended to survive for other periods of time as specified in Section 15(m) below, this Agreement and Executive’s employment shall terminate (i) at any time upon mutual written agreement of the Parties; (ii) by the Company, immediately and without prior notice, for Cause as provided in Section 7(a); (iii) immediately upon Executive’s death or Disability as provided in Section 7(b); or (iv) by the Company for any reason other than Cause with advance written notice of at least six (6) months’ of any such termination; or (v) by Executive for any reason other than due to Executive’s death</w:t>
      </w:r>
    </w:p>
    <w:p>
      <w:pPr>
        <w:sectPr>
          <w:pgSz w:w="11900" w:h="16838" w:orient="portrait"/>
          <w:cols w:equalWidth="0" w:num="1">
            <w:col w:w="11240"/>
          </w:cols>
          <w:pgMar w:left="320" w:top="1422" w:right="339" w:bottom="1440" w:gutter="0" w:footer="0" w:header="0"/>
        </w:sectPr>
      </w:pPr>
    </w:p>
    <w:bookmarkStart w:id="122" w:name="page123"/>
    <w:bookmarkEnd w:id="122"/>
    <w:p>
      <w:pPr>
        <w:ind w:right="20"/>
        <w:spacing w:after="0" w:line="271" w:lineRule="auto"/>
        <w:rPr>
          <w:sz w:val="20"/>
          <w:szCs w:val="20"/>
          <w:color w:val="auto"/>
        </w:rPr>
      </w:pPr>
      <w:r>
        <w:rPr>
          <w:rFonts w:ascii="Times New Roman" w:cs="Times New Roman" w:eastAsia="Times New Roman" w:hAnsi="Times New Roman"/>
          <w:sz w:val="22"/>
          <w:szCs w:val="22"/>
          <w:color w:val="auto"/>
        </w:rPr>
        <w:t>or Disability with advance written notice as provided in Section 7(a). The date on which Executive’s employment ends under this Section 7 shall be referred to herein as his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304"/>
        <w:spacing w:after="0" w:line="248" w:lineRule="auto"/>
        <w:tabs>
          <w:tab w:leader="none" w:pos="194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 Voluntary Termination</w:t>
      </w:r>
      <w:r>
        <w:rPr>
          <w:rFonts w:ascii="Times New Roman" w:cs="Times New Roman" w:eastAsia="Times New Roman" w:hAnsi="Times New Roman"/>
          <w:sz w:val="22"/>
          <w:szCs w:val="22"/>
          <w:color w:val="auto"/>
        </w:rPr>
        <w:t>. At any time during the Term, (i) the Company may immediately terminate Executive’s employment for Cause, and (ii) Executive may terminate his employment “voluntarily” (that is, other than by death or Disability); provided, that Executive will be required to give the Board at least six (6) months’ advance written notice of any such termination; provided, however, that the Board may waive all or any part of the foregoing notice requirement in its sole discretion, in which case Executive’s voluntary termination will be effective upon the date specified by the Board. Upon the termination of Executive’s employment by the Company for Cause or by Executive’s voluntary termination, Executive shall receive the Accrued Obligations. All other benefits, if any, due to Executive following Executive’s termination of employment pursuant to this Section 7(a) shall be determined in accordance with the plans, policies and practices of the Company as then in effect, including but not necessarily limited to the Executive Incentive Plan. Executive shall not earn or accrue any additional compensation or other benefits under this Agreement following the Termination Date. Notwithstanding anything in this Section 7 to the contrary, in the event Executive is terminated for Cause, the Company will provide notice to the Executive outlining the reason(s) underlying the termination within one business day of such termination; for the avoidance of doubt, the foregoing notice provision is not a condition precedent to a termination for Cause.</w:t>
      </w:r>
    </w:p>
    <w:p>
      <w:pPr>
        <w:spacing w:after="0" w:line="19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 or Disability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Executive’s employment with the Company shall terminate upon Executive’s death. Upon the termination of the Term and Executive’s employment as a result of this Section 7(b)(i), Executive’s estate shall receive the Accrued Obligations within fifteen (15) days following the Termination Date. All payments or benefits, if any, due to Executive’s estate following Executive’s termination due to death shall be determined in accordance with the plans, policies and practices of the Company as then in effect. Executive’s estate shall not earn or accrue any additional compensation or other benefits under this Agreement following the Termination Date.</w:t>
      </w:r>
    </w:p>
    <w:p>
      <w:pPr>
        <w:spacing w:after="0" w:line="181"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6"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Company may terminate Executive’s employment if he becomes unable to perform the essential functions of his position as a result of his Disability. Upon any termination of the Term and Executive’s employment pursuant to this Section 7(b)(ii), Executive shall receive the Accrued Obligations. All other benefits, if any, due to Executive following Executive’s termination of employment pursuant to this Section 7(b)(ii) shall be determined in accordance with the plans, policies and practices of the Company as then in effect. Executive shall not earn or accrue any additional or other benefits under this Agreement following the Termination Date.</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purported termination of Executive’s employment by the Company or by Executive shall be communicated by written notice of termination to the other party in accordance with this Section 7. Such notice shall indicate the</w:t>
      </w:r>
    </w:p>
    <w:p>
      <w:pPr>
        <w:sectPr>
          <w:pgSz w:w="11900" w:h="16838" w:orient="portrait"/>
          <w:cols w:equalWidth="0" w:num="1">
            <w:col w:w="11240"/>
          </w:cols>
          <w:pgMar w:left="320" w:top="1422" w:right="339" w:bottom="1440" w:gutter="0" w:footer="0" w:header="0"/>
        </w:sectPr>
      </w:pPr>
    </w:p>
    <w:bookmarkStart w:id="123" w:name="page124"/>
    <w:bookmarkEnd w:id="123"/>
    <w:p>
      <w:pPr>
        <w:spacing w:after="0" w:line="295" w:lineRule="auto"/>
        <w:rPr>
          <w:sz w:val="20"/>
          <w:szCs w:val="20"/>
          <w:color w:val="auto"/>
        </w:rPr>
      </w:pPr>
      <w:r>
        <w:rPr>
          <w:rFonts w:ascii="Times New Roman" w:cs="Times New Roman" w:eastAsia="Times New Roman" w:hAnsi="Times New Roman"/>
          <w:sz w:val="21"/>
          <w:szCs w:val="21"/>
          <w:color w:val="auto"/>
        </w:rPr>
        <w:t>specific termination provision in this Agreement relied upon and shall, to the extent applicable, set forth in reasonable detail the facts and circumstances claimed to provide a basis for termination of Executive’s employment under the provision so indicated.</w:t>
      </w:r>
    </w:p>
    <w:p>
      <w:pPr>
        <w:spacing w:after="0" w:line="135" w:lineRule="exact"/>
        <w:rPr>
          <w:sz w:val="20"/>
          <w:szCs w:val="20"/>
          <w:color w:val="auto"/>
        </w:rPr>
      </w:pPr>
    </w:p>
    <w:p>
      <w:pPr>
        <w:jc w:val="both"/>
        <w:ind w:firstLine="656"/>
        <w:spacing w:after="0" w:line="247" w:lineRule="auto"/>
        <w:tabs>
          <w:tab w:leader="none" w:pos="129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For purposes of Internal Revenue Code Section 409A and regulations and guidance promulgated thereunder (collectively,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each payment hereunder is hereby designated as a separate payment. The Parties intend that all payments and benefits made or to be made under this letter agreement comply with, or are exempt from, the requirements of Section 409A so that none of the payments or benefits will be subject to the adverse tax penalties imposed under Section 409A, and any ambiguities herein will be interpreted to so comply or be so exempt. Specifically, any severance benefits made in connection with Executive’s Involuntary Separation under this letter agreement and provided on or before the 15th day of the 3rd month following the end of Executive’s first tax year in which Executive’s Involuntary Separation occurs or, if later, the 15th day of the 3rd month following the end of the Company’s first tax year in which Executive’s Involuntary Separation occurs, shall be exempt from Section 409A to the maximum extent permitted pursuant to Treasury Regulation Section 1.409A-1(b)(4) and any other severance benefits provided in connection with Executive’s Involuntary Separation under this letter agreement shall be exempt from Section 409A to the maximum extent permitted pursuant to Treasury Regulation Section 1.409A-1(b)(9)(iii) (to the extent it is exempt pursuant to such section it will in any event be paid no later than the last day of Executive’s 2nd taxable year following the taxable year in which Executive’s Involuntary Separation occurs). Notwithstanding the foregoing, if any of the benefits provided in connection with Executive’s Involuntary Separation do not qualify for any reason to be exempt from Section 409A pursuant to Treasury Regulation Section 1.409A-1(b)(4), Treasury Regulation Section 1.409A-1(b)(9)(iii), or any other applicable exemption and Executive is, at the time of Executive’s Involuntary Separation, a “specified employee,” as defined in Treasury Regulation Section 1.409A-1(i) (i.e., Executive is a “key employee” of a publicly traded company), each such benefit will not be provided until the first regularly scheduled payroll date of the 7th month after Executive’s Involuntary Separation and, on such date (or, if earlier, the date of Executive’s death), Executive will receive all benefits that would have been provided during such period.</w:t>
      </w:r>
    </w:p>
    <w:p>
      <w:pPr>
        <w:spacing w:after="0" w:line="19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maximum extent permitted by applicable law, Executive agrees that he will not make or cause to be made any oral or written statements that are derogatory, defamatory, or disparaging concerning the Company, its policies or programs, or its past or present officers, directors, employees, agents, or business associates, including but not limited to its past or present suppliers or vendors, or take any actions that are harmful to the business affairs of the Company or its employees. This provision is a material and substantial term of this Agreement.</w:t>
      </w:r>
    </w:p>
    <w:p>
      <w:pPr>
        <w:spacing w:after="0" w:line="178"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agrees that it will not publish any official statement of the Company that is derogatory, defamatory, or disparaging concerning Executive, and will instruct</w:t>
      </w:r>
    </w:p>
    <w:p>
      <w:pPr>
        <w:sectPr>
          <w:pgSz w:w="11900" w:h="16838" w:orient="portrait"/>
          <w:cols w:equalWidth="0" w:num="1">
            <w:col w:w="11240"/>
          </w:cols>
          <w:pgMar w:left="320" w:top="1422" w:right="339" w:bottom="1440" w:gutter="0" w:footer="0" w:header="0"/>
        </w:sectPr>
      </w:pPr>
    </w:p>
    <w:bookmarkStart w:id="124" w:name="page125"/>
    <w:bookmarkEnd w:id="124"/>
    <w:p>
      <w:pPr>
        <w:spacing w:after="0" w:line="271" w:lineRule="auto"/>
        <w:rPr>
          <w:sz w:val="20"/>
          <w:szCs w:val="20"/>
          <w:color w:val="auto"/>
        </w:rPr>
      </w:pPr>
      <w:r>
        <w:rPr>
          <w:rFonts w:ascii="Times New Roman" w:cs="Times New Roman" w:eastAsia="Times New Roman" w:hAnsi="Times New Roman"/>
          <w:sz w:val="22"/>
          <w:szCs w:val="22"/>
          <w:color w:val="auto"/>
        </w:rPr>
        <w:t>the members of the Board and the Company’s executives to refrain from making any derogatory, defamatory, or disparaging public statements concerning Executive.</w:t>
      </w:r>
    </w:p>
    <w:p>
      <w:pPr>
        <w:spacing w:after="0" w:line="158" w:lineRule="exact"/>
        <w:rPr>
          <w:sz w:val="20"/>
          <w:szCs w:val="20"/>
          <w:color w:val="auto"/>
        </w:rPr>
      </w:pPr>
    </w:p>
    <w:p>
      <w:pPr>
        <w:jc w:val="both"/>
        <w:ind w:firstLine="656"/>
        <w:spacing w:after="0" w:line="256" w:lineRule="auto"/>
        <w:tabs>
          <w:tab w:leader="none" w:pos="12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subsection, or sentence of this Agreement shall be held to be invalid, illegal or unenforceable in any respect by a court of competent jurisdiction, such invalidity, illegality or unenforceability shall not affect the other provisions of this Agreement, and this Agreement shall be construed as if such invalid, illegal or unenforceable provision, subsection, or sentence had not been contained herein.</w:t>
      </w:r>
    </w:p>
    <w:p>
      <w:pPr>
        <w:spacing w:after="0" w:line="176" w:lineRule="exact"/>
        <w:rPr>
          <w:rFonts w:ascii="Times New Roman" w:cs="Times New Roman" w:eastAsia="Times New Roman" w:hAnsi="Times New Roman"/>
          <w:sz w:val="22"/>
          <w:szCs w:val="22"/>
          <w:color w:val="auto"/>
        </w:rPr>
      </w:pPr>
    </w:p>
    <w:p>
      <w:pPr>
        <w:jc w:val="both"/>
        <w:ind w:firstLine="656"/>
        <w:spacing w:after="0" w:line="263" w:lineRule="auto"/>
        <w:tabs>
          <w:tab w:leader="none" w:pos="128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and Invention Assignment Agreement</w:t>
      </w:r>
      <w:r>
        <w:rPr>
          <w:rFonts w:ascii="Times New Roman" w:cs="Times New Roman" w:eastAsia="Times New Roman" w:hAnsi="Times New Roman"/>
          <w:sz w:val="22"/>
          <w:szCs w:val="22"/>
          <w:color w:val="auto"/>
        </w:rPr>
        <w:t xml:space="preserve">. Like all Company employees, Executive will be required, as a condition of Executive’s employment with the Company, to sign the Company’s enclosed standard Confidential Information and Invention Assignment Agreement, a copy of which is attached hereto as </w:t>
      </w:r>
      <w:r>
        <w:rPr>
          <w:rFonts w:ascii="Times New Roman" w:cs="Times New Roman" w:eastAsia="Times New Roman" w:hAnsi="Times New Roman"/>
          <w:sz w:val="22"/>
          <w:szCs w:val="22"/>
          <w:u w:val="single" w:color="auto"/>
          <w:color w:val="auto"/>
        </w:rPr>
        <w:t>Attachment A</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Executive acknowledges and agrees that the Company’s remedies at law for a breach or threatened breach of Section 9(a) (the “</w:t>
      </w:r>
      <w:r>
        <w:rPr>
          <w:rFonts w:ascii="Times New Roman" w:cs="Times New Roman" w:eastAsia="Times New Roman" w:hAnsi="Times New Roman"/>
          <w:sz w:val="22"/>
          <w:szCs w:val="22"/>
          <w:u w:val="single" w:color="auto"/>
          <w:color w:val="auto"/>
        </w:rPr>
        <w:t>Covenant</w:t>
      </w:r>
      <w:r>
        <w:rPr>
          <w:rFonts w:ascii="Times New Roman" w:cs="Times New Roman" w:eastAsia="Times New Roman" w:hAnsi="Times New Roman"/>
          <w:sz w:val="22"/>
          <w:szCs w:val="22"/>
          <w:color w:val="auto"/>
        </w:rPr>
        <w:t>”) would be inadequate and the Company would suffer irreparable damages as a result of such breach or threatened breach. In recognition of this fact, Executive agrees that, in the event of a breach of the Covenant, in addition to any remedies at law, the Company, without posting any bond, to the maximum extent permitted by applicable law, shall be entitled to cease making any payments or providing any benefit otherwise required by this Agreement and, in the case of either a breach or a threatened breach of the Covenant seek equitable relief before a court of competent jurisdiction, in the form of specific performance, temporary restraining order, temporary or permanent injunction or any other equitable remedy that may then be available. Company acknowledges and agrees that Executive’s remedies at law for a breach or threatened breach of Section 9(b) would be inadequate and Executive would suffer irreparable damages as a result of such breach or threatened breach. Accordingly, Company agrees that Executive shall be entitled to, in addition to any legal remedies available, seek equitable relief before a court of competent jurisdiction, in the form of specific performance, temporary restraining order, temporary or permanent injunction or any other equitable remedy that may then be available without posting bond or proving actual damages.</w:t>
      </w:r>
    </w:p>
    <w:p>
      <w:pPr>
        <w:spacing w:after="0" w:line="192"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Conflicts of Interest</w:t>
      </w:r>
      <w:r>
        <w:rPr>
          <w:rFonts w:ascii="Times New Roman" w:cs="Times New Roman" w:eastAsia="Times New Roman" w:hAnsi="Times New Roman"/>
          <w:sz w:val="22"/>
          <w:szCs w:val="22"/>
          <w:color w:val="auto"/>
        </w:rPr>
        <w:t>. Executive agrees that for the duration of this Agreement and Executive’s employment with the Company, he will not engage, either directly or indirectly, in any activity (a “</w:t>
      </w:r>
      <w:r>
        <w:rPr>
          <w:rFonts w:ascii="Times New Roman" w:cs="Times New Roman" w:eastAsia="Times New Roman" w:hAnsi="Times New Roman"/>
          <w:sz w:val="22"/>
          <w:szCs w:val="22"/>
          <w:u w:val="single" w:color="auto"/>
          <w:color w:val="auto"/>
        </w:rPr>
        <w:t>Conflict of Interest</w:t>
      </w:r>
      <w:r>
        <w:rPr>
          <w:rFonts w:ascii="Times New Roman" w:cs="Times New Roman" w:eastAsia="Times New Roman" w:hAnsi="Times New Roman"/>
          <w:sz w:val="22"/>
          <w:szCs w:val="22"/>
          <w:color w:val="auto"/>
        </w:rPr>
        <w:t>”) which might adversely affect Company or its affiliates, including ownership of a material interest in any supplier, contractor, distributor, subcontractor, customer or other entity with which Company does business or accepting any payment, service, loan, gift, trip, entertainment, or other favor from a supplier, contractor, distributor, subcontractor, customer or other entity with which Company does business, and that Executive will promptly inform the Chair of the Board as to each offer received by Executive to engage in any such activity. Executive further agrees to disclose to Chair of the Board any other facts of which Executive becomes aware which might involve or give rise to a Conflict of Interest or potential Conflict of Interest.</w:t>
      </w:r>
    </w:p>
    <w:p>
      <w:pPr>
        <w:sectPr>
          <w:pgSz w:w="11900" w:h="16838" w:orient="portrait"/>
          <w:cols w:equalWidth="0" w:num="1">
            <w:col w:w="11240"/>
          </w:cols>
          <w:pgMar w:left="320" w:top="1422" w:right="339" w:bottom="1440" w:gutter="0" w:footer="0" w:header="0"/>
        </w:sectPr>
      </w:pPr>
    </w:p>
    <w:bookmarkStart w:id="125" w:name="page126"/>
    <w:bookmarkEnd w:id="125"/>
    <w:p>
      <w:pPr>
        <w:ind w:left="1292" w:hanging="644"/>
        <w:spacing w:after="0"/>
        <w:tabs>
          <w:tab w:leader="none" w:pos="1292"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8" w:firstLine="1304"/>
        <w:spacing w:after="0" w:line="267" w:lineRule="auto"/>
        <w:tabs>
          <w:tab w:leader="none" w:pos="1933" w:val="left"/>
        </w:tabs>
        <w:numPr>
          <w:ilvl w:val="2"/>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Executive’s Representations</w:t>
      </w:r>
      <w:r>
        <w:rPr>
          <w:rFonts w:ascii="Times New Roman" w:cs="Times New Roman" w:eastAsia="Times New Roman" w:hAnsi="Times New Roman"/>
          <w:sz w:val="21"/>
          <w:szCs w:val="21"/>
          <w:color w:val="auto"/>
        </w:rPr>
        <w:t>. Executive hereby represents and warrants to the Company that (i) Executive has read this Agreement in its entirety, fully understands the terms of this Agreement, has had the opportunity to consult with counsel prior to executing this Agreement and is signing the Agreement voluntarily and with full knowledge of its significance;</w:t>
      </w:r>
    </w:p>
    <w:p>
      <w:pPr>
        <w:spacing w:after="0" w:line="1" w:lineRule="exact"/>
        <w:rPr>
          <w:rFonts w:ascii="Times New Roman" w:cs="Times New Roman" w:eastAsia="Times New Roman" w:hAnsi="Times New Roman"/>
          <w:sz w:val="21"/>
          <w:szCs w:val="21"/>
          <w:color w:val="auto"/>
        </w:rPr>
      </w:pPr>
    </w:p>
    <w:p>
      <w:pPr>
        <w:jc w:val="both"/>
        <w:ind w:left="-8" w:firstLine="8"/>
        <w:spacing w:after="0" w:line="259" w:lineRule="auto"/>
        <w:tabs>
          <w:tab w:leader="none" w:pos="31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execution, delivery and performance of this Agreement by Executive does not and shall not conflict with, breach, violate or cause a default under any contract, agreement, instrument, order, judgment or decree to which Executive is a party or by which he is bound; (iii) Executive is not a party to or bound by an employment agreement, non-compete agreement or confidentiality agreement with any other person or entity that would interfere with the performance of his duties hereunder; and (iv) Executive shall not use any confidential information or trade secrets of any person or party other than the Company in connection with the performance of his duties hereunder, except with valid written consent of such other person or party. </w:t>
      </w:r>
      <w:r>
        <w:rPr>
          <w:rFonts w:ascii="Times New Roman" w:cs="Times New Roman" w:eastAsia="Times New Roman" w:hAnsi="Times New Roman"/>
          <w:sz w:val="21"/>
          <w:szCs w:val="21"/>
          <w:b w:val="1"/>
          <w:bCs w:val="1"/>
          <w:color w:val="auto"/>
        </w:rPr>
        <w:t>Executive has carefully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read and considered all provisions of these Agreements and acknowledges that this is an important legal document that sets forth restrictions on Executive’s conduct as a condition of employment with the Company.</w:t>
      </w:r>
    </w:p>
    <w:p>
      <w:pPr>
        <w:spacing w:after="0" w:line="172" w:lineRule="exact"/>
        <w:rPr>
          <w:rFonts w:ascii="Times New Roman" w:cs="Times New Roman" w:eastAsia="Times New Roman" w:hAnsi="Times New Roman"/>
          <w:sz w:val="21"/>
          <w:szCs w:val="21"/>
          <w:color w:val="auto"/>
        </w:rPr>
      </w:pPr>
    </w:p>
    <w:p>
      <w:pPr>
        <w:jc w:val="both"/>
        <w:ind w:left="-8" w:firstLine="1304"/>
        <w:spacing w:after="0" w:line="253" w:lineRule="auto"/>
        <w:tabs>
          <w:tab w:leader="none" w:pos="1931"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provision of this Agreement may be modified, waived or discharged unless such waiver, modification or discharge is agreed to in a writing signed by Executive and an officer of the Company (other than Executive) duly authorized by the Board to execute such amendment, waiver or discharge. No waiver by either Party of any breach of the other Party of, or compliance with, any condition or provision of this Agreement shall be deemed a waiver of similar or dissimilar provisions or conditions at the same or at any prior or subsequent time.</w:t>
      </w:r>
    </w:p>
    <w:p>
      <w:pPr>
        <w:spacing w:after="0" w:line="178" w:lineRule="exact"/>
        <w:rPr>
          <w:rFonts w:ascii="Times New Roman" w:cs="Times New Roman" w:eastAsia="Times New Roman" w:hAnsi="Times New Roman"/>
          <w:sz w:val="22"/>
          <w:szCs w:val="22"/>
          <w:color w:val="auto"/>
        </w:rPr>
      </w:pPr>
    </w:p>
    <w:p>
      <w:pPr>
        <w:ind w:left="1932" w:hanging="636"/>
        <w:spacing w:after="0"/>
        <w:tabs>
          <w:tab w:leader="none" w:pos="1932"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8" w:firstLine="1952"/>
        <w:spacing w:after="0" w:line="271" w:lineRule="auto"/>
        <w:tabs>
          <w:tab w:leader="none" w:pos="2572" w:val="left"/>
        </w:tabs>
        <w:numPr>
          <w:ilvl w:val="3"/>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personal to Executive and shall not be assignable by Executive but shall inure to the benefit of and be enforceable by Executive’s heirs and legal representatives.</w:t>
      </w:r>
    </w:p>
    <w:p>
      <w:pPr>
        <w:spacing w:after="0" w:line="157" w:lineRule="exact"/>
        <w:rPr>
          <w:rFonts w:ascii="Times New Roman" w:cs="Times New Roman" w:eastAsia="Times New Roman" w:hAnsi="Times New Roman"/>
          <w:sz w:val="22"/>
          <w:szCs w:val="22"/>
          <w:color w:val="auto"/>
        </w:rPr>
      </w:pPr>
    </w:p>
    <w:p>
      <w:pPr>
        <w:jc w:val="both"/>
        <w:ind w:left="-8" w:firstLine="1952"/>
        <w:spacing w:after="0" w:line="257" w:lineRule="auto"/>
        <w:tabs>
          <w:tab w:leader="none" w:pos="2578" w:val="left"/>
        </w:tabs>
        <w:numPr>
          <w:ilvl w:val="3"/>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inure to the benefit of and be binding upon the Company and its successors and, other than as set forth in Section 15(d)(iii) below, shall not be assignable by the Company without the prior written consent of Executive (which shall not be unreasonably withheld).</w:t>
      </w:r>
    </w:p>
    <w:p>
      <w:pPr>
        <w:spacing w:after="0" w:line="186" w:lineRule="exact"/>
        <w:rPr>
          <w:rFonts w:ascii="Times New Roman" w:cs="Times New Roman" w:eastAsia="Times New Roman" w:hAnsi="Times New Roman"/>
          <w:sz w:val="22"/>
          <w:szCs w:val="22"/>
          <w:color w:val="auto"/>
        </w:rPr>
      </w:pPr>
    </w:p>
    <w:p>
      <w:pPr>
        <w:jc w:val="both"/>
        <w:ind w:left="-8" w:firstLine="1952"/>
        <w:spacing w:after="0" w:line="250" w:lineRule="auto"/>
        <w:tabs>
          <w:tab w:leader="none" w:pos="2584" w:val="left"/>
        </w:tabs>
        <w:numPr>
          <w:ilvl w:val="3"/>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shall be assignable by the Company to any successor (whether direct or indirect, by purchase, merger, consolidation or otherwise) to all or substantially all of the business and/or assets of the Company; provided, that the Company shall require such successor to expressly assume and agree to perform this Agreement in the same manner and to the same extent that the Company would be required to perform it if no such succession had taken place. As used in this Agreement,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mean the Company as</w:t>
      </w:r>
    </w:p>
    <w:p>
      <w:pPr>
        <w:sectPr>
          <w:pgSz w:w="11900" w:h="16838" w:orient="portrait"/>
          <w:cols w:equalWidth="0" w:num="1">
            <w:col w:w="11232"/>
          </w:cols>
          <w:pgMar w:left="328" w:top="1422" w:right="339" w:bottom="1440" w:gutter="0" w:footer="0" w:header="0"/>
        </w:sectPr>
      </w:pPr>
    </w:p>
    <w:bookmarkStart w:id="126" w:name="page127"/>
    <w:bookmarkEnd w:id="126"/>
    <w:p>
      <w:pPr>
        <w:spacing w:after="0" w:line="271" w:lineRule="auto"/>
        <w:rPr>
          <w:sz w:val="20"/>
          <w:szCs w:val="20"/>
          <w:color w:val="auto"/>
        </w:rPr>
      </w:pPr>
      <w:r>
        <w:rPr>
          <w:rFonts w:ascii="Times New Roman" w:cs="Times New Roman" w:eastAsia="Times New Roman" w:hAnsi="Times New Roman"/>
          <w:sz w:val="22"/>
          <w:szCs w:val="22"/>
          <w:color w:val="auto"/>
        </w:rPr>
        <w:t>defined in this Agreement and any successor to its business and/or assets which assumes and agrees to perform this Agreement by operation of law or otherwise.</w:t>
      </w:r>
    </w:p>
    <w:p>
      <w:pPr>
        <w:spacing w:after="0" w:line="158" w:lineRule="exact"/>
        <w:rPr>
          <w:sz w:val="20"/>
          <w:szCs w:val="20"/>
          <w:color w:val="auto"/>
        </w:rPr>
      </w:pPr>
    </w:p>
    <w:p>
      <w:pPr>
        <w:jc w:val="both"/>
        <w:ind w:firstLine="1304"/>
        <w:spacing w:after="0" w:line="250" w:lineRule="auto"/>
        <w:tabs>
          <w:tab w:leader="none" w:pos="193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For the purpose of this Agreement, notices and all other communications provided for in this Agreement shall be in writing and shall be deemed to have been duly given if delivered personally, if delivered by overnight courier service, or if mailed by registered mail, return receipt requested, postage prepaid, addressed to the respective addresses or sent via email to the respective email addresses, as the case may be, as set forth below, or to such other address as either party may have furnished to the other in writing in accordance herewith, except that notice of change of address shall be effective only upon receipt; provided, however, that (i) notices sent by personal delivery or overnight courier shall be deemed given when delivered; (ii) notices sent by email shall be deemed given at the time such email is sent; and (iii) notices sent by registered mail shall be deemed given two (2) days after the date of deposit in the mail.</w:t>
      </w:r>
    </w:p>
    <w:p>
      <w:pPr>
        <w:spacing w:after="0" w:line="18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If to Executive, to such address as shall most currently appear on the records of the Company.</w:t>
      </w:r>
    </w:p>
    <w:p>
      <w:pPr>
        <w:spacing w:after="0" w:line="22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Life360, Inc.</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539 Bryant, Suite 400</w:t>
      </w:r>
    </w:p>
    <w:p>
      <w:pPr>
        <w:spacing w:after="0" w:line="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San Francisco, California 94107</w:t>
      </w:r>
    </w:p>
    <w:p>
      <w:pPr>
        <w:spacing w:after="0" w:line="2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220" w:lineRule="exact"/>
        <w:rPr>
          <w:sz w:val="20"/>
          <w:szCs w:val="20"/>
          <w:color w:val="auto"/>
        </w:rPr>
      </w:pPr>
    </w:p>
    <w:p>
      <w:pPr>
        <w:jc w:val="both"/>
        <w:ind w:firstLine="1304"/>
        <w:spacing w:after="0" w:line="248" w:lineRule="auto"/>
        <w:tabs>
          <w:tab w:leader="none" w:pos="19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CONSENT TO JURISDICTION; JURY TRIAL WAIVER</w:t>
      </w:r>
      <w:r>
        <w:rPr>
          <w:rFonts w:ascii="Times New Roman" w:cs="Times New Roman" w:eastAsia="Times New Roman" w:hAnsi="Times New Roman"/>
          <w:sz w:val="22"/>
          <w:szCs w:val="22"/>
          <w:color w:val="auto"/>
        </w:rPr>
        <w:t>. THIS AGREEMENT WILL BE GOVERNED BY AND CONSTRUED IN ACCORDANCE WITH THE LAWS OF THE STATE OF CALIFORNIA, WITHOUT GIVING EFFECT TO ANY CHOICE OF LAW OR CONFLICTING PROVISION OR RULE (WHETHER OF THE STATE OF DELAWARE OR ANY OTHER JURISDICTION) THAT WOULD CAUSE THE LAWS OF ANY JURISDICTION OTHER THAN THE STATE OF CALIFORNIA TO BE APPLIED. IN FURTHERANCE OF THE FOREGOING, THE LAW OF THE STATE OF CALIFORNIA (EXCEPT TO THE EXTENT SUPERSEDED BY THE LAWS OF THE UNITED STATES) WILL CONTROL THE INTERPRETATION AND CONSTRUCTION OF THIS AGREEMENT. ANY ACTION TO ENFORCE THIS AGREEMENT MUST BE BROUGHT IN, AND THE PARTIES HEREBY CONSENT TO JURISDICTION IN SAN FRANCISCO COUNTY, CALIFORNIA. EACH PARTY HEREBY WAIVES THE RIGHTS TO CLAIM THAT ANY SUCH COURT PROCEEDING IS AN INCONVENIENT FORUM FOR THE RESOLUTION OF ANY SUCH ACTION. EACH PARTY TO THIS AGREEMENT WAIVES ALL RIGHT TO TRIAL BY JURY IN ANY ACTION, PROCEEDING, CLAIM OR COUNTERCLAIM.</w:t>
      </w:r>
    </w:p>
    <w:p>
      <w:pPr>
        <w:spacing w:after="0" w:line="184"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w:t>
      </w:r>
      <w:r>
        <w:rPr>
          <w:rFonts w:ascii="Times New Roman" w:cs="Times New Roman" w:eastAsia="Times New Roman" w:hAnsi="Times New Roman"/>
          <w:sz w:val="22"/>
          <w:szCs w:val="22"/>
          <w:color w:val="auto"/>
        </w:rPr>
        <w:t>. The intent of the Parties is that payments and benefits under this Agreement comply with, or be exempt from, Section 409A and, accordingly, to the maximum extent permitted, this Agreement shall be interpreted in accordance therewith. In no event whatsoever shall the Company be liable for interest and additional tax that</w:t>
      </w:r>
    </w:p>
    <w:p>
      <w:pPr>
        <w:sectPr>
          <w:pgSz w:w="11900" w:h="16838" w:orient="portrait"/>
          <w:cols w:equalWidth="0" w:num="1">
            <w:col w:w="11240"/>
          </w:cols>
          <w:pgMar w:left="320" w:top="1422"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color w:val="auto"/>
        </w:rPr>
        <w:t>may be imposed on Executive by Section 409A or any damages for failing to comply with Section 409A.</w:t>
      </w:r>
    </w:p>
    <w:p>
      <w:pPr>
        <w:spacing w:after="0" w:line="220" w:lineRule="exact"/>
        <w:rPr>
          <w:sz w:val="20"/>
          <w:szCs w:val="20"/>
          <w:color w:val="auto"/>
        </w:rPr>
      </w:pPr>
    </w:p>
    <w:p>
      <w:pPr>
        <w:jc w:val="both"/>
        <w:ind w:right="20" w:firstLine="1304"/>
        <w:spacing w:after="0" w:line="263" w:lineRule="auto"/>
        <w:tabs>
          <w:tab w:leader="none" w:pos="193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 of Invalid or Unenforceable Provisions</w:t>
      </w:r>
      <w:r>
        <w:rPr>
          <w:rFonts w:ascii="Times New Roman" w:cs="Times New Roman" w:eastAsia="Times New Roman" w:hAnsi="Times New Roman"/>
          <w:sz w:val="22"/>
          <w:szCs w:val="22"/>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Advice of Counsel and Construction</w:t>
      </w:r>
      <w:r>
        <w:rPr>
          <w:rFonts w:ascii="Times New Roman" w:cs="Times New Roman" w:eastAsia="Times New Roman" w:hAnsi="Times New Roman"/>
          <w:sz w:val="22"/>
          <w:szCs w:val="22"/>
          <w:color w:val="auto"/>
        </w:rPr>
        <w:t>. Each Party acknowledges that such Party had the opportunity to be represented by counsel in the negotiation and execution of this Agreement. Accordingly, the rule of construction of contract language against the drafting party is hereby waived by each Party.</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all Exhibits attached hereto, and the Confidentiality Agreement, constitute the entire agreement between the Parties as of the Effective Date and supersedes all previous agreements and understandings between the Parties with respect to the subject matter hereof, including, but not limited to, the employment agreement previously entered into between you and the Company.</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The Company shall be entitled to withhold from any payment due to Executive hereunder any amounts required to be withheld by applicable laws or regulations.</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93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headings of the Sections hereof are provided for convenience only and are not to serve as a basis for interpretation or construction, and shall not constitute a part, of this Agreement.</w:t>
      </w:r>
    </w:p>
    <w:p>
      <w:pPr>
        <w:spacing w:after="0" w:line="143"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During the Term and at any time thereafter, Executive agrees to cooperate, at Company’s expense, (i) with the Company in the defense of any legal matter involving any matter that arose during Executive’s employment with the Company; and (ii) with all government authorities on matters pertaining to any investigation, litigation or administrative proceeding pertaining to the Company. The Company will reimburse Executive for any reasonable travel and out of pocket expenses incurred by Executive in providing such cooperation.</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Sections 7 through 12, inclusive, and Sections 15(b)-(o), inclusive, shall survive and continue in full force in accordance with their terms notwithstanding any termination of the Term or of Executive’s employment with the Company.</w:t>
      </w:r>
    </w:p>
    <w:p>
      <w:pPr>
        <w:spacing w:after="0" w:line="172" w:lineRule="exact"/>
        <w:rPr>
          <w:rFonts w:ascii="Times New Roman" w:cs="Times New Roman" w:eastAsia="Times New Roman" w:hAnsi="Times New Roman"/>
          <w:sz w:val="22"/>
          <w:szCs w:val="22"/>
          <w:color w:val="auto"/>
        </w:rPr>
      </w:pPr>
    </w:p>
    <w:p>
      <w:pPr>
        <w:ind w:right="20" w:firstLine="1304"/>
        <w:spacing w:after="0" w:line="284" w:lineRule="auto"/>
        <w:tabs>
          <w:tab w:leader="none" w:pos="193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instrument.</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Recoupment/Clawback</w:t>
      </w:r>
      <w:r>
        <w:rPr>
          <w:rFonts w:ascii="Times New Roman" w:cs="Times New Roman" w:eastAsia="Times New Roman" w:hAnsi="Times New Roman"/>
          <w:sz w:val="22"/>
          <w:szCs w:val="22"/>
          <w:color w:val="auto"/>
        </w:rPr>
        <w:t>. Notwithstanding any other provisions in this Agreement to the contrary, any incentive-based compensation, or any other compensation, paid to Executive pursuant to this Agreement or any other agreement or arrangement with the</w:t>
      </w:r>
    </w:p>
    <w:p>
      <w:pPr>
        <w:sectPr>
          <w:pgSz w:w="11900" w:h="16838" w:orient="portrait"/>
          <w:cols w:equalWidth="0" w:num="1">
            <w:col w:w="11240"/>
          </w:cols>
          <w:pgMar w:left="320" w:top="1422" w:right="339" w:bottom="1440" w:gutter="0" w:footer="0" w:header="0"/>
        </w:sectPr>
      </w:pPr>
    </w:p>
    <w:bookmarkStart w:id="128" w:name="page129"/>
    <w:bookmarkEnd w:id="128"/>
    <w:p>
      <w:pPr>
        <w:jc w:val="both"/>
        <w:spacing w:after="0" w:line="251" w:lineRule="auto"/>
        <w:rPr>
          <w:sz w:val="20"/>
          <w:szCs w:val="20"/>
          <w:color w:val="auto"/>
        </w:rPr>
      </w:pPr>
      <w:r>
        <w:rPr>
          <w:rFonts w:ascii="Times New Roman" w:cs="Times New Roman" w:eastAsia="Times New Roman" w:hAnsi="Times New Roman"/>
          <w:sz w:val="22"/>
          <w:szCs w:val="22"/>
          <w:color w:val="auto"/>
        </w:rPr>
        <w:t>Company or any of its affiliates, which may be subject to recovery under any law, government regulation, company policy or stock exchange listing requirement, will be subject to such deductions and clawback as may be required to be made pursuant to such law, government regulation, company policy or stock exchange listing requirement to the extent reasonably required by any such law, government regulation, company policy or stock exchange listing requirement, as determined by the Board in its sole and absolute discretion. For purposes of this Section 15(o), a “company policy” means any written company policy adopted by the Company that is made available to the Company’s executive officers through electronic or any other means.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 – signatures appear on the following page]</w:t>
      </w:r>
    </w:p>
    <w:p>
      <w:pPr>
        <w:sectPr>
          <w:pgSz w:w="11900" w:h="16838" w:orient="portrait"/>
          <w:cols w:equalWidth="0" w:num="1">
            <w:col w:w="11240"/>
          </w:cols>
          <w:pgMar w:left="320" w:top="1422" w:right="339" w:bottom="1440" w:gutter="0" w:footer="0" w:header="0"/>
        </w:sectPr>
      </w:pPr>
    </w:p>
    <w:bookmarkStart w:id="129" w:name="page130"/>
    <w:bookmarkEnd w:id="129"/>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Parties have executed this Agreement as of the date first above written.</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Life360,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Christopher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280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spacing w:after="0" w:line="200"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Hulls</w:t>
      </w:r>
    </w:p>
    <w:p>
      <w:pPr>
        <w:spacing w:after="0" w:line="220"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3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0744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1074420" cy="8890"/>
                    </a:xfrm>
                    <a:prstGeom prst="rect">
                      <a:avLst/>
                    </a:prstGeom>
                    <a:noFill/>
                  </pic:spPr>
                </pic:pic>
              </a:graphicData>
            </a:graphic>
          </wp:anchor>
        </w:drawing>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Russell Burke</w:t>
      </w:r>
    </w:p>
    <w:p>
      <w:pPr>
        <w:sectPr>
          <w:pgSz w:w="11900" w:h="16838" w:orient="portrait"/>
          <w:cols w:equalWidth="0" w:num="1">
            <w:col w:w="10139"/>
          </w:cols>
          <w:pgMar w:left="320" w:top="1440" w:right="1440" w:bottom="1440" w:gutter="0" w:footer="0" w:header="0"/>
        </w:sectPr>
      </w:pPr>
    </w:p>
    <w:bookmarkStart w:id="130" w:name="page131"/>
    <w:bookmarkEnd w:id="130"/>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DEFINED TERMS</w:t>
      </w:r>
    </w:p>
    <w:p>
      <w:pPr>
        <w:spacing w:after="0" w:line="224" w:lineRule="exact"/>
        <w:rPr>
          <w:sz w:val="20"/>
          <w:szCs w:val="20"/>
          <w:color w:val="auto"/>
        </w:rPr>
      </w:pPr>
    </w:p>
    <w:p>
      <w:pPr>
        <w:jc w:val="both"/>
        <w:ind w:firstLine="656"/>
        <w:spacing w:after="0" w:line="253" w:lineRule="auto"/>
        <w:tabs>
          <w:tab w:leader="none" w:pos="129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shall mean, at any point in time and except as expressly provided herein, any amounts to which the Executive is entitled to payment but have not yet been paid to Executive including, but not limited to, each of the following (but only to the extent such amounts are vested, earned or accrued, and due and payable at the time of payment): Base Salary and any other wages, payments, retention bonuses, entitlements or benefits vested, earned or accrued, and due and payable, but unpaid under applicable benefit and compensation plans, programs and other arrangements with the Company.</w:t>
      </w:r>
    </w:p>
    <w:p>
      <w:pPr>
        <w:spacing w:after="0" w:line="178"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 Person shall mean any other Person that directly or indirectly controls, is controlled by, or is under common control with, such Person.</w:t>
      </w:r>
    </w:p>
    <w:p>
      <w:pPr>
        <w:spacing w:after="0" w:line="14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Company’s board of directors.</w:t>
      </w:r>
    </w:p>
    <w:p>
      <w:pPr>
        <w:spacing w:after="0" w:line="219"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shall mean the occurrence of one or more of the following: (i) Executive’s malfeasance, willful, or gross misconduct, or willful dishonesty that materially harms the Company or its stockholders; (ii) Executive’s conviction of a crime that is materially detrimental to the Company or its stockholders; (iii) Executive’s conviction of, or entry of a plea </w:t>
      </w:r>
      <w:r>
        <w:rPr>
          <w:rFonts w:ascii="Times New Roman" w:cs="Times New Roman" w:eastAsia="Times New Roman" w:hAnsi="Times New Roman"/>
          <w:sz w:val="22"/>
          <w:szCs w:val="22"/>
          <w:i w:val="1"/>
          <w:iCs w:val="1"/>
          <w:color w:val="auto"/>
        </w:rPr>
        <w:t>nolo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contendere </w:t>
      </w:r>
      <w:r>
        <w:rPr>
          <w:rFonts w:ascii="Times New Roman" w:cs="Times New Roman" w:eastAsia="Times New Roman" w:hAnsi="Times New Roman"/>
          <w:sz w:val="22"/>
          <w:szCs w:val="22"/>
          <w:color w:val="auto"/>
        </w:rPr>
        <w:t>to a crime that materially damages the Company’s financial condition or reputation or to a crime involving fraud; (iv)</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material violation of the Company’s Code of Ethics, including breach of duty of loyalty in connection with the Company’s business; (v) Executive’s willful failure to perform duties under this Agreement, after notice by the Board and an opportunity to cure; (vi) Executive’s failure to reasonably cooperate with, or Executive’s impedance or interference with, an investigation authorized by the Board; (vii) Executive’s failure to follow a legal and proper Board directive, after notice by the Board and a thirty (30) day opportunity to cure; or (viii) Executive’s willful misconduct or gross negligence pursuant to the Sarbanes-Oxley Act, if and to the extent such conduct triggers a restatement of the Company’s financial results.</w:t>
      </w:r>
    </w:p>
    <w:p>
      <w:pPr>
        <w:spacing w:after="0" w:line="18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19" w:lineRule="exact"/>
        <w:rPr>
          <w:rFonts w:ascii="Times New Roman" w:cs="Times New Roman" w:eastAsia="Times New Roman" w:hAnsi="Times New Roman"/>
          <w:sz w:val="22"/>
          <w:szCs w:val="22"/>
          <w:color w:val="auto"/>
        </w:rPr>
      </w:pPr>
    </w:p>
    <w:p>
      <w:pPr>
        <w:jc w:val="both"/>
        <w:ind w:firstLine="656"/>
        <w:spacing w:after="0" w:line="262" w:lineRule="auto"/>
        <w:tabs>
          <w:tab w:leader="none" w:pos="1296"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means Executive has been unable to engage in any substantial gainful activity by reason of any medically determinable physical or mental impairment that can be expected to result in death or can be expected to last for a continuous period of not less than twelve (12) months. Whether Executive is Disabled shall be determined by a qualified medical provider selected by the Company. Alternatively, Executive will be deemed Disabled if determined to be totally disabled by the Social Security Administration. Termination of employment resulting from Disability may only be effected after at least thirty</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44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written notice by the Company to Executive of Company’s intention to terminate Executive’s employment due to Disability. In the event that Executive resumes the performance of substantially all of his or her duties hereunder before his or her termination becomes effective, the notice of intent to terminate based on Disability will automatically be deemed to have been revoked. In conjunction with determining Disability for purposes of this Agreement,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w:t>
      </w:r>
    </w:p>
    <w:p>
      <w:pPr>
        <w:sectPr>
          <w:pgSz w:w="11900" w:h="16838" w:orient="portrait"/>
          <w:cols w:equalWidth="0" w:num="1">
            <w:col w:w="11240"/>
          </w:cols>
          <w:pgMar w:left="320" w:top="1440" w:right="339" w:bottom="1440" w:gutter="0" w:footer="0" w:header="0"/>
        </w:sectPr>
      </w:pPr>
    </w:p>
    <w:bookmarkStart w:id="131" w:name="page132"/>
    <w:bookmarkEnd w:id="131"/>
    <w:p>
      <w:pPr>
        <w:jc w:val="both"/>
        <w:spacing w:after="0" w:line="256" w:lineRule="auto"/>
        <w:rPr>
          <w:sz w:val="20"/>
          <w:szCs w:val="20"/>
          <w:color w:val="auto"/>
        </w:rPr>
      </w:pPr>
      <w:r>
        <w:rPr>
          <w:rFonts w:ascii="Times New Roman" w:cs="Times New Roman" w:eastAsia="Times New Roman" w:hAnsi="Times New Roman"/>
          <w:sz w:val="22"/>
          <w:szCs w:val="22"/>
          <w:color w:val="auto"/>
        </w:rPr>
        <w:t>hereby (i) consents to any such examinations, to be performed by a qualified medical provider selected by the Company and approved by the Executive (which approval shall not be unreasonably withheld), which are relevant to a determination of whether Executive has incurred a Disability; and (ii) agrees to furnish to the qualified medical provider selected by the Company such medical information as may be reasonably requested.</w:t>
      </w:r>
    </w:p>
    <w:p>
      <w:pPr>
        <w:spacing w:after="0" w:line="176" w:lineRule="exact"/>
        <w:rPr>
          <w:sz w:val="20"/>
          <w:szCs w:val="20"/>
          <w:color w:val="auto"/>
        </w:rPr>
      </w:pPr>
    </w:p>
    <w:p>
      <w:pPr>
        <w:jc w:val="both"/>
        <w:ind w:firstLine="656"/>
        <w:spacing w:after="0" w:line="247" w:lineRule="auto"/>
        <w:tabs>
          <w:tab w:leader="none" w:pos="129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Executive’s resignation due to the occurrence of any of the following conditions which occurs without Executive’s written consent, provided that the requirements regarding advance notice and an opportunity to cure set forth below are satisfied: (i) a material reduction of Executive’s duties, authority, responsibilities or reporting relationship, relative to Executive’s duties, authority, responsibilities or reporting relationship as in effect immediately prior to such reduction, provided, that neither a mere change in title alone nor reassignment to a position with substantially similar duties, authority, responsibilities or reporting relationship of a subsidiary, division or a business integrated within the business of an acquirer (or the Company, if the Company is the surviving entity in a Change of Control) will be deemed to be a material reduction of Executive’s duties, authority, responsibilities or reporting relationship; or (ii) the Company (or any successor thereto) requires Executive to relocate to a facility or location that increases Executive’s one-way commute by more than 35 miles from the location at which Executive were working immediately prior to the required relocation. In order for Executive to resign for Good Reason, Executive must provide written notice to the Company of the existence of the Good Reason condition within 30 days of the initial existence of such Good Reason condition. Upon receipt of such notice, the Company will have 30 days during which it may remedy the Good Reason condition and not be required to provide for the vesting acceleration described herein as a result of such proposed resignation. If the Good Reason condition is not remedied within such 30-day period, Executive may resign based on the Good Reason condition specified in the notice effective no later than 30 days following the expiration of the Company’s 30-day cure period.</w:t>
      </w:r>
    </w:p>
    <w:p>
      <w:pPr>
        <w:spacing w:after="0" w:line="194"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shall mean Code section 409A together with all regulation and regulatory guidance promulgated thereunder,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 of 2</w:t>
      </w:r>
    </w:p>
    <w:p>
      <w:pPr>
        <w:sectPr>
          <w:pgSz w:w="11900" w:h="16838" w:orient="portrait"/>
          <w:cols w:equalWidth="0" w:num="1">
            <w:col w:w="11240"/>
          </w:cols>
          <w:pgMar w:left="320" w:top="1422" w:right="339" w:bottom="1440" w:gutter="0" w:footer="0" w:header="0"/>
        </w:sectPr>
      </w:pPr>
    </w:p>
    <w:bookmarkStart w:id="132" w:name="page133"/>
    <w:bookmarkEnd w:id="132"/>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ATTACHMENT A</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CONFIDENTIAL INFORMATION AND INVENTION ASSIGNMENT AGREEMENT</w:t>
      </w:r>
    </w:p>
    <w:p>
      <w:pPr>
        <w:sectPr>
          <w:pgSz w:w="11900" w:h="16838" w:orient="portrait"/>
          <w:cols w:equalWidth="0" w:num="1">
            <w:col w:w="9019"/>
          </w:cols>
          <w:pgMar w:left="1440" w:top="1440"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EMPLOYMENT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between Life360, a corporation organized under the laws of the State of Delaware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Lauren Antonoff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(the Company and Executive is sometimes collectively referred to herein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sets forth the terms and conditions that shall govern Executive’s employment with the Company.</w:t>
      </w:r>
    </w:p>
    <w:p>
      <w:pPr>
        <w:spacing w:after="0" w:line="176"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xml:space="preserve">. Capitalized terms not otherwise defined shall have the meanings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Executive will commence full-time employment with the Company effective as of May 2, 2023, or such earlier date as agreed upon between the Executive and the Company (the actual date Executive commences employment,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is an “At Will” employment agreement. Nothing in the Company’s policies, actions, or this document shall be construed to alter the “At Will” nature of Executive’s status with Company, and Executive understands that Employer may terminate her employment at any time for any reason or for no reason, provided it is not terminated in violation of state or federal law. Similarly, the Executive may terminate her employment at any time and for any or for no reason. The term of this Agreement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begins on the Effective Date and ends on either (i) the date Executive voluntarily terminates her employment or (ii) the date the Company terminates Executive’s employment.</w:t>
      </w:r>
    </w:p>
    <w:p>
      <w:pPr>
        <w:spacing w:after="0" w:line="19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w:t>
      </w:r>
      <w:r>
        <w:rPr>
          <w:rFonts w:ascii="Times New Roman" w:cs="Times New Roman" w:eastAsia="Times New Roman" w:hAnsi="Times New Roman"/>
          <w:sz w:val="22"/>
          <w:szCs w:val="22"/>
          <w:color w:val="auto"/>
        </w:rPr>
        <w:t>. During the Term, Executive shall serve as the Company’s Chief Operating Officer (the “</w:t>
      </w:r>
      <w:r>
        <w:rPr>
          <w:rFonts w:ascii="Times New Roman" w:cs="Times New Roman" w:eastAsia="Times New Roman" w:hAnsi="Times New Roman"/>
          <w:sz w:val="22"/>
          <w:szCs w:val="22"/>
          <w:u w:val="single" w:color="auto"/>
          <w:color w:val="auto"/>
        </w:rPr>
        <w:t>COO</w:t>
      </w:r>
      <w:r>
        <w:rPr>
          <w:rFonts w:ascii="Times New Roman" w:cs="Times New Roman" w:eastAsia="Times New Roman" w:hAnsi="Times New Roman"/>
          <w:sz w:val="22"/>
          <w:szCs w:val="22"/>
          <w:color w:val="auto"/>
        </w:rPr>
        <w:t>”). Executive shall report directly to the Company’s Chief Executive Officer (the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In such capacity, Executive shall have the duties, functions, responsibilities, and authority appertaining to that position and shall have such other duties, functions, responsibilities, and authority consistent with such position as are from time to time delegated to her by the CEO.</w:t>
      </w:r>
    </w:p>
    <w:p>
      <w:pPr>
        <w:spacing w:after="0" w:line="192"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9"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Executive shall have supervision, control over, and responsibility for the day-to-day business and affairs of the Company and shall have such other powers and duties as may from time to time be prescribed by the CEO, provided that such supervision, control, responsibilities and duties are consistent with Executive’s position or other positions that she may hold from time to time. Executive shall devote substantially all of her business time and attention to the performance of Executive’s duties hereunder and to the Company’s affairs provided, that nothing herein shall preclude Executive from (i) serving on the board of directors of up to two (2) for-profit or non-profit companies that do not compete with the Company in the judgment of the CEO; (ii) serving on civic or charitable boards or committees; and/or (iii) managing personal investments, so long as all such activities described in clauses (i) through (iii) above do not unreasonably interfere with Executive’s performance of her duties to the Company as provided in this Agreement or create a potential business or fiduciary conflict and, in the case of the activities described in clauses (i) and (ii), are disclosed to the CEO.</w:t>
      </w:r>
    </w:p>
    <w:p>
      <w:pPr>
        <w:sectPr>
          <w:pgSz w:w="11900" w:h="16838" w:orient="portrait"/>
          <w:cols w:equalWidth="0" w:num="1">
            <w:col w:w="11240"/>
          </w:cols>
          <w:pgMar w:left="320" w:top="94" w:right="339" w:bottom="1440" w:gutter="0" w:footer="0" w:header="0"/>
        </w:sectPr>
      </w:pPr>
    </w:p>
    <w:bookmarkStart w:id="134" w:name="page135"/>
    <w:bookmarkEnd w:id="134"/>
    <w:p>
      <w:pPr>
        <w:jc w:val="both"/>
        <w:ind w:left="-656" w:firstLine="1304"/>
        <w:spacing w:after="0" w:line="257" w:lineRule="auto"/>
        <w:tabs>
          <w:tab w:leader="none" w:pos="1285"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Principal Place of Employment</w:t>
      </w:r>
      <w:r>
        <w:rPr>
          <w:rFonts w:ascii="Times New Roman" w:cs="Times New Roman" w:eastAsia="Times New Roman" w:hAnsi="Times New Roman"/>
          <w:sz w:val="22"/>
          <w:szCs w:val="22"/>
          <w:color w:val="auto"/>
        </w:rPr>
        <w:t>. Executive’s initial principal place of employment during the Term shall be Executive’s home residence, or as shall be designated by the CEO, subject to the terms and conditions of this Agreement. The Parties acknowledge that Executive may be required to travel in connection with the performance of her duties hereunder.</w:t>
      </w:r>
    </w:p>
    <w:p>
      <w:pPr>
        <w:spacing w:after="0" w:line="186" w:lineRule="exact"/>
        <w:rPr>
          <w:rFonts w:ascii="Times New Roman" w:cs="Times New Roman" w:eastAsia="Times New Roman" w:hAnsi="Times New Roman"/>
          <w:sz w:val="22"/>
          <w:szCs w:val="22"/>
          <w:color w:val="auto"/>
        </w:rPr>
      </w:pPr>
    </w:p>
    <w:p>
      <w:pPr>
        <w:ind w:left="-656" w:firstLine="1304"/>
        <w:spacing w:after="0" w:line="271" w:lineRule="auto"/>
        <w:tabs>
          <w:tab w:leader="none" w:pos="1283"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Policies</w:t>
      </w:r>
      <w:r>
        <w:rPr>
          <w:rFonts w:ascii="Times New Roman" w:cs="Times New Roman" w:eastAsia="Times New Roman" w:hAnsi="Times New Roman"/>
          <w:sz w:val="22"/>
          <w:szCs w:val="22"/>
          <w:color w:val="auto"/>
        </w:rPr>
        <w:t>. During the Term, Executive shall be subject to all of the Company’s corporate governance, ethics, and executive compensation and other policies as in effect from time to time.</w:t>
      </w:r>
    </w:p>
    <w:p>
      <w:pPr>
        <w:spacing w:after="0" w:line="157" w:lineRule="exact"/>
        <w:rPr>
          <w:rFonts w:ascii="Times New Roman" w:cs="Times New Roman" w:eastAsia="Times New Roman" w:hAnsi="Times New Roman"/>
          <w:sz w:val="22"/>
          <w:szCs w:val="22"/>
          <w:color w:val="auto"/>
        </w:rPr>
      </w:pPr>
    </w:p>
    <w:p>
      <w:pPr>
        <w:jc w:val="both"/>
        <w:ind w:left="-656" w:firstLine="1304"/>
        <w:spacing w:after="0" w:line="257" w:lineRule="auto"/>
        <w:tabs>
          <w:tab w:leader="none" w:pos="1285"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Benefits, Other Items Applicable to Executive</w:t>
      </w:r>
      <w:r>
        <w:rPr>
          <w:rFonts w:ascii="Times New Roman" w:cs="Times New Roman" w:eastAsia="Times New Roman" w:hAnsi="Times New Roman"/>
          <w:sz w:val="22"/>
          <w:szCs w:val="22"/>
          <w:color w:val="auto"/>
        </w:rPr>
        <w:t>. During the Term, Executive shall be entitled to the compensation and benefits described in Sections 4, 5 and 6 of this Agreement, in addition to any other compensation agreed to between Executive and the Company.</w:t>
      </w:r>
    </w:p>
    <w:p>
      <w:pPr>
        <w:spacing w:after="0" w:line="186"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56" w:right="20" w:firstLine="1304"/>
        <w:spacing w:after="0" w:line="252" w:lineRule="auto"/>
        <w:tabs>
          <w:tab w:leader="none" w:pos="1285"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Executive shall receive an annual base salary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of four hundred fifty thousand dollars ($450,000), payable in regular installments in accordance with the Company’s usual payroll practices. Executive’s Base Salary is subject to annual review and may, in the Board’s discretion, be increased or decreased. As so adjusted, the term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shall refer to the adjusted amount.</w:t>
      </w:r>
    </w:p>
    <w:p>
      <w:pPr>
        <w:spacing w:after="0" w:line="179" w:lineRule="exact"/>
        <w:rPr>
          <w:rFonts w:ascii="Times New Roman" w:cs="Times New Roman" w:eastAsia="Times New Roman" w:hAnsi="Times New Roman"/>
          <w:sz w:val="22"/>
          <w:szCs w:val="22"/>
          <w:color w:val="auto"/>
        </w:rPr>
      </w:pPr>
    </w:p>
    <w:p>
      <w:pPr>
        <w:jc w:val="both"/>
        <w:ind w:left="-656" w:firstLine="1304"/>
        <w:spacing w:after="0" w:line="248" w:lineRule="auto"/>
        <w:tabs>
          <w:tab w:leader="none" w:pos="1283"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Bonus</w:t>
      </w:r>
      <w:r>
        <w:rPr>
          <w:rFonts w:ascii="Times New Roman" w:cs="Times New Roman" w:eastAsia="Times New Roman" w:hAnsi="Times New Roman"/>
          <w:sz w:val="22"/>
          <w:szCs w:val="22"/>
          <w:color w:val="auto"/>
        </w:rPr>
        <w:t>. Executive will have the opportunity to earn an annual Performance Bonus target of 50% of Base Salary. Performance Bonus will be 50% based on quantitative company performance, and 50% based on qualitative individual performance, in each case, based on performance objectives established by the Company no later than five months in advance of the end of each semi-annual review process. The Performance Bonus will be issued semi-annually during the Company’s semi-annual review process; the Company will determine in its sole and absolute discretion the extent to which Executive has earned performance bonus for such semi-annual period. Achievement may be scored between 0% and 200%. The Company’s determination with respect to each performance bonus will be final and binding. Any performance bonus earned will be paid as soon as practicable following the Company’s semi-annual review process and, in any event, within the first calendar month following the end of the applicable semi-annual period for which the performance bonus is earned. Executive will not earn a performance bonus for any semi-annual period unless they are employed by the Company on the date such performance bonus is paid.</w:t>
      </w:r>
    </w:p>
    <w:p>
      <w:pPr>
        <w:spacing w:after="0" w:line="202" w:lineRule="exact"/>
        <w:rPr>
          <w:rFonts w:ascii="Times New Roman" w:cs="Times New Roman" w:eastAsia="Times New Roman" w:hAnsi="Times New Roman"/>
          <w:sz w:val="22"/>
          <w:szCs w:val="22"/>
          <w:color w:val="auto"/>
        </w:rPr>
      </w:pPr>
    </w:p>
    <w:p>
      <w:pPr>
        <w:jc w:val="both"/>
        <w:ind w:left="-656" w:firstLine="1304"/>
        <w:spacing w:after="0" w:line="250" w:lineRule="auto"/>
        <w:tabs>
          <w:tab w:leader="none" w:pos="1285"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Signing Bonus</w:t>
      </w:r>
      <w:r>
        <w:rPr>
          <w:rFonts w:ascii="Times New Roman" w:cs="Times New Roman" w:eastAsia="Times New Roman" w:hAnsi="Times New Roman"/>
          <w:sz w:val="22"/>
          <w:szCs w:val="22"/>
          <w:color w:val="auto"/>
        </w:rPr>
        <w:t>. Executive will receive a one-time signing bonus of $80,000 payable within the first 30 days of employment with the Company according to the Company’s standard payroll practices. In the event Executive’s employment is terminated for Cause, or she voluntarily leaves Life360 within 12 months of her date of hire without Good Reason, Executive will be responsible for reimbursing the company a prorated portion of the net amount received, to be calculated based upon her months of service, within thirty (30) days of her departure.</w:t>
      </w:r>
    </w:p>
    <w:p>
      <w:pPr>
        <w:sectPr>
          <w:pgSz w:w="11900" w:h="16838" w:orient="portrait"/>
          <w:cols w:equalWidth="0" w:num="1">
            <w:col w:w="10584"/>
          </w:cols>
          <w:pgMar w:left="976" w:top="1421" w:right="339" w:bottom="1440" w:gutter="0" w:footer="0" w:header="0"/>
        </w:sectPr>
      </w:pPr>
    </w:p>
    <w:bookmarkStart w:id="135" w:name="page136"/>
    <w:bookmarkEnd w:id="135"/>
    <w:p>
      <w:pPr>
        <w:ind w:left="644" w:hanging="644"/>
        <w:spacing w:after="0"/>
        <w:tabs>
          <w:tab w:leader="none" w:pos="6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p>
    <w:p>
      <w:pPr>
        <w:spacing w:after="0" w:line="219" w:lineRule="exact"/>
        <w:rPr>
          <w:rFonts w:ascii="Times New Roman" w:cs="Times New Roman" w:eastAsia="Times New Roman" w:hAnsi="Times New Roman"/>
          <w:sz w:val="22"/>
          <w:szCs w:val="22"/>
          <w:color w:val="auto"/>
        </w:rPr>
      </w:pPr>
    </w:p>
    <w:p>
      <w:pPr>
        <w:jc w:val="both"/>
        <w:ind w:left="-656" w:firstLine="1304"/>
        <w:spacing w:after="0" w:line="249" w:lineRule="auto"/>
        <w:tabs>
          <w:tab w:leader="none" w:pos="1285"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RSU Award</w:t>
      </w:r>
      <w:r>
        <w:rPr>
          <w:rFonts w:ascii="Times New Roman" w:cs="Times New Roman" w:eastAsia="Times New Roman" w:hAnsi="Times New Roman"/>
          <w:sz w:val="22"/>
          <w:szCs w:val="22"/>
          <w:color w:val="auto"/>
        </w:rPr>
        <w:t>. An Equity grant will be recommended to the Board in the form of a restricted stock unit award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under the Amended and Restated 2011Stock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Executive’s initial grant of RSUs (the “</w:t>
      </w:r>
      <w:r>
        <w:rPr>
          <w:rFonts w:ascii="Times New Roman" w:cs="Times New Roman" w:eastAsia="Times New Roman" w:hAnsi="Times New Roman"/>
          <w:sz w:val="22"/>
          <w:szCs w:val="22"/>
          <w:u w:val="single" w:color="auto"/>
          <w:color w:val="auto"/>
        </w:rPr>
        <w:t>RSU Award</w:t>
      </w:r>
      <w:r>
        <w:rPr>
          <w:rFonts w:ascii="Times New Roman" w:cs="Times New Roman" w:eastAsia="Times New Roman" w:hAnsi="Times New Roman"/>
          <w:sz w:val="22"/>
          <w:szCs w:val="22"/>
          <w:color w:val="auto"/>
        </w:rPr>
        <w:t>”) will be based on a total current value of $4,000,000 USD (the “</w:t>
      </w:r>
      <w:r>
        <w:rPr>
          <w:rFonts w:ascii="Times New Roman" w:cs="Times New Roman" w:eastAsia="Times New Roman" w:hAnsi="Times New Roman"/>
          <w:sz w:val="22"/>
          <w:szCs w:val="22"/>
          <w:u w:val="single" w:color="auto"/>
          <w:color w:val="auto"/>
        </w:rPr>
        <w:t>Cash Value</w:t>
      </w:r>
      <w:r>
        <w:rPr>
          <w:rFonts w:ascii="Times New Roman" w:cs="Times New Roman" w:eastAsia="Times New Roman" w:hAnsi="Times New Roman"/>
          <w:sz w:val="22"/>
          <w:szCs w:val="22"/>
          <w:color w:val="auto"/>
        </w:rPr>
        <w:t>”). The number of shares subject to Executive’s RSU Award will be calculated by dividing the Cash Value by the appropriate Life360 closing stock price at the time of Board approval of the RSU Award to determine the number of shares subject to Executive’s RSU Award. Each RSU entitles executive to 1 share of the Company’s common stock once the vested portion of the RSU Award is settled. The RSU award will vest pursuant to a 36-month vesting schedule, which will provide that 1/3 of the share subjects to the RSU Award will vest after 12 months of full-time employment, and 1/36th of the shares subjects to the RSU Award will vest as and when Executive completes each month of full-time employment thereafter. The vested RSUs will settle as soon as practical following the vesting date and will be done at least quarterly.</w:t>
      </w:r>
    </w:p>
    <w:p>
      <w:pPr>
        <w:spacing w:after="0" w:line="183" w:lineRule="exact"/>
        <w:rPr>
          <w:rFonts w:ascii="Times New Roman" w:cs="Times New Roman" w:eastAsia="Times New Roman" w:hAnsi="Times New Roman"/>
          <w:sz w:val="22"/>
          <w:szCs w:val="22"/>
          <w:color w:val="auto"/>
        </w:rPr>
      </w:pPr>
    </w:p>
    <w:p>
      <w:pPr>
        <w:jc w:val="both"/>
        <w:ind w:left="-656" w:firstLine="1304"/>
        <w:spacing w:after="0" w:line="259" w:lineRule="auto"/>
        <w:tabs>
          <w:tab w:leader="none" w:pos="1283"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w:t>
      </w:r>
      <w:r>
        <w:rPr>
          <w:rFonts w:ascii="Times New Roman" w:cs="Times New Roman" w:eastAsia="Times New Roman" w:hAnsi="Times New Roman"/>
          <w:sz w:val="21"/>
          <w:szCs w:val="21"/>
          <w:u w:val="single" w:color="auto"/>
          <w:color w:val="auto"/>
        </w:rPr>
        <w:t>efresh RSU Awards</w:t>
      </w:r>
      <w:r>
        <w:rPr>
          <w:rFonts w:ascii="Times New Roman" w:cs="Times New Roman" w:eastAsia="Times New Roman" w:hAnsi="Times New Roman"/>
          <w:sz w:val="21"/>
          <w:szCs w:val="21"/>
          <w:color w:val="auto"/>
        </w:rPr>
        <w:t>. An Equity grant will be recommended to the Board in the form of RSUs under the Plan at the Board meeting that precedes the earlier of (a) the date of Company’s issuance of Refresh RSU Award(s) to other senior executives and (b) Executive’s one-year anniversary with Company. Executive’s first refresh grant of RSUs (the “</w:t>
      </w: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Refresh RSU Award</w:t>
      </w:r>
      <w:r>
        <w:rPr>
          <w:rFonts w:ascii="Times New Roman" w:cs="Times New Roman" w:eastAsia="Times New Roman" w:hAnsi="Times New Roman"/>
          <w:sz w:val="21"/>
          <w:szCs w:val="21"/>
          <w:color w:val="auto"/>
        </w:rPr>
        <w:t>”) will have a minimum total then-current value of $2,000,000 USD (the “</w:t>
      </w:r>
      <w:r>
        <w:rPr>
          <w:rFonts w:ascii="Times New Roman" w:cs="Times New Roman" w:eastAsia="Times New Roman" w:hAnsi="Times New Roman"/>
          <w:sz w:val="21"/>
          <w:szCs w:val="21"/>
          <w:u w:val="single" w:color="auto"/>
          <w:color w:val="auto"/>
        </w:rPr>
        <w:t>First Refresh Cash Value</w:t>
      </w:r>
      <w:r>
        <w:rPr>
          <w:rFonts w:ascii="Times New Roman" w:cs="Times New Roman" w:eastAsia="Times New Roman" w:hAnsi="Times New Roman"/>
          <w:sz w:val="21"/>
          <w:szCs w:val="21"/>
          <w:color w:val="auto"/>
        </w:rPr>
        <w:t>”). An Equity grant will be recommended to the Board in the form of RSUs under the Plan at the Board meeting that precedes the earlier of (a) the date of Company’s issuance of Refresh RSU Award(s) to other senior executives for the fiscal year starting on January 1, 2025 and (b) Executive’s two-year anniversary with Company. Executive’s second Refresh Award of RSUs (the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Refresh RSU Award</w:t>
      </w:r>
      <w:r>
        <w:rPr>
          <w:rFonts w:ascii="Times New Roman" w:cs="Times New Roman" w:eastAsia="Times New Roman" w:hAnsi="Times New Roman"/>
          <w:sz w:val="21"/>
          <w:szCs w:val="21"/>
          <w:color w:val="auto"/>
        </w:rPr>
        <w:t>”) will have a minimum then-current value of $2,000,000 USD (the “</w:t>
      </w:r>
      <w:r>
        <w:rPr>
          <w:rFonts w:ascii="Times New Roman" w:cs="Times New Roman" w:eastAsia="Times New Roman" w:hAnsi="Times New Roman"/>
          <w:sz w:val="21"/>
          <w:szCs w:val="21"/>
          <w:u w:val="single" w:color="auto"/>
          <w:color w:val="auto"/>
        </w:rPr>
        <w:t>Second Refresh Cash Value</w:t>
      </w:r>
      <w:r>
        <w:rPr>
          <w:rFonts w:ascii="Times New Roman" w:cs="Times New Roman" w:eastAsia="Times New Roman" w:hAnsi="Times New Roman"/>
          <w:sz w:val="21"/>
          <w:szCs w:val="21"/>
          <w:color w:val="auto"/>
        </w:rPr>
        <w:t>”). The number of shares subject to each of Executive’s Refresh RSU Awards will be calculated by dividing the applicable Cash Value by the appropriate Life360 closing stock price at the time of Board approval of the RSU Award to determine the number of shares subject to Executive’s First Refresh RSU Award and Second Refresh RSU Award. Each RSU entitles Executive to 1 share of the Company’s common stock once the vested portion of the applicable RSU Award is settled. Each Refresh RSU Award will vest pursuant to a 48-month vesting schedule, which will provide that 1/48th of the shares subject to the RSU Award will vest as and when Executive completes each month of full-time employment thereafter. The vesting schedule for the First Refresh RSU Award will begin on the date of Executive’s one-year anniversary with the Company. The vesting schedule for the Second Refresh RSU Award will begin on the date of Executive’s two-year anniversary with the Company. The vested RSUs will settle as soon as practical following the vesting date and will be done at least quarterly. The Parties acknowledge and agree that the Company will be working to develop and launch a new performance equity plan (“</w:t>
      </w:r>
      <w:r>
        <w:rPr>
          <w:rFonts w:ascii="Times New Roman" w:cs="Times New Roman" w:eastAsia="Times New Roman" w:hAnsi="Times New Roman"/>
          <w:sz w:val="21"/>
          <w:szCs w:val="21"/>
          <w:u w:val="single" w:color="auto"/>
          <w:color w:val="auto"/>
        </w:rPr>
        <w:t>New Equity Plan</w:t>
      </w:r>
      <w:r>
        <w:rPr>
          <w:rFonts w:ascii="Times New Roman" w:cs="Times New Roman" w:eastAsia="Times New Roman" w:hAnsi="Times New Roman"/>
          <w:sz w:val="21"/>
          <w:szCs w:val="21"/>
          <w:color w:val="auto"/>
        </w:rPr>
        <w:t>”) and in the event such a New Equity Plan is approved by the Board, or the appropriate Committee of the Board, and launched during the two-year period following the Effective Date, then either or both of the foregoing First Refresh RSU Award and Second Refresh RSU Award outlined in this Section 5(b) may be replaced with the New Equity Plan, provided that such New Equity Plan would only replace any of the foregoing Refresh RSU Awards which have not yet been granted at the time of</w:t>
      </w:r>
    </w:p>
    <w:p>
      <w:pPr>
        <w:sectPr>
          <w:pgSz w:w="11900" w:h="16838" w:orient="portrait"/>
          <w:cols w:equalWidth="0" w:num="1">
            <w:col w:w="10584"/>
          </w:cols>
          <w:pgMar w:left="976" w:top="1421" w:right="339" w:bottom="1440" w:gutter="0" w:footer="0" w:header="0"/>
        </w:sectPr>
      </w:pPr>
    </w:p>
    <w:bookmarkStart w:id="136" w:name="page137"/>
    <w:bookmarkEnd w:id="136"/>
    <w:p>
      <w:pPr>
        <w:jc w:val="both"/>
        <w:spacing w:after="0" w:line="250" w:lineRule="auto"/>
        <w:rPr>
          <w:sz w:val="20"/>
          <w:szCs w:val="20"/>
          <w:color w:val="auto"/>
        </w:rPr>
      </w:pPr>
      <w:r>
        <w:rPr>
          <w:rFonts w:ascii="Times New Roman" w:cs="Times New Roman" w:eastAsia="Times New Roman" w:hAnsi="Times New Roman"/>
          <w:sz w:val="22"/>
          <w:szCs w:val="22"/>
          <w:color w:val="auto"/>
        </w:rPr>
        <w:t>the New Equity Plan launch, and provided further that if the New Equity Plan is launched after August 31, 2023, it shall not replace the First Refresh RSU Award, and if the New Equity Plan is launched after August 31, 2024, it shall not replace the Second Refresh RSU Award. It is the Parties’ intent that Executive be eligible to earn additional equity beginning immediately upon her employment, and that the New Equity Plan will replace, rather than complement, the Refresh RSU Awards, but will not replace either or both Refresh RSU Award(s) without providing substitute equity for the respective time period before launch of the New Equity Plan. For the avoidance of doubt, unless mutually agreed by both Parties, Executive may receive the benefit of the First Refresh RSU Award and the New Equity Plan (for the second year of her employment), but will not be entitled or eligible to receive the benefits of both Refresh RSU Awards and the New Equity Plan during two-year period following the Effective Date.</w:t>
      </w:r>
    </w:p>
    <w:p>
      <w:pPr>
        <w:spacing w:after="0" w:line="180" w:lineRule="exact"/>
        <w:rPr>
          <w:sz w:val="20"/>
          <w:szCs w:val="20"/>
          <w:color w:val="auto"/>
        </w:rPr>
      </w:pPr>
    </w:p>
    <w:p>
      <w:pPr>
        <w:ind w:left="1940" w:hanging="636"/>
        <w:spacing w:after="0"/>
        <w:tabs>
          <w:tab w:leader="none" w:pos="194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Terms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47" w:lineRule="auto"/>
        <w:tabs>
          <w:tab w:leader="none" w:pos="258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Notwithstanding anything stated herein, if a Change of Control occurs (as defined in the Plan) and, upon or within twelve (12) months following such Change of Control, Executive’s employment with the Company is terminated by the Company other than for Cause or is terminated by Executive for Good Reason and, in either case, such termination constitutes a “separation from service” (as defined in Treasury Regulation 1.409A-1(h)) (an “</w:t>
      </w:r>
      <w:r>
        <w:rPr>
          <w:rFonts w:ascii="Times New Roman" w:cs="Times New Roman" w:eastAsia="Times New Roman" w:hAnsi="Times New Roman"/>
          <w:sz w:val="22"/>
          <w:szCs w:val="22"/>
          <w:u w:val="single" w:color="auto"/>
          <w:color w:val="auto"/>
        </w:rPr>
        <w:t>Involuntary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Separation</w:t>
      </w:r>
      <w:r>
        <w:rPr>
          <w:rFonts w:ascii="Times New Roman" w:cs="Times New Roman" w:eastAsia="Times New Roman" w:hAnsi="Times New Roman"/>
          <w:sz w:val="22"/>
          <w:szCs w:val="22"/>
          <w:color w:val="auto"/>
        </w:rPr>
        <w:t>”), then effective as of such termination, and subject to the Executive’s execution and non-revocation of a general release in a form reasonably acceptable to the Company no later than the sixtieth (60th) day thereafter, (i) the vesting of all awards of RSUs held by Executive shall accelerate as of such termination; such that all of the total RSUs held by Executive that are unvested as of such termination will vest (for purposes of clarity, Executive cannot vest in more than 100% of the total RSUs awarded to Executive). In addition, if the successor to the Company or any affiliate of such successor does not agree to assume, substitute or otherwise continue any awards of RSUs at the time of a Change of Control (and if offered new or continued employment with such acquirer or successor, Executive does not voluntarily resign without Good Reason), then 100% of the then unvested shares subject to the awards of RSUs that are not assumed or substituted for, as applicable, shall fully vest and immediately prior to, and contingent upon, the consummation of such Change of Control.</w:t>
      </w:r>
    </w:p>
    <w:p>
      <w:pPr>
        <w:spacing w:after="0" w:line="192" w:lineRule="exact"/>
        <w:rPr>
          <w:rFonts w:ascii="Times New Roman" w:cs="Times New Roman" w:eastAsia="Times New Roman" w:hAnsi="Times New Roman"/>
          <w:sz w:val="22"/>
          <w:szCs w:val="22"/>
          <w:color w:val="auto"/>
        </w:rPr>
      </w:pPr>
    </w:p>
    <w:p>
      <w:pPr>
        <w:jc w:val="both"/>
        <w:ind w:firstLine="1952"/>
        <w:spacing w:after="0" w:line="235" w:lineRule="auto"/>
        <w:tabs>
          <w:tab w:leader="none" w:pos="258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Separate Payments Under Section 409A</w:t>
      </w:r>
      <w:r>
        <w:rPr>
          <w:rFonts w:ascii="Times New Roman" w:cs="Times New Roman" w:eastAsia="Times New Roman" w:hAnsi="Times New Roman"/>
          <w:sz w:val="22"/>
          <w:szCs w:val="22"/>
          <w:color w:val="auto"/>
        </w:rPr>
        <w:t>. For purposes of Internal Revenue Code Section 409A, each RSU vesting tranche described above is hereby designated as a separate payment. The Parties intend that all payments and benefits made or to be made under this Agreement comply with, or are exempt from, the requirements of Section 409A so that none of the payments or benefits will be subject to the adverse tax penalties imposed under Section 409A, and any ambiguities herein will be interpreted to so comply or be so exempt. Specifically, any severance benefits made in connection with Executive’s Involuntary Separation under this Agreement and provided on or before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month following the end of Executive’s first tax year in which Executive’s Involuntary Separation occurs or, if later,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month following the end of the Company’s first tax year in which Executive’s Involuntary Separation occurs, shall be exempt from Section 409A to the maximum extent permitted pursuant to Treasury Regulation Section 1.409A-1(b)(4) and any other severance benefits provided in connection with Executive’s Involuntary Separation under this Agreement</w:t>
      </w:r>
    </w:p>
    <w:p>
      <w:pPr>
        <w:sectPr>
          <w:pgSz w:w="11900" w:h="16838" w:orient="portrait"/>
          <w:cols w:equalWidth="0" w:num="1">
            <w:col w:w="11240"/>
          </w:cols>
          <w:pgMar w:left="320" w:top="14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color w:val="auto"/>
        </w:rPr>
        <w:t>shall be exempt from Section 409A to the maximum extent permitted pursuant to Treasury Regulation Section 1.409A-1(b)(9)</w:t>
      </w:r>
    </w:p>
    <w:p>
      <w:pPr>
        <w:spacing w:after="0" w:line="27" w:lineRule="exact"/>
        <w:rPr>
          <w:sz w:val="20"/>
          <w:szCs w:val="20"/>
          <w:color w:val="auto"/>
        </w:rPr>
      </w:pPr>
    </w:p>
    <w:p>
      <w:pPr>
        <w:jc w:val="both"/>
        <w:ind w:firstLine="8"/>
        <w:spacing w:after="0" w:line="239" w:lineRule="auto"/>
        <w:tabs>
          <w:tab w:leader="none" w:pos="39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it is exempt pursuant to such section it will in any event be paid no later than the last day of Executive’s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taxable year following the taxable year in which Executive’s Involuntary Separation occurs). Notwithstanding the foregoing, if any of the benefits provided in connection with Executive’s Involuntary Separation do not qualify for any reason to be exempt from Section 409A pursuant to Treasury Regulation Section 1.409A-1(b)(4), Treasury Regulation Section 1.409A-1(b)(9)(iii), or any other applicable exemption and Executive is, at the time of Executive’s Involuntary Separation, a “specified employee,” as defined in Treasury Regulation Section 1.409A-1(i) (i.e., Executive is a “key employee” of a publicly traded company), each such benefit will not be provided until the first regularly scheduled payroll date of the 7th month after Executive’s Involuntary Separation and, on such date (or, if earlier, the date of Executive’s death), Executive will receive all benefits that would have been provided during such period. In no event whatsoever shall the Company be liable for interest and additional tax that may be imposed on Executive by Section 409A or any damages for failing to comply with Section 409A.</w:t>
      </w:r>
    </w:p>
    <w:p>
      <w:pPr>
        <w:spacing w:after="0" w:line="196" w:lineRule="exact"/>
        <w:rPr>
          <w:rFonts w:ascii="Times New Roman" w:cs="Times New Roman" w:eastAsia="Times New Roman" w:hAnsi="Times New Roman"/>
          <w:sz w:val="22"/>
          <w:szCs w:val="22"/>
          <w:color w:val="auto"/>
        </w:rPr>
      </w:pPr>
    </w:p>
    <w:p>
      <w:pPr>
        <w:jc w:val="both"/>
        <w:ind w:firstLine="1952"/>
        <w:spacing w:after="0" w:line="275" w:lineRule="auto"/>
        <w:tabs>
          <w:tab w:leader="none" w:pos="2592" w:val="left"/>
        </w:tabs>
        <w:numPr>
          <w:ilvl w:val="3"/>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Regulatory Requirements</w:t>
      </w:r>
      <w:r>
        <w:rPr>
          <w:rFonts w:ascii="Times New Roman" w:cs="Times New Roman" w:eastAsia="Times New Roman" w:hAnsi="Times New Roman"/>
          <w:sz w:val="21"/>
          <w:szCs w:val="21"/>
          <w:color w:val="auto"/>
        </w:rPr>
        <w:t>. If the grant of the RSU Award would violate any regulatory provisions, including, without limitation, any regulations with respect to the Australian Securities Exchange, then Executive and the Company shall, in good faith, consider alternative arrangements designed to provide similar economic value to the Executive.</w:t>
      </w:r>
    </w:p>
    <w:p>
      <w:pPr>
        <w:spacing w:after="0" w:line="168"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and Fringe Benefits; Expense Reimbursements</w:t>
      </w:r>
    </w:p>
    <w:p>
      <w:pPr>
        <w:spacing w:after="0" w:line="21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During the Term, Executive and their eligible dependents (if any) shall be able to participate in employee benefit plans and perquisite and fringe benefit programs on a basis no less favorable than the basis on which such benefits and perquisites are provided by the Company from time to time to other similarly situated senior executive employees, subject in each case to the terms and conditions of the plan or program in question, including any eligibility requirements set forth therein, and the determination of any person or committee administering the plan or program. Notwithstanding the foregoing or any other statement to the contrary, the Company reserves the right to modify or terminate benefits from time to time as it deems necessary or appropriate.</w:t>
      </w:r>
    </w:p>
    <w:p>
      <w:pPr>
        <w:spacing w:after="0" w:line="18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Executive shall be entitled to paid vacation each year in accordance with the Company’s then-current vacation policy for other similarly situated senior executive employees. The rules relating to other absences from regular duties for holidays, sick or disability leave, leave of absence without pay, or for other reasons, shall be the same as those provided to the Company’s other similarly situated senior executive employees.</w:t>
      </w:r>
    </w:p>
    <w:p>
      <w:pPr>
        <w:spacing w:after="0" w:line="17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w:t>
      </w:r>
      <w:r>
        <w:rPr>
          <w:rFonts w:ascii="Times New Roman" w:cs="Times New Roman" w:eastAsia="Times New Roman" w:hAnsi="Times New Roman"/>
          <w:sz w:val="22"/>
          <w:szCs w:val="22"/>
          <w:color w:val="auto"/>
        </w:rPr>
        <w:t>. Executive shall be entitled to receive prompt reimbursement for all travel and business expenses reasonably incurred and accounted for by Executive (in accordance with the policies and procedures established from time to time by the Company for Executive or as otherwise provided for in the Company’s approved travel budget) in performing services hereunder. Any reimbursement that Executive is entitled to receive shall (i) be paid as soon as practicable and in any event no later than the last day of Executive’s tax year following the tax year in which the expense was incurred, (ii) not be affected by any other</w:t>
      </w:r>
    </w:p>
    <w:p>
      <w:pPr>
        <w:sectPr>
          <w:pgSz w:w="11900" w:h="16838" w:orient="portrait"/>
          <w:cols w:equalWidth="0" w:num="1">
            <w:col w:w="11240"/>
          </w:cols>
          <w:pgMar w:left="320" w:top="14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1"/>
          <w:szCs w:val="21"/>
          <w:color w:val="auto"/>
        </w:rPr>
        <w:t>expenses that are eligible for reimbursement in any tax year and (ii) not be subject to liquidation or exchange for another benefit.</w:t>
      </w:r>
    </w:p>
    <w:p>
      <w:pPr>
        <w:spacing w:after="0" w:line="231" w:lineRule="exact"/>
        <w:rPr>
          <w:sz w:val="20"/>
          <w:szCs w:val="20"/>
          <w:color w:val="auto"/>
        </w:rPr>
      </w:pPr>
    </w:p>
    <w:p>
      <w:pPr>
        <w:jc w:val="both"/>
        <w:ind w:firstLine="656"/>
        <w:spacing w:after="0" w:line="250" w:lineRule="auto"/>
        <w:tabs>
          <w:tab w:leader="none" w:pos="129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Except for the provisions intended to survive for other periods of time as specified in Section 13(l) below, this Agreement and Executive’s employment shall terminate (i) at any time upon mutual written agreement of the Parties; (ii) by the Company, immediately, for Cause as provided in Section 7(a); (iii) immediately upon Executive’s death or Disability as provided in Section 7(b); or (iv) by the Company for any reason other than Cause with advance written notice of at least six (6) months of any such termination; or (v) by Executive for any reason other than due to Executive’s death or Disability with advance written notice as provided in Section 7(a). The date on which Executive’s employment ends under this Section 7 shall be referred to herein as her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w:t>
      </w:r>
    </w:p>
    <w:p>
      <w:pPr>
        <w:spacing w:after="0" w:line="193"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41"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 Voluntary Termination Without Good Reason</w:t>
      </w:r>
      <w:r>
        <w:rPr>
          <w:rFonts w:ascii="Times New Roman" w:cs="Times New Roman" w:eastAsia="Times New Roman" w:hAnsi="Times New Roman"/>
          <w:sz w:val="21"/>
          <w:szCs w:val="21"/>
          <w:color w:val="auto"/>
        </w:rPr>
        <w:t>. At any time during the Term, (i) the Company may immediately terminate Executive’s employment for Cause, and (ii) Executive may terminate her employment “voluntarily” (that is, other than by death, Disability, or with Good Reason); provided, that Executive will be required to give the Board at least six (6) months’ advance written notice of any such termination; provided, however, that the Board may waive all or any part of the foregoing notice requirement in its sole discretion, in which case Executive’s voluntary termination will be effective upon the date specified by the Board, which will be the Termination Date for purposes of this Agreement. For the avoidance of doubt, Executive will only be paid for services through the actual Termination Date and will not be entitled to any additional vesting following the Termination Date. Upon the termination of Executive’s employment by the Company for Cause or by Executive’s voluntary termination, Executive shall receive the Accrued Obligations. All other benefits, if any, due to Executive following Executive’s Termination Date pursuant to this Section 7(a) shall be determined in accordance with the plans, policies, and practices of the Company as then in effect, including but not necessarily limited to the Plan. Executive shall not earn or accrue any additional compensation or other benefits under this Agreement following the Termination Date. Notwithstanding anything in this Section 7 to the contrary, in the event Executive is terminated for Cause, the Company will provide notice to the Executive outlining the reason(s) underlying the termination within one business day of such termination; for the avoidance of doubt, the foregoing notice provision is not a condition precedent to a termination for Cause.</w:t>
      </w:r>
    </w:p>
    <w:p>
      <w:pPr>
        <w:spacing w:after="0" w:line="181"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 or Disability</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0"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Executive’s employment with the Company shall terminate upon Executive’s death. Upon the termination of the Term and Executive’s employment as a result of this Section 7(b)(i), Executive’s estate shall receive the Accrued Obligations within fifteen (15) days following the Termination Date. All payments or benefits, if any, due to Executive’s estate following Executive’s termination due to death shall be determined in accordance with the plans, policies, and practices of the Company as then in effect. Executive’s estate shall not earn or accrue any additional compensation or other benefits under this Agreement following the Termination Date.</w:t>
      </w:r>
    </w:p>
    <w:p>
      <w:pPr>
        <w:sectPr>
          <w:pgSz w:w="11900" w:h="16838" w:orient="portrait"/>
          <w:cols w:equalWidth="0" w:num="1">
            <w:col w:w="11240"/>
          </w:cols>
          <w:pgMar w:left="320" w:top="1421" w:right="339" w:bottom="1440" w:gutter="0" w:footer="0" w:header="0"/>
        </w:sectPr>
      </w:pPr>
    </w:p>
    <w:bookmarkStart w:id="139" w:name="page140"/>
    <w:bookmarkEnd w:id="139"/>
    <w:p>
      <w:pPr>
        <w:jc w:val="both"/>
        <w:ind w:left="-8" w:firstLine="1952"/>
        <w:spacing w:after="0" w:line="250" w:lineRule="auto"/>
        <w:tabs>
          <w:tab w:leader="none" w:pos="2578"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Company may terminate Executive’s employment if she becomes unable to perform the essential functions of her position as a result of her Disability (subject to the notice period set forth in the definition of Disability). Upon any termination of the Term and Executive’s employment pursuant to this Section 7(b)(ii), Executive shall receive the Accrued Obligations as well as sums set forth in Section 7(d) herein. All other benefits, if any, due to Executive following Executive’s termination of employment pursuant to this Section 7(b)(ii) shall be determined in accordance with the plans, policies, and practices of the Company as then in effect. Executive shall not earn or accrue any additional or other benefits under this Agreement following the Termination Date.</w:t>
      </w:r>
    </w:p>
    <w:p>
      <w:pPr>
        <w:spacing w:after="0" w:line="180" w:lineRule="exact"/>
        <w:rPr>
          <w:rFonts w:ascii="Times New Roman" w:cs="Times New Roman" w:eastAsia="Times New Roman" w:hAnsi="Times New Roman"/>
          <w:sz w:val="22"/>
          <w:szCs w:val="22"/>
          <w:color w:val="auto"/>
        </w:rPr>
      </w:pPr>
    </w:p>
    <w:p>
      <w:pPr>
        <w:jc w:val="both"/>
        <w:ind w:left="-8" w:firstLine="1304"/>
        <w:spacing w:after="0" w:line="253" w:lineRule="auto"/>
        <w:tabs>
          <w:tab w:leader="none" w:pos="1933"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purported termination of Executive’s employment by the Company or by Executive shall be communicated by written notice of termination to the other party in accordance with this Section 7. Such notice shall indicate the specific termination provision in this Agreement relied upon and shall, to the extent applicable, set forth in reasonable detail the facts and circumstances claimed to provide a basis for termination of Executive’s employment under the provision so indicated.</w:t>
      </w:r>
    </w:p>
    <w:p>
      <w:pPr>
        <w:spacing w:after="0" w:line="178" w:lineRule="exact"/>
        <w:rPr>
          <w:rFonts w:ascii="Times New Roman" w:cs="Times New Roman" w:eastAsia="Times New Roman" w:hAnsi="Times New Roman"/>
          <w:sz w:val="22"/>
          <w:szCs w:val="22"/>
          <w:color w:val="auto"/>
        </w:rPr>
      </w:pPr>
    </w:p>
    <w:p>
      <w:pPr>
        <w:jc w:val="both"/>
        <w:ind w:left="-8" w:firstLine="1304"/>
        <w:spacing w:after="0" w:line="256" w:lineRule="auto"/>
        <w:tabs>
          <w:tab w:leader="none" w:pos="1931"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or Resignation With Good Reason</w:t>
      </w:r>
      <w:r>
        <w:rPr>
          <w:rFonts w:ascii="Times New Roman" w:cs="Times New Roman" w:eastAsia="Times New Roman" w:hAnsi="Times New Roman"/>
          <w:sz w:val="22"/>
          <w:szCs w:val="22"/>
          <w:color w:val="auto"/>
        </w:rPr>
        <w:t>. If the Company terminates Executive’s employment, at any time, for a reason other than (a) Cause, or Executive’s death, or if Executive resigns her employment, at any time, with Good Reason, Executive will receive separation pay listed in Paragraph 7(f) and the group health, vision, and/or dental insurance coverage reimbursement listed in Paragraph 7(g).</w:t>
      </w:r>
    </w:p>
    <w:p>
      <w:pPr>
        <w:spacing w:after="0" w:line="176" w:lineRule="exact"/>
        <w:rPr>
          <w:rFonts w:ascii="Times New Roman" w:cs="Times New Roman" w:eastAsia="Times New Roman" w:hAnsi="Times New Roman"/>
          <w:sz w:val="22"/>
          <w:szCs w:val="22"/>
          <w:color w:val="auto"/>
        </w:rPr>
      </w:pPr>
    </w:p>
    <w:p>
      <w:pPr>
        <w:jc w:val="both"/>
        <w:ind w:left="-8" w:firstLine="1304"/>
        <w:spacing w:after="0" w:line="239" w:lineRule="auto"/>
        <w:tabs>
          <w:tab w:leader="none" w:pos="1933"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and Release Agreement as Condition of Severance</w:t>
      </w:r>
      <w:r>
        <w:rPr>
          <w:rFonts w:ascii="Times New Roman" w:cs="Times New Roman" w:eastAsia="Times New Roman" w:hAnsi="Times New Roman"/>
          <w:sz w:val="22"/>
          <w:szCs w:val="22"/>
          <w:color w:val="auto"/>
        </w:rPr>
        <w:t>. The receipt of any separation payment or benefit pursuant to this Agreement is subject to and conditioned on the Executive signing and not revoking a separation agreement and general release of claims in a form acceptable to the Company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which must become effective no later than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Executive’s termination or separation of employment (the “</w:t>
      </w:r>
      <w:r>
        <w:rPr>
          <w:rFonts w:ascii="Times New Roman" w:cs="Times New Roman" w:eastAsia="Times New Roman" w:hAnsi="Times New Roman"/>
          <w:sz w:val="22"/>
          <w:szCs w:val="22"/>
          <w:u w:val="single" w:color="auto"/>
          <w:color w:val="auto"/>
        </w:rPr>
        <w:t>Release Deadline</w:t>
      </w:r>
      <w:r>
        <w:rPr>
          <w:rFonts w:ascii="Times New Roman" w:cs="Times New Roman" w:eastAsia="Times New Roman" w:hAnsi="Times New Roman"/>
          <w:sz w:val="22"/>
          <w:szCs w:val="22"/>
          <w:color w:val="auto"/>
        </w:rPr>
        <w:t>”), and if not, Executive shall forfeit any right to severance payments or benefits under this Agreement. To become effective, the Release must be executed by Executive and any revocation periods (as required by statute, regulation, or otherwise) must have expired without Executive having revoked the Release. In addition, in no event will any severance payment or benefit be paid or provided until the Release actually becomes effective.</w:t>
      </w:r>
    </w:p>
    <w:p>
      <w:pPr>
        <w:spacing w:after="0" w:line="210" w:lineRule="exact"/>
        <w:rPr>
          <w:rFonts w:ascii="Times New Roman" w:cs="Times New Roman" w:eastAsia="Times New Roman" w:hAnsi="Times New Roman"/>
          <w:sz w:val="22"/>
          <w:szCs w:val="22"/>
          <w:color w:val="auto"/>
        </w:rPr>
      </w:pPr>
    </w:p>
    <w:p>
      <w:pPr>
        <w:jc w:val="both"/>
        <w:ind w:left="-8" w:firstLine="1304"/>
        <w:spacing w:after="0" w:line="250" w:lineRule="auto"/>
        <w:tabs>
          <w:tab w:leader="none" w:pos="1936"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Pay</w:t>
      </w:r>
      <w:r>
        <w:rPr>
          <w:rFonts w:ascii="Times New Roman" w:cs="Times New Roman" w:eastAsia="Times New Roman" w:hAnsi="Times New Roman"/>
          <w:sz w:val="22"/>
          <w:szCs w:val="22"/>
          <w:color w:val="auto"/>
        </w:rPr>
        <w:t>. In exchange for Executive’s agreement to the Release, the Company will pay Executive, as cash severance, the equivalent of six (6) months of Executive’s base salary in effect as of the Termination Date; subject to applicable payroll deductions and withholdings (“</w:t>
      </w:r>
      <w:r>
        <w:rPr>
          <w:rFonts w:ascii="Times New Roman" w:cs="Times New Roman" w:eastAsia="Times New Roman" w:hAnsi="Times New Roman"/>
          <w:sz w:val="22"/>
          <w:szCs w:val="22"/>
          <w:u w:val="single" w:color="auto"/>
          <w:color w:val="auto"/>
        </w:rPr>
        <w:t>Separation Pay</w:t>
      </w:r>
      <w:r>
        <w:rPr>
          <w:rFonts w:ascii="Times New Roman" w:cs="Times New Roman" w:eastAsia="Times New Roman" w:hAnsi="Times New Roman"/>
          <w:sz w:val="22"/>
          <w:szCs w:val="22"/>
          <w:color w:val="auto"/>
        </w:rPr>
        <w:t>”). The separation pay will be paid in a lump sum in accordance with the Company’s standard payroll practices after the separation agreement is in effect. Executive acknowledges that she is not otherwise entitled to this Separation Pay.</w:t>
      </w:r>
    </w:p>
    <w:p>
      <w:pPr>
        <w:spacing w:after="0" w:line="180" w:lineRule="exact"/>
        <w:rPr>
          <w:rFonts w:ascii="Times New Roman" w:cs="Times New Roman" w:eastAsia="Times New Roman" w:hAnsi="Times New Roman"/>
          <w:sz w:val="22"/>
          <w:szCs w:val="22"/>
          <w:color w:val="auto"/>
        </w:rPr>
      </w:pPr>
    </w:p>
    <w:p>
      <w:pPr>
        <w:jc w:val="both"/>
        <w:ind w:left="-8" w:firstLine="1304"/>
        <w:spacing w:after="0" w:line="255" w:lineRule="auto"/>
        <w:tabs>
          <w:tab w:leader="none" w:pos="1931"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If Executive signs the separation agreement and elects to continue group health, vision, and/or dental insurance coverage, then the Company will reimburse the full amount of Executive’s COBRA premium payments sufficient to continue Executive’s group coverage at its current level including costs of dependent coverage, until the earliest of</w:t>
      </w:r>
    </w:p>
    <w:p>
      <w:pPr>
        <w:ind w:left="292" w:hanging="292"/>
        <w:spacing w:after="0"/>
        <w:tabs>
          <w:tab w:leader="none" w:pos="29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end of six (6) months following the month in which the Termination Date</w:t>
      </w:r>
    </w:p>
    <w:p>
      <w:pPr>
        <w:sectPr>
          <w:pgSz w:w="11900" w:h="16838" w:orient="portrait"/>
          <w:cols w:equalWidth="0" w:num="1">
            <w:col w:w="11232"/>
          </w:cols>
          <w:pgMar w:left="328" w:top="1421" w:right="339" w:bottom="1440" w:gutter="0" w:footer="0" w:header="0"/>
        </w:sectPr>
      </w:pPr>
    </w:p>
    <w:bookmarkStart w:id="140" w:name="page141"/>
    <w:bookmarkEnd w:id="140"/>
    <w:p>
      <w:pPr>
        <w:jc w:val="both"/>
        <w:spacing w:after="0" w:line="256" w:lineRule="auto"/>
        <w:rPr>
          <w:sz w:val="20"/>
          <w:szCs w:val="20"/>
          <w:color w:val="auto"/>
        </w:rPr>
      </w:pPr>
      <w:r>
        <w:rPr>
          <w:rFonts w:ascii="Times New Roman" w:cs="Times New Roman" w:eastAsia="Times New Roman" w:hAnsi="Times New Roman"/>
          <w:sz w:val="22"/>
          <w:szCs w:val="22"/>
          <w:color w:val="auto"/>
        </w:rPr>
        <w:t>occurs, (b) the expiration of Executive’s continuation coverage under COBRA or (c) the date when Executive becomes eligible for health insurance in connection with new employment or self-employment. Executive acknowledges that she will be entitled to continuation of coverage under COBRA as provided in this Section 7(g), but is not otherwise entitled to any continuation of Company paid health insurance.</w:t>
      </w:r>
    </w:p>
    <w:p>
      <w:pPr>
        <w:spacing w:after="0" w:line="176" w:lineRule="exact"/>
        <w:rPr>
          <w:sz w:val="20"/>
          <w:szCs w:val="20"/>
          <w:color w:val="auto"/>
        </w:rPr>
      </w:pPr>
    </w:p>
    <w:p>
      <w:pPr>
        <w:ind w:left="1300" w:hanging="644"/>
        <w:spacing w:after="0"/>
        <w:tabs>
          <w:tab w:leader="none" w:pos="13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maximum extent permitted by applicable law but without limiting Executive’s ability to perform her duties under this Agreement, Executive and Company agree that they will not make or cause to be made any oral or written statements that are defamatory concerning the other Party. In addition, Executive agrees not to make or cause to be made any oral or written statements that are defamatory concerning Company’s policies or programs, or its past or present officers, directors, employees, agents, or business associates, including but not limited to its past or present suppliers or vendors. This provision is a material and substantial term of this Agreement.</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agrees that it will not publish any official statement of the Company that is derogatory, defamatory, or disparaging concerning Executive, and will instruct the members of the Board and the Company’s executives to refrain from making any derogatory, defamatory, or disparaging public statements concerning Executive.</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subsection, or sentence of this Agreement shall be held to be invalid, illegal or unenforceable in any respect by a court of competent jurisdiction, such invalidity, illegality or unenforceability shall not affect the other provisions of this Agreement, and this Agreement shall be construed as if such invalid, illegal or unenforceable provision, subsection, or sentence had not been contained herein.</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and Invention Assignment Agreement</w:t>
      </w:r>
      <w:r>
        <w:rPr>
          <w:rFonts w:ascii="Times New Roman" w:cs="Times New Roman" w:eastAsia="Times New Roman" w:hAnsi="Times New Roman"/>
          <w:sz w:val="22"/>
          <w:szCs w:val="22"/>
          <w:color w:val="auto"/>
        </w:rPr>
        <w:t>. Like all Company employees, Executive will be required, as a condition of Executive’s employment with the Company, to sign the Company’s enclosed standard Confidential Information and Invention Assignment Agreement, a copy of which is attached hereto as Attachment A.</w:t>
      </w:r>
    </w:p>
    <w:p>
      <w:pPr>
        <w:spacing w:after="0" w:line="167" w:lineRule="exact"/>
        <w:rPr>
          <w:rFonts w:ascii="Times New Roman" w:cs="Times New Roman" w:eastAsia="Times New Roman" w:hAnsi="Times New Roman"/>
          <w:sz w:val="22"/>
          <w:szCs w:val="22"/>
          <w:color w:val="auto"/>
        </w:rPr>
      </w:pPr>
    </w:p>
    <w:p>
      <w:pPr>
        <w:jc w:val="both"/>
        <w:ind w:firstLine="656"/>
        <w:spacing w:after="0" w:line="249" w:lineRule="auto"/>
        <w:tabs>
          <w:tab w:leader="none" w:pos="128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Executive and Company acknowledge and agrees that the other Party’s remedies at law for a breach or threatened breach of Section 8(a) and 8(b), respectively (the “</w:t>
      </w:r>
      <w:r>
        <w:rPr>
          <w:rFonts w:ascii="Times New Roman" w:cs="Times New Roman" w:eastAsia="Times New Roman" w:hAnsi="Times New Roman"/>
          <w:sz w:val="22"/>
          <w:szCs w:val="22"/>
          <w:u w:val="single" w:color="auto"/>
          <w:color w:val="auto"/>
        </w:rPr>
        <w:t>Covenant</w:t>
      </w:r>
      <w:r>
        <w:rPr>
          <w:rFonts w:ascii="Times New Roman" w:cs="Times New Roman" w:eastAsia="Times New Roman" w:hAnsi="Times New Roman"/>
          <w:sz w:val="22"/>
          <w:szCs w:val="22"/>
          <w:color w:val="auto"/>
        </w:rPr>
        <w:t>”) would be inadequate and the other Party would suffer irreparable damages as a result of such breach or threatened breach. In recognition of this fact, the Parties agree that, in the event of a breach of the Covenant, in addition to any remedies at law, the other Party, without posting any bond, to the maximum extent permitted by applicable law, shall be entitled to cease making any payments or providing any benefit otherwise required by this Agreement and, in the case of either a breach or a threatened breach of the Covenant seek equitable relief before a court of competent jurisdiction, in the form of specific performance, temporary restraining order, temporary or permanent injunction or any other equitable remedy that may then be available. Company acknowledges and agrees that Executive’s remedies at law for a breach or threatened breach of Section 9(b) would be inadequate and Executive would suffer irreparable damages as a result of such breach or threatened breach. Accordingly,</w:t>
      </w:r>
    </w:p>
    <w:p>
      <w:pPr>
        <w:sectPr>
          <w:pgSz w:w="11900" w:h="16838" w:orient="portrait"/>
          <w:cols w:equalWidth="0" w:num="1">
            <w:col w:w="11240"/>
          </w:cols>
          <w:pgMar w:left="320" w:top="1421" w:right="339" w:bottom="1440" w:gutter="0" w:footer="0" w:header="0"/>
        </w:sectPr>
      </w:pPr>
    </w:p>
    <w:bookmarkStart w:id="141" w:name="page142"/>
    <w:bookmarkEnd w:id="141"/>
    <w:p>
      <w:pPr>
        <w:jc w:val="both"/>
        <w:spacing w:after="0" w:line="257" w:lineRule="auto"/>
        <w:rPr>
          <w:sz w:val="20"/>
          <w:szCs w:val="20"/>
          <w:color w:val="auto"/>
        </w:rPr>
      </w:pPr>
      <w:r>
        <w:rPr>
          <w:rFonts w:ascii="Times New Roman" w:cs="Times New Roman" w:eastAsia="Times New Roman" w:hAnsi="Times New Roman"/>
          <w:sz w:val="22"/>
          <w:szCs w:val="22"/>
          <w:color w:val="auto"/>
        </w:rPr>
        <w:t>Company agrees that Executive shall be entitled to, in addition to any legal remedies available, seek equitable relief before a court of competent jurisdiction, in the form of specific performance, temporary restraining order, temporary or permanent injunction or any other equitable remedy that may then be available without posting bond or proving actual damages.</w:t>
      </w:r>
    </w:p>
    <w:p>
      <w:pPr>
        <w:spacing w:after="0" w:line="186" w:lineRule="exact"/>
        <w:rPr>
          <w:sz w:val="20"/>
          <w:szCs w:val="20"/>
          <w:color w:val="auto"/>
        </w:rPr>
      </w:pPr>
    </w:p>
    <w:p>
      <w:pPr>
        <w:jc w:val="both"/>
        <w:ind w:firstLine="656"/>
        <w:spacing w:after="0" w:line="249" w:lineRule="auto"/>
        <w:tabs>
          <w:tab w:leader="none" w:pos="129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Conflicts of Interest</w:t>
      </w:r>
      <w:r>
        <w:rPr>
          <w:rFonts w:ascii="Times New Roman" w:cs="Times New Roman" w:eastAsia="Times New Roman" w:hAnsi="Times New Roman"/>
          <w:sz w:val="22"/>
          <w:szCs w:val="22"/>
          <w:color w:val="auto"/>
        </w:rPr>
        <w:t>. Executive agrees that for the duration of this Agreement and Executive’s employment with the Company, she will not engage, either directly or indirectly, in any activity (a “</w:t>
      </w:r>
      <w:r>
        <w:rPr>
          <w:rFonts w:ascii="Times New Roman" w:cs="Times New Roman" w:eastAsia="Times New Roman" w:hAnsi="Times New Roman"/>
          <w:sz w:val="22"/>
          <w:szCs w:val="22"/>
          <w:u w:val="single" w:color="auto"/>
          <w:color w:val="auto"/>
        </w:rPr>
        <w:t>Conflict of Interest</w:t>
      </w:r>
      <w:r>
        <w:rPr>
          <w:rFonts w:ascii="Times New Roman" w:cs="Times New Roman" w:eastAsia="Times New Roman" w:hAnsi="Times New Roman"/>
          <w:sz w:val="22"/>
          <w:szCs w:val="22"/>
          <w:color w:val="auto"/>
        </w:rPr>
        <w:t>”) which might adversely affect Company or its affiliates, including ownership of a material interest in any supplier, contractor, distributor, subcontractor, customer or other entity with which Company does business or accepting any payment, service, loan, gift, trip, entertainment, or other favor from a supplier, contractor, distributor, subcontractor, customer or other entity with which Company does business, and that Executive will promptly inform the Chair of the Board as to each offer received by Executive to engage in any such activity. Executive further agrees to disclose to Chair of the Board any other facts of which Executive becomes aware which might involve or give rise to a Conflict of Interest or potential Conflict of Interest.</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67" w:lineRule="auto"/>
        <w:tabs>
          <w:tab w:leader="none" w:pos="1941" w:val="left"/>
        </w:tabs>
        <w:numPr>
          <w:ilvl w:val="2"/>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Executive’s Representations</w:t>
      </w:r>
      <w:r>
        <w:rPr>
          <w:rFonts w:ascii="Times New Roman" w:cs="Times New Roman" w:eastAsia="Times New Roman" w:hAnsi="Times New Roman"/>
          <w:sz w:val="21"/>
          <w:szCs w:val="21"/>
          <w:color w:val="auto"/>
        </w:rPr>
        <w:t>. Executive hereby represents and warrants to the Company that (i) Executive has read this Agreement in its entirety, fully understands the terms of this Agreement, has had the opportunity to consult with counsel prior to executing this Agreement and is signing the Agreement voluntarily and with full knowledge of its significance;</w:t>
      </w:r>
    </w:p>
    <w:p>
      <w:pPr>
        <w:spacing w:after="0" w:line="1" w:lineRule="exact"/>
        <w:rPr>
          <w:rFonts w:ascii="Times New Roman" w:cs="Times New Roman" w:eastAsia="Times New Roman" w:hAnsi="Times New Roman"/>
          <w:sz w:val="21"/>
          <w:szCs w:val="21"/>
          <w:color w:val="auto"/>
        </w:rPr>
      </w:pPr>
    </w:p>
    <w:p>
      <w:pPr>
        <w:jc w:val="both"/>
        <w:ind w:firstLine="8"/>
        <w:spacing w:after="0" w:line="259" w:lineRule="auto"/>
        <w:tabs>
          <w:tab w:leader="none" w:pos="32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execution, delivery and performance of this Agreement by Executive does not and shall not conflict with, breach, violate or cause a default under any contract, agreement, instrument, order, judgment or decree to which Executive is a party or by which she is bound; (iii) Executive is not a party to or bound by an employment agreement, non-compete agreement or confidentiality agreement with any other person or entity that would interfere with the performance of their duties hereunder; and (iv) Executive shall not use any confidential information or trade secrets of any person or party other than the Company in connection with the performance of their duties hereunder, except with valid written consent of such other person or party. </w:t>
      </w:r>
      <w:r>
        <w:rPr>
          <w:rFonts w:ascii="Times New Roman" w:cs="Times New Roman" w:eastAsia="Times New Roman" w:hAnsi="Times New Roman"/>
          <w:sz w:val="21"/>
          <w:szCs w:val="21"/>
          <w:b w:val="1"/>
          <w:bCs w:val="1"/>
          <w:color w:val="auto"/>
        </w:rPr>
        <w:t>Executive has carefully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read and considered all provisions of these Agreements and acknowledges that this is an important legal document that sets forth restrictions on Executive’s conduct as a condition of employment with the Company.</w:t>
      </w:r>
    </w:p>
    <w:p>
      <w:pPr>
        <w:spacing w:after="0" w:line="172" w:lineRule="exact"/>
        <w:rPr>
          <w:rFonts w:ascii="Times New Roman" w:cs="Times New Roman" w:eastAsia="Times New Roman" w:hAnsi="Times New Roman"/>
          <w:sz w:val="21"/>
          <w:szCs w:val="21"/>
          <w:color w:val="auto"/>
        </w:rPr>
      </w:pPr>
    </w:p>
    <w:p>
      <w:pPr>
        <w:jc w:val="both"/>
        <w:ind w:firstLine="1304"/>
        <w:spacing w:after="0" w:line="253" w:lineRule="auto"/>
        <w:tabs>
          <w:tab w:leader="none" w:pos="1939"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provision of this Agreement may be modified, waived or discharged unless such waiver, modification or discharge is agreed to in a writing signed by Executive and an officer of the Company (other than Executive) duly authorized by the Board to execute such amendment, waiver or discharge. No waiver by either Party of any breach of the other Party of, or compliance with, any condition or provision of this Agreement shall be deemed a waiver of similar or dissimilar provisions or conditions at the same or at any prior or subsequent time.</w:t>
      </w:r>
    </w:p>
    <w:p>
      <w:pPr>
        <w:sectPr>
          <w:pgSz w:w="11900" w:h="16838" w:orient="portrait"/>
          <w:cols w:equalWidth="0" w:num="1">
            <w:col w:w="11240"/>
          </w:cols>
          <w:pgMar w:left="320" w:top="1421" w:right="339" w:bottom="1440" w:gutter="0" w:footer="0" w:header="0"/>
        </w:sectPr>
      </w:pPr>
    </w:p>
    <w:bookmarkStart w:id="142" w:name="page143"/>
    <w:bookmarkEnd w:id="142"/>
    <w:p>
      <w:pPr>
        <w:ind w:left="820" w:hanging="636"/>
        <w:spacing w:after="0"/>
        <w:tabs>
          <w:tab w:leader="none" w:pos="8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120" w:firstLine="1952"/>
        <w:spacing w:after="0" w:line="271" w:lineRule="auto"/>
        <w:tabs>
          <w:tab w:leader="none" w:pos="146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personal to Executive and shall not be assignable by Executive but shall inure to the benefit of and be enforceable by Executive’s heirs and legal representatives.</w:t>
      </w:r>
    </w:p>
    <w:p>
      <w:pPr>
        <w:spacing w:after="0" w:line="171" w:lineRule="exact"/>
        <w:rPr>
          <w:rFonts w:ascii="Times New Roman" w:cs="Times New Roman" w:eastAsia="Times New Roman" w:hAnsi="Times New Roman"/>
          <w:sz w:val="22"/>
          <w:szCs w:val="22"/>
          <w:color w:val="auto"/>
        </w:rPr>
      </w:pPr>
    </w:p>
    <w:p>
      <w:pPr>
        <w:jc w:val="both"/>
        <w:ind w:left="-1120" w:firstLine="1952"/>
        <w:spacing w:after="0" w:line="257" w:lineRule="auto"/>
        <w:tabs>
          <w:tab w:leader="none" w:pos="1466"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inure to the benefit of and be binding upon the Company and its successors and, other than as set forth in Section 13(c)(iii) below, shall not be assignable by the Company without the prior written consent of Executive (which shall not be unreasonably withheld).</w:t>
      </w:r>
    </w:p>
    <w:p>
      <w:pPr>
        <w:spacing w:after="0" w:line="172" w:lineRule="exact"/>
        <w:rPr>
          <w:rFonts w:ascii="Times New Roman" w:cs="Times New Roman" w:eastAsia="Times New Roman" w:hAnsi="Times New Roman"/>
          <w:sz w:val="22"/>
          <w:szCs w:val="22"/>
          <w:color w:val="auto"/>
        </w:rPr>
      </w:pPr>
    </w:p>
    <w:p>
      <w:pPr>
        <w:jc w:val="both"/>
        <w:ind w:left="-1120" w:firstLine="1952"/>
        <w:spacing w:after="0" w:line="251" w:lineRule="auto"/>
        <w:tabs>
          <w:tab w:leader="none" w:pos="1472"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shall be assignable by the Company to any affiliate or successor (whether direct or indirect, by purchase, merger, consolidation or otherwise) to all or substantially all of the business and/or assets of the Company; provided, that the Company shall require such successor to expressly assume and agree to perform this Agreement in the same manner and to the same extent that the Company would be required to perform it if no such succession had taken place. As used in this Agreement,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mean the Company as defined in this Agreement and any successor to its business and/or assets which assumes and agrees to perform this Agreement by operation of law or otherwise.</w:t>
      </w:r>
    </w:p>
    <w:p>
      <w:pPr>
        <w:spacing w:after="0" w:line="181" w:lineRule="exact"/>
        <w:rPr>
          <w:rFonts w:ascii="Times New Roman" w:cs="Times New Roman" w:eastAsia="Times New Roman" w:hAnsi="Times New Roman"/>
          <w:sz w:val="22"/>
          <w:szCs w:val="22"/>
          <w:color w:val="auto"/>
        </w:rPr>
      </w:pPr>
    </w:p>
    <w:p>
      <w:pPr>
        <w:jc w:val="both"/>
        <w:ind w:left="-1120" w:firstLine="1304"/>
        <w:spacing w:after="0" w:line="250" w:lineRule="auto"/>
        <w:tabs>
          <w:tab w:leader="none" w:pos="81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For the purpose of this Agreement, notices and all other communications provided for in this Agreement shall be in writing and shall be deemed to have been duly given if delivered personally, if delivered by overnight courier service, or if mailed by registered mail, return receipt requested, postage prepaid, addressed to the respective addresses or sent via email to the respective email addresses, as the case may be, as set forth below, or to such other address as either party may have furnished to the other in writing in accordance herewith, except that notice of change of address shall be effective only upon receipt; provided, however, that (i) notices sent by personal delivery or overnight courier shall be deemed given when delivered; (ii) notices sent by email shall be deemed given at the time such email is sent; and (iii) notices sent by registered mail shall be deemed given two (2) days after the date of deposit in the mail.</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If to Executive, to such address as shall most currently appear on the records of the Company.</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Life360, Inc.</w:t>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1900 S. Norfolk St., Suite 310</w:t>
      </w:r>
    </w:p>
    <w:p>
      <w:pPr>
        <w:spacing w:after="0" w:line="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196" w:lineRule="exact"/>
        <w:rPr>
          <w:sz w:val="20"/>
          <w:szCs w:val="20"/>
          <w:color w:val="auto"/>
        </w:rPr>
      </w:pPr>
    </w:p>
    <w:p>
      <w:pPr>
        <w:jc w:val="both"/>
        <w:ind w:left="-1120" w:firstLine="1304"/>
        <w:spacing w:after="0" w:line="252" w:lineRule="auto"/>
        <w:tabs>
          <w:tab w:leader="none" w:pos="82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CONSENT TO JURISDICTION; JURY TRIAL WAIVER</w:t>
      </w:r>
      <w:r>
        <w:rPr>
          <w:rFonts w:ascii="Times New Roman" w:cs="Times New Roman" w:eastAsia="Times New Roman" w:hAnsi="Times New Roman"/>
          <w:sz w:val="22"/>
          <w:szCs w:val="22"/>
          <w:color w:val="auto"/>
        </w:rPr>
        <w:t>. THIS AGREEMENT WILL BE GOVERNED BY AND CONSTRUED IN ACCORDANCE WITH THE LAWS OF THE STATE OF CALIFORNIA, WITHOUT GIVING EFFECT TO ANY CHOICE OF LAW OR CONFLICTING PROVISION OR RULE (WHETHER OF THE STATE OF DELAWARE OR ANY OTHER JURISDICTION) THAT</w:t>
      </w:r>
    </w:p>
    <w:p>
      <w:pPr>
        <w:sectPr>
          <w:pgSz w:w="11900" w:h="16838" w:orient="portrait"/>
          <w:cols w:equalWidth="0" w:num="1">
            <w:col w:w="10120"/>
          </w:cols>
          <w:pgMar w:left="1440" w:top="1421" w:right="339" w:bottom="1440" w:gutter="0" w:footer="0" w:header="0"/>
        </w:sectPr>
      </w:pPr>
    </w:p>
    <w:bookmarkStart w:id="143" w:name="page144"/>
    <w:bookmarkEnd w:id="143"/>
    <w:p>
      <w:pPr>
        <w:jc w:val="both"/>
        <w:spacing w:after="0" w:line="249" w:lineRule="auto"/>
        <w:rPr>
          <w:sz w:val="20"/>
          <w:szCs w:val="20"/>
          <w:color w:val="auto"/>
        </w:rPr>
      </w:pPr>
      <w:r>
        <w:rPr>
          <w:rFonts w:ascii="Times New Roman" w:cs="Times New Roman" w:eastAsia="Times New Roman" w:hAnsi="Times New Roman"/>
          <w:sz w:val="22"/>
          <w:szCs w:val="22"/>
          <w:color w:val="auto"/>
        </w:rPr>
        <w:t>WOULD CAUSE THE LAWS OF ANY JURISDICTION OTHER THAN THE STATE OF CALIFORNIA TO BE APPLIED. IN FURTHERANCE OF THE FOREGOING, THE LAW OF THE STATE OF CALIFORNIA (EXCEPT TO THE EXTENT SUPERSEDED BY THE LAWS OF THE UNITED STATES) WILL CONTROL THE INTERPRETATION AND CONSTRUCTION OF THIS AGREEMENT. ANY ACTION TO ENFORCE THIS AGREEMENT MUST BE BROUGHT IN, AND THE PARTIES HEREBY CONSENT TO JURISDICTION IN SAN FRANCISCO COUNTY, CALIFORNIA. EACH PARTY HEREBY WAIVES THE RIGHTS TO CLAIM THAT ANY SUCH COURT PROCEEDING IS AN INCONVENIENT FORUM FOR THE RESOLUTION OF ANY SUCH ACTION. EACH PARTY TO THIS AGREEMENT WAIVES ALL RIGHT TO TRIAL BY JURY IN ANY ACTION, PROCEEDING, CLAIM OR COUNTERCLAIM.</w:t>
      </w:r>
    </w:p>
    <w:p>
      <w:pPr>
        <w:spacing w:after="0" w:line="195" w:lineRule="exact"/>
        <w:rPr>
          <w:sz w:val="20"/>
          <w:szCs w:val="20"/>
          <w:color w:val="auto"/>
        </w:rPr>
      </w:pPr>
    </w:p>
    <w:p>
      <w:pPr>
        <w:jc w:val="both"/>
        <w:ind w:firstLine="1304"/>
        <w:spacing w:after="0" w:line="257" w:lineRule="auto"/>
        <w:tabs>
          <w:tab w:leader="none" w:pos="194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 of Invalid or Unenforceable Provisions</w:t>
      </w:r>
      <w:r>
        <w:rPr>
          <w:rFonts w:ascii="Times New Roman" w:cs="Times New Roman" w:eastAsia="Times New Roman" w:hAnsi="Times New Roman"/>
          <w:sz w:val="22"/>
          <w:szCs w:val="22"/>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7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Advice of Counsel and Construction</w:t>
      </w:r>
      <w:r>
        <w:rPr>
          <w:rFonts w:ascii="Times New Roman" w:cs="Times New Roman" w:eastAsia="Times New Roman" w:hAnsi="Times New Roman"/>
          <w:sz w:val="22"/>
          <w:szCs w:val="22"/>
          <w:color w:val="auto"/>
        </w:rPr>
        <w:t>. Each Party acknowledges that such Party had the opportunity to be represented by counsel in the negotiation and execution of this Agreement. Accordingly, the rule of construction of contract language against the drafting party is hereby waived by each Party.</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all Exhibits attached hereto, and the Confidentiality Agreement, constitute the entire agreement between the Parties as of the Effective Date and supersedes all previous agreements and understandings between the Parties with respect to the subject matter hereof, including.</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The Company shall be entitled to withhold from any payment due to Executive hereunder any amounts required to be withheld by applicable laws or regulations.</w:t>
      </w:r>
    </w:p>
    <w:p>
      <w:pPr>
        <w:spacing w:after="0" w:line="171" w:lineRule="exact"/>
        <w:rPr>
          <w:rFonts w:ascii="Times New Roman" w:cs="Times New Roman" w:eastAsia="Times New Roman" w:hAnsi="Times New Roman"/>
          <w:sz w:val="22"/>
          <w:szCs w:val="22"/>
          <w:color w:val="auto"/>
        </w:rPr>
      </w:pPr>
    </w:p>
    <w:p>
      <w:pPr>
        <w:ind w:right="20" w:firstLine="1304"/>
        <w:spacing w:after="0" w:line="271" w:lineRule="auto"/>
        <w:tabs>
          <w:tab w:leader="none" w:pos="193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headings of the Sections hereof are provided for convenience only and are not to serve as a basis for interpretation or construction, and shall not constitute a part, of this Agreement.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During the Term and at any time thereafter, Executive agrees to cooperate, at Company’s expense, (i) with the Company in the defense of any legal matter involving any matter that arose during Executive’s employment with the Company; and (ii) with all government authorities on matters pertaining to any investigation, litigation or administrative proceeding pertaining to the Company. The Company will reimburse Executive for any reasonable travel, out of pocket expenses, and loss of time or income incurred by Executive in providing such cooperation.</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Sections 4 through 12, inclusive, and Sections 13(b)-(n), inclusive, shall survive and continue in full force in accordance with their terms notwithstanding any termination of the Term or of Executive’s employment with the Company.</w:t>
      </w:r>
    </w:p>
    <w:p>
      <w:pPr>
        <w:sectPr>
          <w:pgSz w:w="11900" w:h="16838" w:orient="portrait"/>
          <w:cols w:equalWidth="0" w:num="1">
            <w:col w:w="11240"/>
          </w:cols>
          <w:pgMar w:left="320" w:top="1421" w:right="339" w:bottom="1440" w:gutter="0" w:footer="0" w:header="0"/>
        </w:sectPr>
      </w:pPr>
    </w:p>
    <w:bookmarkStart w:id="144" w:name="page145"/>
    <w:bookmarkEnd w:id="144"/>
    <w:p>
      <w:pPr>
        <w:ind w:left="-20" w:firstLine="1304"/>
        <w:spacing w:after="0" w:line="271" w:lineRule="auto"/>
        <w:tabs>
          <w:tab w:leader="none" w:pos="191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instrument.</w:t>
      </w:r>
    </w:p>
    <w:p>
      <w:pPr>
        <w:spacing w:after="0" w:line="157" w:lineRule="exact"/>
        <w:rPr>
          <w:rFonts w:ascii="Times New Roman" w:cs="Times New Roman" w:eastAsia="Times New Roman" w:hAnsi="Times New Roman"/>
          <w:sz w:val="22"/>
          <w:szCs w:val="22"/>
          <w:color w:val="auto"/>
        </w:rPr>
      </w:pPr>
    </w:p>
    <w:p>
      <w:pPr>
        <w:jc w:val="both"/>
        <w:ind w:left="-20" w:firstLine="1304"/>
        <w:spacing w:after="0" w:line="250" w:lineRule="auto"/>
        <w:tabs>
          <w:tab w:leader="none" w:pos="191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Recoupment/Clawback</w:t>
      </w:r>
      <w:r>
        <w:rPr>
          <w:rFonts w:ascii="Times New Roman" w:cs="Times New Roman" w:eastAsia="Times New Roman" w:hAnsi="Times New Roman"/>
          <w:sz w:val="22"/>
          <w:szCs w:val="22"/>
          <w:color w:val="auto"/>
        </w:rPr>
        <w:t>. Notwithstanding any other provisions in this Agreement to the contrary, any incentive-based compensation, or any other compensation, paid to Executive pursuant to this Agreement or any other agreement or arrangement with the Company or any of its affiliates, which may be subject to recovery under any law, government regulation, company policy or stock exchange listing requirement, will be subject to such deductions and clawback as may be required to be made pursuant to such law, government regulation, company policy or stock exchange listing requirement to the extent reasonably required by any such law, government regulation, company policy or stock exchange listing requirement, as determined by the Board in its sole and absolute discretion. For purposes of this Section 13(n), a “company policy” means any written company policy adopted by the Company that is made available to the Company’s executive officers through electronic or any other means.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 – signatures appear on the following page]</w:t>
      </w:r>
    </w:p>
    <w:p>
      <w:pPr>
        <w:sectPr>
          <w:pgSz w:w="11900" w:h="16838" w:orient="portrait"/>
          <w:cols w:equalWidth="0" w:num="1">
            <w:col w:w="11220"/>
          </w:cols>
          <w:pgMar w:left="340" w:top="1421" w:right="339" w:bottom="1440" w:gutter="0" w:footer="0" w:header="0"/>
        </w:sectPr>
      </w:pPr>
    </w:p>
    <w:bookmarkStart w:id="145" w:name="page146"/>
    <w:bookmarkEnd w:id="145"/>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Parties have executed this Agreement as of the date first above written.</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Life360, Inc.</w:t>
      </w:r>
    </w:p>
    <w:p>
      <w:pPr>
        <w:spacing w:after="0" w:line="200" w:lineRule="exact"/>
        <w:rPr>
          <w:sz w:val="20"/>
          <w:szCs w:val="20"/>
          <w:color w:val="auto"/>
        </w:rPr>
      </w:pPr>
    </w:p>
    <w:p>
      <w:pPr>
        <w:spacing w:after="0" w:line="3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Christopher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280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200"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Hulls</w:t>
      </w:r>
    </w:p>
    <w:p>
      <w:pPr>
        <w:spacing w:after="0" w:line="220"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3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Lauren Antonoff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2242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1224280" cy="8255"/>
                    </a:xfrm>
                    <a:prstGeom prst="rect">
                      <a:avLst/>
                    </a:prstGeom>
                    <a:noFill/>
                  </pic:spPr>
                </pic:pic>
              </a:graphicData>
            </a:graphic>
          </wp:anchor>
        </w:drawing>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Lauren Antonoff</w:t>
      </w:r>
    </w:p>
    <w:p>
      <w:pPr>
        <w:sectPr>
          <w:pgSz w:w="11900" w:h="16838" w:orient="portrait"/>
          <w:cols w:equalWidth="0" w:num="1">
            <w:col w:w="10139"/>
          </w:cols>
          <w:pgMar w:left="320" w:top="1440" w:right="1440"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DEFINED TERMS</w:t>
      </w:r>
    </w:p>
    <w:p>
      <w:pPr>
        <w:spacing w:after="0" w:line="224" w:lineRule="exact"/>
        <w:rPr>
          <w:sz w:val="20"/>
          <w:szCs w:val="20"/>
          <w:color w:val="auto"/>
        </w:rPr>
      </w:pPr>
    </w:p>
    <w:p>
      <w:pPr>
        <w:jc w:val="both"/>
        <w:ind w:firstLine="656"/>
        <w:spacing w:after="0" w:line="253" w:lineRule="auto"/>
        <w:tabs>
          <w:tab w:leader="none" w:pos="1296"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shall mean, at any point in time and except as expressly provided herein, any amounts to which the Executive is entitled to payment but have not yet been paid to Executive including, but not limited to, each of the following (but only to the extent such amounts are vested, earned or accrued, and due and payable at the time of payment): Base Salary and any other wages, payments, retention bonuses, entitlements or benefits vested, earned or accrued, and due and payable, but unpaid under applicable benefit and compensation plans, programs and other arrangements with the Company.</w:t>
      </w:r>
    </w:p>
    <w:p>
      <w:pPr>
        <w:spacing w:after="0" w:line="178"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 Person shall mean any other Person that directly or indirectly controls, is controlled by, or is under common control with, such Person.</w:t>
      </w:r>
    </w:p>
    <w:p>
      <w:pPr>
        <w:spacing w:after="0" w:line="14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shall mean the Company’s Board of Directors or, if context requires otherwise, the Board of Directors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Life360.</w:t>
      </w:r>
    </w:p>
    <w:p>
      <w:pPr>
        <w:spacing w:after="0" w:line="195" w:lineRule="exact"/>
        <w:rPr>
          <w:rFonts w:ascii="Times New Roman" w:cs="Times New Roman" w:eastAsia="Times New Roman" w:hAnsi="Times New Roman"/>
          <w:sz w:val="21"/>
          <w:szCs w:val="21"/>
          <w:color w:val="auto"/>
        </w:rPr>
      </w:pPr>
    </w:p>
    <w:p>
      <w:pPr>
        <w:jc w:val="both"/>
        <w:ind w:firstLine="656"/>
        <w:spacing w:after="0" w:line="249" w:lineRule="auto"/>
        <w:tabs>
          <w:tab w:leader="none" w:pos="1296"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shall mean the occurrence of one or more of the following: (i) Executive’s malfeasance, willful, or gross misconduct, or willful dishonesty that materially harms the Company or its stockholders; (ii) Executive’s conviction of a crime that is materially detrimental to the Company or its stockholders; (iii) Executive’s conviction of, or entry of a plea </w:t>
      </w:r>
      <w:r>
        <w:rPr>
          <w:rFonts w:ascii="Times New Roman" w:cs="Times New Roman" w:eastAsia="Times New Roman" w:hAnsi="Times New Roman"/>
          <w:sz w:val="22"/>
          <w:szCs w:val="22"/>
          <w:i w:val="1"/>
          <w:iCs w:val="1"/>
          <w:color w:val="auto"/>
        </w:rPr>
        <w:t>nolo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contendere </w:t>
      </w:r>
      <w:r>
        <w:rPr>
          <w:rFonts w:ascii="Times New Roman" w:cs="Times New Roman" w:eastAsia="Times New Roman" w:hAnsi="Times New Roman"/>
          <w:sz w:val="22"/>
          <w:szCs w:val="22"/>
          <w:color w:val="auto"/>
        </w:rPr>
        <w:t>to a crime that materially damages the Company’s financial condition or reputation or to a crime involving fraud; (iv)</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material violation of the Company’s Code of Ethics, including breach of duty of loyalty in connection with the Company’s business, after notice by the Board and a thirty (30) day opportunity to cure if cure is possible in the circumstances;</w:t>
      </w:r>
    </w:p>
    <w:p>
      <w:pPr>
        <w:spacing w:after="0" w:line="1" w:lineRule="exact"/>
        <w:rPr>
          <w:rFonts w:ascii="Times New Roman" w:cs="Times New Roman" w:eastAsia="Times New Roman" w:hAnsi="Times New Roman"/>
          <w:sz w:val="22"/>
          <w:szCs w:val="22"/>
          <w:color w:val="auto"/>
        </w:rPr>
      </w:pPr>
    </w:p>
    <w:p>
      <w:pPr>
        <w:jc w:val="both"/>
        <w:ind w:firstLine="8"/>
        <w:spacing w:after="0" w:line="246" w:lineRule="auto"/>
        <w:tabs>
          <w:tab w:leader="none" w:pos="31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failure to perform duties under this Agreement, after notice by the Board and a reasonable opportunity to cure in light of the circumstances (not to exceed thirty (30) days); (vi) Executive’s failure to reasonably cooperate with, or Executive’s impedance or interference with, an investigation authorized by the Board; (vii) Executive’s failure to follow a legal and proper Board directive, after notice by the Board and a thirty (30) day opportunity to cure; or (viii) Executive’s willful misconduct or gross negligence pursuant to the Sarbanes-Oxley Act, if and to the extent such conduct triggers a restatement of the Company’s financial results.</w:t>
      </w:r>
    </w:p>
    <w:p>
      <w:pPr>
        <w:spacing w:after="0" w:line="18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3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Executive has been unable to engage in any substantial gainful activity by reason of any medically determinable physical or mental impairment that can be expected to result in death or can be expected to last for a continuous period of not less than twelve (12) months. Whether Executive is Disabled shall be determined by a qualified medical provider selected by the Company. Alternatively, Executive will be deemed Disabled if determined to be totally disabled by the Social Security Administration. Termination of employment resulting from Disability may only be effected after at least thirty (30) days’ written notice by the Company to Executive of Company’s intention to terminate Executive’s employment due to Disability. In the event that Executive resumes the performance of</w:t>
      </w:r>
    </w:p>
    <w:p>
      <w:pPr>
        <w:sectPr>
          <w:pgSz w:w="11900" w:h="16838" w:orient="portrait"/>
          <w:cols w:equalWidth="0" w:num="1">
            <w:col w:w="11240"/>
          </w:cols>
          <w:pgMar w:left="320" w:top="1417" w:right="339" w:bottom="1440" w:gutter="0" w:footer="0" w:header="0"/>
        </w:sectPr>
      </w:pPr>
    </w:p>
    <w:bookmarkStart w:id="147" w:name="page148"/>
    <w:bookmarkEnd w:id="147"/>
    <w:p>
      <w:pPr>
        <w:jc w:val="both"/>
        <w:spacing w:after="0" w:line="251" w:lineRule="auto"/>
        <w:rPr>
          <w:sz w:val="20"/>
          <w:szCs w:val="20"/>
          <w:color w:val="auto"/>
        </w:rPr>
      </w:pPr>
      <w:r>
        <w:rPr>
          <w:rFonts w:ascii="Times New Roman" w:cs="Times New Roman" w:eastAsia="Times New Roman" w:hAnsi="Times New Roman"/>
          <w:sz w:val="22"/>
          <w:szCs w:val="22"/>
          <w:color w:val="auto"/>
        </w:rPr>
        <w:t>substantially all of her duties hereunder before her termination becomes effective, the notice of intent to terminate based on Disability will automatically be deemed to have been revoked. In conjunction with determining Disability for purposes of this Agreement, Executive hereby (i) consents to any such examinations, to be performed by a qualified medical provider selected by the Company and approved by the Executive (which approval shall not be unreasonably withheld), which are relevant to a determination of whether Executive has incurred a Disability; and (ii) agrees to furnish to the qualified medical provider selected by the Company such medical information as may be.</w:t>
      </w:r>
    </w:p>
    <w:p>
      <w:pPr>
        <w:spacing w:after="0" w:line="181" w:lineRule="exact"/>
        <w:rPr>
          <w:sz w:val="20"/>
          <w:szCs w:val="20"/>
          <w:color w:val="auto"/>
        </w:rPr>
      </w:pPr>
    </w:p>
    <w:p>
      <w:pPr>
        <w:jc w:val="both"/>
        <w:ind w:firstLine="656"/>
        <w:spacing w:after="0" w:line="259" w:lineRule="auto"/>
        <w:tabs>
          <w:tab w:leader="none" w:pos="1296"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that Executive resigns from Company following the occurrence of any of the following events or conditions, without Executive’s express written consent (which consent may be denied, withheld or delayed for any reason): (i) a material reduction in Executive’s duties, authority or responsibilities (except temporarily during the Executive’s incapacity due to physical or mental illness); (ii) requiring Executive to report to an officer or employee other than the CEO or directly to the Board, provided, however, that this subpart (ii) would not be met in the event that Company is acquired and (A) Executive continues to report to the CEO of the Company (and not the CEO of the new parent company) or (B) Executive reports to someone other than the CEO of the new parent company or newly formed company but her duties and responsibilities remain substantially the same as those immediately prior to such acquisition; (iii) a material reduction by Company in Executive’s annual base salary, annual bonus or incentive compensation opportunity as in effect as of the Effective Date or as the same maybe increased or replaced by mutual agreement from time to time; (iv) the relocation of Executive’s principal place of employment to a location more than forty (40) miles from Executive’s principal place of employment immediately prior to her termination or Company’s requiring Executive to be based anywhere other than such principal place of employment (or permitted relocation thereof); or (v) any action or inaction that constitutes a material breach by the Company of this Agreement. For “</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to be established, the Executive must provide written notice to the CEO and Company within ninety (90) days immediately following such alleged events, Company must fail to materially remedy such event within thirty (30) days after receipt of such notice, and Executive’s resignation must be effective not later than one hundred twenty (120) days from the occurrence of the alleged triggering event, and must not be effective until after the expiration of the notice and cure periods described above.</w:t>
      </w:r>
    </w:p>
    <w:p>
      <w:pPr>
        <w:spacing w:after="0" w:line="186" w:lineRule="exact"/>
        <w:rPr>
          <w:rFonts w:ascii="Times New Roman" w:cs="Times New Roman" w:eastAsia="Times New Roman" w:hAnsi="Times New Roman"/>
          <w:sz w:val="21"/>
          <w:szCs w:val="21"/>
          <w:color w:val="auto"/>
        </w:rPr>
      </w:pPr>
    </w:p>
    <w:p>
      <w:pPr>
        <w:ind w:firstLine="656"/>
        <w:spacing w:after="0" w:line="284" w:lineRule="auto"/>
        <w:tabs>
          <w:tab w:leader="none" w:pos="12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shall mean Code section 409A together with all regulations and regulatory guidance promulgated thereunder, as amended from time to time.</w:t>
      </w:r>
    </w:p>
    <w:p>
      <w:pPr>
        <w:sectPr>
          <w:pgSz w:w="11900" w:h="16838" w:orient="portrait"/>
          <w:cols w:equalWidth="0" w:num="1">
            <w:col w:w="11240"/>
          </w:cols>
          <w:pgMar w:left="320" w:top="1421" w:right="339" w:bottom="1440" w:gutter="0" w:footer="0" w:header="0"/>
        </w:sectPr>
      </w:pPr>
    </w:p>
    <w:bookmarkStart w:id="148" w:name="page149"/>
    <w:bookmarkEnd w:id="148"/>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ATTACHMENT A</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CONFIDENTIAL INFORMATION AND INVENTION ASSIGNMENT AGREEMENT</w:t>
      </w:r>
    </w:p>
    <w:p>
      <w:pPr>
        <w:sectPr>
          <w:pgSz w:w="11900" w:h="16838" w:orient="portrait"/>
          <w:cols w:equalWidth="0" w:num="1">
            <w:col w:w="9019"/>
          </w:cols>
          <w:pgMar w:left="1440" w:top="1440" w:right="1440"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EMPLOYMENT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Life360, Inc.</w:t>
      </w:r>
      <w:r>
        <w:rPr>
          <w:rFonts w:ascii="Times New Roman" w:cs="Times New Roman" w:eastAsia="Times New Roman" w:hAnsi="Times New Roman"/>
          <w:sz w:val="22"/>
          <w:szCs w:val="22"/>
          <w:color w:val="auto"/>
        </w:rPr>
        <w:t>, a corporation organized under the laws of the State of Delaware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Susan Stick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(the Company and Executive are sometimes collectively referred to herein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sets forth the terms and conditions that shall govern Executive’s employment with the Company.</w:t>
      </w:r>
    </w:p>
    <w:p>
      <w:pPr>
        <w:spacing w:after="0" w:line="168" w:lineRule="exact"/>
        <w:rPr>
          <w:sz w:val="20"/>
          <w:szCs w:val="20"/>
          <w:color w:val="auto"/>
        </w:rPr>
      </w:pPr>
    </w:p>
    <w:p>
      <w:pPr>
        <w:ind w:left="1300" w:hanging="644"/>
        <w:spacing w:after="0"/>
        <w:tabs>
          <w:tab w:leader="none" w:pos="130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Defined Terms</w:t>
      </w:r>
      <w:r>
        <w:rPr>
          <w:rFonts w:ascii="Times New Roman" w:cs="Times New Roman" w:eastAsia="Times New Roman" w:hAnsi="Times New Roman"/>
          <w:sz w:val="22"/>
          <w:szCs w:val="22"/>
          <w:color w:val="auto"/>
        </w:rPr>
        <w:t>. Capitalized terms not otherwise defined shall have the meanings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Executive will commence full-time employment with the Company effective as of July 31, 2023 or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earlier date as agreed upon between the Executive and the Company (the actual date Executive commences employment,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is an “At Will” employment agreement. Nothing in the Company’s policies, actions, or this document shall be construed to alter the “At Will” nature of Executive’s status with Company, and Executive understands that Employer may terminate her employment at any time for any reason or for no reason, provided it is not terminated in violation of state or federal law. Similarly, the Executive may terminate her employment at any time and for any or for no reason. The term of this Agreement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begins on the Effective Date and ends on either (i) the date Executive voluntarily terminates her employment or (ii) the date the Company terminates Executive’s employment. The Parties agree that Executive will be on an unpaid leave of absence starting on July 31, 2023 until August 28, 2023, or until such other date as may be agreed upon between the Chief Financial Officer (the “</w:t>
      </w:r>
      <w:r>
        <w:rPr>
          <w:rFonts w:ascii="Times New Roman" w:cs="Times New Roman" w:eastAsia="Times New Roman" w:hAnsi="Times New Roman"/>
          <w:sz w:val="22"/>
          <w:szCs w:val="22"/>
          <w:u w:val="single" w:color="auto"/>
          <w:color w:val="auto"/>
        </w:rPr>
        <w:t>CFO</w:t>
      </w:r>
      <w:r>
        <w:rPr>
          <w:rFonts w:ascii="Times New Roman" w:cs="Times New Roman" w:eastAsia="Times New Roman" w:hAnsi="Times New Roman"/>
          <w:sz w:val="22"/>
          <w:szCs w:val="22"/>
          <w:color w:val="auto"/>
        </w:rPr>
        <w:t>”) and Executive.</w:t>
      </w:r>
    </w:p>
    <w:p>
      <w:pPr>
        <w:spacing w:after="0" w:line="18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Position and Duties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w:t>
      </w:r>
      <w:r>
        <w:rPr>
          <w:rFonts w:ascii="Times New Roman" w:cs="Times New Roman" w:eastAsia="Times New Roman" w:hAnsi="Times New Roman"/>
          <w:sz w:val="22"/>
          <w:szCs w:val="22"/>
          <w:color w:val="auto"/>
        </w:rPr>
        <w:t>. During the Term, Executive shall serve as the Company’s General Counsel. Executive shall report directly to the Company’s CFO. In such capacity, Executive shall have the duties, functions, responsibilities, and authority customarily appertaining to that position and shall have such other duties, functions, responsibilities, and authority consistent with such position as are from time to time delegated to her by the CFO.</w:t>
      </w:r>
    </w:p>
    <w:p>
      <w:pPr>
        <w:spacing w:after="0" w:line="176"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39" w:val="left"/>
        </w:tabs>
        <w:numPr>
          <w:ilvl w:val="2"/>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Duties</w:t>
      </w:r>
      <w:r>
        <w:rPr>
          <w:rFonts w:ascii="Times New Roman" w:cs="Times New Roman" w:eastAsia="Times New Roman" w:hAnsi="Times New Roman"/>
          <w:sz w:val="21"/>
          <w:szCs w:val="21"/>
          <w:color w:val="auto"/>
        </w:rPr>
        <w:t xml:space="preserve">. Executive shall have supervision, control over, and responsibility for the day-to-day business and affairs of the Company as they relate to legal, compliance and government affairs-related issues and shall have such other powers and duties as may from time to time be prescribed by the CFO, provided that such supervision, control over, responsibilities and duties are consistent with Executive’s position or other positions that she may hold from time to time. Executive shall devote substantially all of her business time and attention to the performance of Executive’s duties hereunder and to the Company’s affairs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nothing herein shall preclude Executive from (i) serving on the board of directors of up to two (2) for-profit or non-profit companies that do not compete with the Company in the judgment of the CFO; (ii) serving on civic or charitable boards or committees; and/or (iii) managing personal investments, so long as all such activities described in clauses (i) through</w:t>
      </w:r>
    </w:p>
    <w:p>
      <w:pPr>
        <w:spacing w:after="0" w:line="4"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do not unreasonably interfere with Executive’s performance of her duties to the Company as provided</w:t>
      </w:r>
    </w:p>
    <w:p>
      <w:pPr>
        <w:sectPr>
          <w:pgSz w:w="11900" w:h="16838" w:orient="portrait"/>
          <w:cols w:equalWidth="0" w:num="1">
            <w:col w:w="11240"/>
          </w:cols>
          <w:pgMar w:left="320" w:top="121" w:right="339" w:bottom="1440" w:gutter="0" w:footer="0" w:header="0"/>
        </w:sectPr>
      </w:pPr>
    </w:p>
    <w:bookmarkStart w:id="150" w:name="page151"/>
    <w:bookmarkEnd w:id="150"/>
    <w:p>
      <w:pPr>
        <w:spacing w:after="0" w:line="271" w:lineRule="auto"/>
        <w:rPr>
          <w:sz w:val="20"/>
          <w:szCs w:val="20"/>
          <w:color w:val="auto"/>
        </w:rPr>
      </w:pPr>
      <w:r>
        <w:rPr>
          <w:rFonts w:ascii="Times New Roman" w:cs="Times New Roman" w:eastAsia="Times New Roman" w:hAnsi="Times New Roman"/>
          <w:sz w:val="22"/>
          <w:szCs w:val="22"/>
          <w:color w:val="auto"/>
        </w:rPr>
        <w:t>in this Agreement or create a potential business or fiduciary conflict and, in the case of the activities described in clauses (i) and (ii), are disclosed to the CFO.</w:t>
      </w:r>
    </w:p>
    <w:p>
      <w:pPr>
        <w:spacing w:after="0" w:line="158" w:lineRule="exact"/>
        <w:rPr>
          <w:sz w:val="20"/>
          <w:szCs w:val="20"/>
          <w:color w:val="auto"/>
        </w:rPr>
      </w:pPr>
    </w:p>
    <w:p>
      <w:pPr>
        <w:jc w:val="both"/>
        <w:ind w:firstLine="1304"/>
        <w:spacing w:after="0" w:line="263" w:lineRule="auto"/>
        <w:tabs>
          <w:tab w:leader="none" w:pos="1941"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Principal Place of Employment</w:t>
      </w:r>
      <w:r>
        <w:rPr>
          <w:rFonts w:ascii="Times New Roman" w:cs="Times New Roman" w:eastAsia="Times New Roman" w:hAnsi="Times New Roman"/>
          <w:sz w:val="22"/>
          <w:szCs w:val="22"/>
          <w:color w:val="auto"/>
        </w:rPr>
        <w:t>. Executive’s initial principal place of employment during the Term shall be Executive’s home residence, or as shall be designated by the CFO, subject to the terms and conditions of this Agreement. The Parties acknowledge that Executive may be required to travel in connection with the performance of her duties hereunder.</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Policies</w:t>
      </w:r>
      <w:r>
        <w:rPr>
          <w:rFonts w:ascii="Times New Roman" w:cs="Times New Roman" w:eastAsia="Times New Roman" w:hAnsi="Times New Roman"/>
          <w:sz w:val="22"/>
          <w:szCs w:val="22"/>
          <w:color w:val="auto"/>
        </w:rPr>
        <w:t>. During the Term, Executive shall be subject to all of the Company’s corporate governance, ethics, and executive compensation and other policies as in effect from time to time.</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Benefits, Other Items Applicable to Executive</w:t>
      </w:r>
      <w:r>
        <w:rPr>
          <w:rFonts w:ascii="Times New Roman" w:cs="Times New Roman" w:eastAsia="Times New Roman" w:hAnsi="Times New Roman"/>
          <w:sz w:val="22"/>
          <w:szCs w:val="22"/>
          <w:color w:val="auto"/>
        </w:rPr>
        <w:t xml:space="preserve">. During the Term, Executive shall be entitled to the compensation and benefits described in </w:t>
      </w:r>
      <w:r>
        <w:rPr>
          <w:rFonts w:ascii="Times New Roman" w:cs="Times New Roman" w:eastAsia="Times New Roman" w:hAnsi="Times New Roman"/>
          <w:sz w:val="22"/>
          <w:szCs w:val="22"/>
          <w:u w:val="single" w:color="auto"/>
          <w:color w:val="auto"/>
        </w:rPr>
        <w:t>Sections 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w:t>
      </w:r>
      <w:r>
        <w:rPr>
          <w:rFonts w:ascii="Times New Roman" w:cs="Times New Roman" w:eastAsia="Times New Roman" w:hAnsi="Times New Roman"/>
          <w:sz w:val="22"/>
          <w:szCs w:val="22"/>
          <w:color w:val="auto"/>
        </w:rPr>
        <w:t xml:space="preserve"> of this Agreement, in addition to any other compensation agreed to between Executive and the Company.</w:t>
      </w:r>
    </w:p>
    <w:p>
      <w:pPr>
        <w:spacing w:after="0" w:line="16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Executive shall receive an annual base salary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of three hundred and twenty thousand dollars ($320,000), payable in regular installments in accordance with the Company’s usual payroll practices. Executive’s Base Salary is subject to annual review and may, in the Board’s discretion, be increased or decreased. As so adjusted, the term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shall refer to the adjusted amount.</w:t>
      </w:r>
    </w:p>
    <w:p>
      <w:pPr>
        <w:spacing w:after="0" w:line="176"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39"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Bonus</w:t>
      </w:r>
      <w:r>
        <w:rPr>
          <w:rFonts w:ascii="Times New Roman" w:cs="Times New Roman" w:eastAsia="Times New Roman" w:hAnsi="Times New Roman"/>
          <w:sz w:val="21"/>
          <w:szCs w:val="21"/>
          <w:color w:val="auto"/>
        </w:rPr>
        <w:t>. Executive will have the opportunity to earn a performance bonus semi-annually each calendar year, for a total performance bonus opportunity each year equal to thirty percent (30%) of Executive’s current Base Salary. Performance bonus will be based on completion of or performance relating to agreed upon goals between Executive and CFO. During the Company’s semi-annual review process, the Company will determine in its sole and absolute discretion the extent to which executive has earned performance bonus for such semi-annual period. The Company’s determination with respect to each performance bonus will be final and binding. Any performance bonus earned will be paid as soon as practicable following the Company’s semi-annual review process and, in any event, within the first calendar month following the end of the applicable semi-annual period for which the performance bonus is earned. Executive will not earn a performance bonus for any semiannual period unless they are employed by the Company on the date such performance bonus is paid.</w:t>
      </w:r>
    </w:p>
    <w:p>
      <w:pPr>
        <w:spacing w:after="0" w:line="187"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41"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Signing Bonus</w:t>
      </w:r>
      <w:r>
        <w:rPr>
          <w:rFonts w:ascii="Times New Roman" w:cs="Times New Roman" w:eastAsia="Times New Roman" w:hAnsi="Times New Roman"/>
          <w:sz w:val="22"/>
          <w:szCs w:val="22"/>
          <w:color w:val="auto"/>
        </w:rPr>
        <w:t>. Executive will receive a one-time signing bonus of thirty thousand dollars ($30,000) payable within the first thirty (30) days of employment with the Company according to the Company’s standard payroll practices. In the event Executive’s employment is terminated for Cause, or she voluntarily leaves Life360 within twelve (12) months of her date of hire without Good Reason, Executive will be responsible for reimbursing the company a prorated portion of the net amount received, to be calculated based upon her months of service, within thirty (30) days of her departure.</w:t>
      </w:r>
    </w:p>
    <w:p>
      <w:pPr>
        <w:sectPr>
          <w:pgSz w:w="11900" w:h="16838" w:orient="portrait"/>
          <w:cols w:equalWidth="0" w:num="1">
            <w:col w:w="11240"/>
          </w:cols>
          <w:pgMar w:left="320" w:top="1421" w:right="339" w:bottom="1440" w:gutter="0" w:footer="0" w:header="0"/>
        </w:sectPr>
      </w:pPr>
    </w:p>
    <w:bookmarkStart w:id="151" w:name="page152"/>
    <w:bookmarkEnd w:id="151"/>
    <w:p>
      <w:pPr>
        <w:ind w:left="644" w:hanging="644"/>
        <w:spacing w:after="0"/>
        <w:tabs>
          <w:tab w:leader="none" w:pos="6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Equity Awards</w:t>
      </w:r>
    </w:p>
    <w:p>
      <w:pPr>
        <w:spacing w:after="0" w:line="223" w:lineRule="exact"/>
        <w:rPr>
          <w:rFonts w:ascii="Times New Roman" w:cs="Times New Roman" w:eastAsia="Times New Roman" w:hAnsi="Times New Roman"/>
          <w:sz w:val="22"/>
          <w:szCs w:val="22"/>
          <w:color w:val="auto"/>
        </w:rPr>
      </w:pPr>
    </w:p>
    <w:p>
      <w:pPr>
        <w:jc w:val="both"/>
        <w:ind w:left="-656" w:firstLine="1952"/>
        <w:spacing w:after="0" w:line="241" w:lineRule="auto"/>
        <w:tabs>
          <w:tab w:leader="none" w:pos="1924" w:val="left"/>
        </w:tabs>
        <w:numPr>
          <w:ilvl w:val="2"/>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RSU Award</w:t>
      </w:r>
      <w:r>
        <w:rPr>
          <w:rFonts w:ascii="Times New Roman" w:cs="Times New Roman" w:eastAsia="Times New Roman" w:hAnsi="Times New Roman"/>
          <w:sz w:val="22"/>
          <w:szCs w:val="22"/>
          <w:color w:val="auto"/>
        </w:rPr>
        <w:t>. An Equity grant will be recommended to the Board in the form of a restricted stock unit award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under the Amended and Restated 2011 Stock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Executive’s initial grant of RSUs (the “</w:t>
      </w:r>
      <w:r>
        <w:rPr>
          <w:rFonts w:ascii="Times New Roman" w:cs="Times New Roman" w:eastAsia="Times New Roman" w:hAnsi="Times New Roman"/>
          <w:sz w:val="22"/>
          <w:szCs w:val="22"/>
          <w:u w:val="single" w:color="auto"/>
          <w:color w:val="auto"/>
        </w:rPr>
        <w:t>RSU Award</w:t>
      </w:r>
      <w:r>
        <w:rPr>
          <w:rFonts w:ascii="Times New Roman" w:cs="Times New Roman" w:eastAsia="Times New Roman" w:hAnsi="Times New Roman"/>
          <w:sz w:val="22"/>
          <w:szCs w:val="22"/>
          <w:color w:val="auto"/>
        </w:rPr>
        <w:t>”) will be based on a total current value of one-million five hundred thousand dollars ($1,500,000) (the “</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xml:space="preserve">”). The number of shares subject to Executive’s RSU Award will be calculated by dividing the Cash Value by the appropriate Life360 closing stock price at the time of Board approval of the RSU Award to determine the number of shares subject to Executive’s RSU Award. Each RSU entitles executive to 1 share of the Company’s common stock once the vested portion of the RSU Award is settled. The RSU award will vest pursuant to a 48-month vesting schedule, which will provide that </w:t>
      </w:r>
      <w:r>
        <w:rPr>
          <w:rFonts w:ascii="Times New Roman" w:cs="Times New Roman" w:eastAsia="Times New Roman" w:hAnsi="Times New Roman"/>
          <w:sz w:val="28"/>
          <w:szCs w:val="28"/>
          <w:color w:val="auto"/>
          <w:vertAlign w:val="superscript"/>
        </w:rPr>
        <w:t>1/4</w:t>
      </w:r>
      <w:r>
        <w:rPr>
          <w:rFonts w:ascii="Times New Roman" w:cs="Times New Roman" w:eastAsia="Times New Roman" w:hAnsi="Times New Roman"/>
          <w:sz w:val="22"/>
          <w:szCs w:val="22"/>
          <w:color w:val="auto"/>
        </w:rPr>
        <w:t xml:space="preserve"> of the share subjects to the RSU Award will vest after 12 months of full-time employment, and 1/48th of the shares subject to the RSU Award will vest as and when Executive completes each month of full-time employment thereafter. The vested RSUs will settle as soon as practical following the vesting date and will be done at least quarterly.</w:t>
      </w:r>
    </w:p>
    <w:p>
      <w:pPr>
        <w:spacing w:after="0" w:line="198" w:lineRule="exact"/>
        <w:rPr>
          <w:rFonts w:ascii="Times New Roman" w:cs="Times New Roman" w:eastAsia="Times New Roman" w:hAnsi="Times New Roman"/>
          <w:sz w:val="22"/>
          <w:szCs w:val="22"/>
          <w:color w:val="auto"/>
        </w:rPr>
      </w:pPr>
    </w:p>
    <w:p>
      <w:pPr>
        <w:ind w:left="-656" w:right="20" w:firstLine="1304"/>
        <w:spacing w:after="0" w:line="271" w:lineRule="auto"/>
        <w:tabs>
          <w:tab w:leader="none" w:pos="1285"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Terms</w:t>
      </w:r>
      <w:r>
        <w:rPr>
          <w:rFonts w:ascii="Times New Roman" w:cs="Times New Roman" w:eastAsia="Times New Roman" w:hAnsi="Times New Roman"/>
          <w:sz w:val="22"/>
          <w:szCs w:val="22"/>
          <w:color w:val="auto"/>
        </w:rPr>
        <w:t xml:space="preserve">. In the event that the Company creates and issues an executive severance program, such program will apply to Executive and the remainder of this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 xml:space="preserve"> will be void and not apply.</w:t>
      </w:r>
    </w:p>
    <w:p>
      <w:pPr>
        <w:spacing w:after="0" w:line="157" w:lineRule="exact"/>
        <w:rPr>
          <w:rFonts w:ascii="Times New Roman" w:cs="Times New Roman" w:eastAsia="Times New Roman" w:hAnsi="Times New Roman"/>
          <w:sz w:val="22"/>
          <w:szCs w:val="22"/>
          <w:color w:val="auto"/>
        </w:rPr>
      </w:pPr>
    </w:p>
    <w:p>
      <w:pPr>
        <w:jc w:val="both"/>
        <w:ind w:left="-656" w:firstLine="1952"/>
        <w:spacing w:after="0" w:line="248" w:lineRule="auto"/>
        <w:tabs>
          <w:tab w:leader="none" w:pos="1924" w:val="left"/>
        </w:tabs>
        <w:numPr>
          <w:ilvl w:val="2"/>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Until such time as an executive severance program is created and issued by Company, if a Change of Control occurs (as defined in the Plan) and, upon or within twelve (12) months following such Change of Control, Executive’s employment with the Company is terminated by the Company other than for Cause or is terminated by Executive for Good Reason and, in either case, such termination constitutes a “separation from service” (as defined in Treasury Regulation 1.409A-1(h)) (an “</w:t>
      </w:r>
      <w:r>
        <w:rPr>
          <w:rFonts w:ascii="Times New Roman" w:cs="Times New Roman" w:eastAsia="Times New Roman" w:hAnsi="Times New Roman"/>
          <w:sz w:val="22"/>
          <w:szCs w:val="22"/>
          <w:u w:val="single" w:color="auto"/>
          <w:color w:val="auto"/>
        </w:rPr>
        <w:t>Involuntary Separation</w:t>
      </w:r>
      <w:r>
        <w:rPr>
          <w:rFonts w:ascii="Times New Roman" w:cs="Times New Roman" w:eastAsia="Times New Roman" w:hAnsi="Times New Roman"/>
          <w:sz w:val="22"/>
          <w:szCs w:val="22"/>
          <w:color w:val="auto"/>
        </w:rPr>
        <w:t>”), then effective as of such termination, and subject to the Executive’s execution and non-revocation of a general release in a form reasonably acceptable to the Company no later than the sixtieth (60th) day thereafter, and further subject to ASX Listing rules, the vesting of all awards of RSUs held by Executive shall accelerate as of such termination; such that all of the total RSUs held by Executive that are unvested as of such termination will vest (for purposes of clarity, Executive cannot vest in more than 100% of the total RSUs awarded to Executive). In addition, if the successor to the Company or any affiliate of such successor does not agree to assume, substitute or otherwise continue any awards of RSUs at the time of a Change of Control (and if offered new or continued employment with such acquirer or successor, Executive does not voluntarily resign without Good Reason), then 100% of the then unvested shares subject to the awards of RSUs that are not assumed or substituted for, as applicable, shall fully vest and, if applicable, become exercisable immediately prior to, and contingent upon, the consummation of such Change of Control.</w:t>
      </w:r>
    </w:p>
    <w:p>
      <w:pPr>
        <w:spacing w:after="0" w:line="188" w:lineRule="exact"/>
        <w:rPr>
          <w:sz w:val="20"/>
          <w:szCs w:val="20"/>
          <w:color w:val="auto"/>
        </w:rPr>
      </w:pPr>
    </w:p>
    <w:p>
      <w:pPr>
        <w:jc w:val="both"/>
        <w:ind w:left="-656" w:firstLine="1952"/>
        <w:spacing w:after="0" w:line="256" w:lineRule="auto"/>
        <w:tabs>
          <w:tab w:leader="none" w:pos="193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Separate Payments Under Section 409A</w:t>
      </w:r>
      <w:r>
        <w:rPr>
          <w:rFonts w:ascii="Times New Roman" w:cs="Times New Roman" w:eastAsia="Times New Roman" w:hAnsi="Times New Roman"/>
          <w:sz w:val="22"/>
          <w:szCs w:val="22"/>
          <w:color w:val="auto"/>
        </w:rPr>
        <w:t>. For purposes of Internal Revenue Code Section 409A, each RSU vesting tranche described above is hereby designated as a separate payment. The Parties intend that all payments and benefits made or to be made under this Agreement comply with, or are exempt from, the requirements of Section 409A so that none of the payments or benefits will be subject to the adverse tax penalties imposed under Section</w:t>
      </w:r>
    </w:p>
    <w:p>
      <w:pPr>
        <w:sectPr>
          <w:pgSz w:w="11900" w:h="16838" w:orient="portrait"/>
          <w:cols w:equalWidth="0" w:num="1">
            <w:col w:w="10584"/>
          </w:cols>
          <w:pgMar w:left="976" w:top="1417" w:right="339" w:bottom="1440" w:gutter="0" w:footer="0" w:header="0"/>
        </w:sectPr>
      </w:pPr>
    </w:p>
    <w:bookmarkStart w:id="152" w:name="page153"/>
    <w:bookmarkEnd w:id="152"/>
    <w:p>
      <w:pPr>
        <w:jc w:val="both"/>
        <w:spacing w:after="0" w:line="228" w:lineRule="auto"/>
        <w:rPr>
          <w:sz w:val="20"/>
          <w:szCs w:val="20"/>
          <w:color w:val="auto"/>
        </w:rPr>
      </w:pPr>
      <w:r>
        <w:rPr>
          <w:rFonts w:ascii="Times New Roman" w:cs="Times New Roman" w:eastAsia="Times New Roman" w:hAnsi="Times New Roman"/>
          <w:sz w:val="22"/>
          <w:szCs w:val="22"/>
          <w:color w:val="auto"/>
        </w:rPr>
        <w:t>409A, and any ambiguities herein will be interpreted to so comply or be so exempt. Specifically, any severance benefits made in connection with Executive’s Involuntary Separation under this Agreement and provided on or before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month following the end of Executive’s first tax year in which Executive’s Involuntary Separation occurs or, if later,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month following the end of the Company’s first tax year in which Executive’s Involuntary Separation occurs, shall be exempt from Section 409A to the maximum extent permitted pursuant to Treasury Regulation Section 1.409A-1(b)(4) and any other severance benefits provided in connection with Executive’s Involuntary Separation under this Agreement shall be exempt from Section 409A to the maximum extent permitted pursuant to Treasury Regulation Section 1.409A-1(b)(9)(iii) (to the extent it is exempt pursuant to such section it will in any event be paid no later than the last day of Executive’s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taxable year following the taxable year in which Executive’s Involuntary Separation occurs). Notwithstanding the foregoing, if any of the benefits provided in connection with Executive’s Involuntary Separation do not qualify for any reason to be exempt from Section 409A pursuant to Treasury Regulation Section 1.409A-1(b)(4), Treasury Regulation Section 1.409A-1(b)(9)(iii), or any other applicable exemption and Executive is, at the time of Executive’s Involuntary Separation, a “specified employee,” as defined in Treasury Regulation Section 1.409A-1(i) (i.e., Executive is a “key employee” of a publicly traded company), each such benefit will not be provided until the first regularly scheduled payroll date of the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month after Executive’s Involuntary Separation and, on such date (or, if earlier, the date of Executive’s death), Executive will receive all benefits that would have been provided during such period. In no event whatsoever shall the Company be liable for interest and additional tax that may be imposed on Executive by Section 409A or any damages for failing to comply with Section 409A.</w:t>
      </w:r>
    </w:p>
    <w:p>
      <w:pPr>
        <w:spacing w:after="0" w:line="204" w:lineRule="exact"/>
        <w:rPr>
          <w:sz w:val="20"/>
          <w:szCs w:val="20"/>
          <w:color w:val="auto"/>
        </w:rPr>
      </w:pPr>
    </w:p>
    <w:p>
      <w:pPr>
        <w:jc w:val="both"/>
        <w:ind w:firstLine="1304"/>
        <w:spacing w:after="0" w:line="263" w:lineRule="auto"/>
        <w:tabs>
          <w:tab w:leader="none" w:pos="1939"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Requirements</w:t>
      </w:r>
      <w:r>
        <w:rPr>
          <w:rFonts w:ascii="Times New Roman" w:cs="Times New Roman" w:eastAsia="Times New Roman" w:hAnsi="Times New Roman"/>
          <w:sz w:val="22"/>
          <w:szCs w:val="22"/>
          <w:color w:val="auto"/>
        </w:rPr>
        <w:t>. If the grant of the RSU Award would violate any regulatory provisions, including, without limitation, any regulations with respect to the Australian Securities Exchange, then Executive and the Company shall, in good faith, consider alternative arrangements designed to provide similar economic value to the Executive.</w:t>
      </w:r>
    </w:p>
    <w:p>
      <w:pPr>
        <w:spacing w:after="0" w:line="16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Employee Benefits; Expense Reimbursements; Insurance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During the Term, Executive and their eligible dependents (if any) shall be able to participate in employee benefit plans and perquisite and fringe benefit programs on a basis no less favorable than the basis on which such benefits and perquisites are provided by the Company from time to time to other similarly situated senior executive employees, subject in each case to the terms and conditions of the plan or program in question, including any eligibility requirements set forth therein, and the determination of any person or committee administering the plan or program. Notwithstanding the foregoing or any other statement to the contrary, the Company reserves the right to modify or terminate benefits from time to time as it deems necessary or appropriate.</w:t>
      </w:r>
    </w:p>
    <w:p>
      <w:pPr>
        <w:spacing w:after="0" w:line="180"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Executive shall be entitled to paid vacation each year in accordance with the Company’s then-current vacation policy for other similarly situated senior executive employees. The rules relating to other absences from regular duties for holidays, sick</w:t>
      </w:r>
    </w:p>
    <w:p>
      <w:pPr>
        <w:sectPr>
          <w:pgSz w:w="11900" w:h="16838" w:orient="portrait"/>
          <w:cols w:equalWidth="0" w:num="1">
            <w:col w:w="11240"/>
          </w:cols>
          <w:pgMar w:left="320" w:top="1422" w:right="339" w:bottom="1440" w:gutter="0" w:footer="0" w:header="0"/>
        </w:sectPr>
      </w:pPr>
    </w:p>
    <w:bookmarkStart w:id="153" w:name="page154"/>
    <w:bookmarkEnd w:id="153"/>
    <w:p>
      <w:pPr>
        <w:spacing w:after="0" w:line="271" w:lineRule="auto"/>
        <w:rPr>
          <w:sz w:val="20"/>
          <w:szCs w:val="20"/>
          <w:color w:val="auto"/>
        </w:rPr>
      </w:pPr>
      <w:r>
        <w:rPr>
          <w:rFonts w:ascii="Times New Roman" w:cs="Times New Roman" w:eastAsia="Times New Roman" w:hAnsi="Times New Roman"/>
          <w:sz w:val="22"/>
          <w:szCs w:val="22"/>
          <w:color w:val="auto"/>
        </w:rPr>
        <w:t>or disability leave, leave of absence without pay, or for other reasons, shall be the same as those provided to the Company’s other similarly situated senior executive employees.</w:t>
      </w:r>
    </w:p>
    <w:p>
      <w:pPr>
        <w:spacing w:after="0" w:line="158" w:lineRule="exact"/>
        <w:rPr>
          <w:sz w:val="20"/>
          <w:szCs w:val="20"/>
          <w:color w:val="auto"/>
        </w:rPr>
      </w:pPr>
    </w:p>
    <w:p>
      <w:pPr>
        <w:jc w:val="both"/>
        <w:ind w:firstLine="1304"/>
        <w:spacing w:after="0" w:line="252" w:lineRule="auto"/>
        <w:tabs>
          <w:tab w:leader="none" w:pos="1941"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w:t>
      </w:r>
      <w:r>
        <w:rPr>
          <w:rFonts w:ascii="Times New Roman" w:cs="Times New Roman" w:eastAsia="Times New Roman" w:hAnsi="Times New Roman"/>
          <w:sz w:val="22"/>
          <w:szCs w:val="22"/>
          <w:color w:val="auto"/>
        </w:rPr>
        <w:t>. Executive shall be entitled to receive prompt reimbursement for all travel and business expenses reasonably incurred and accounted for by Executive (in accordance with the policies and procedures established from time to time by the Company for Executive or as otherwise provided for in the Company’s approved travel budget) in performing services hereunder. Any reimbursement that Executive is entitled to receive shall (i) be paid as soon as practicable and in any event no later than the last day of Executive’s tax year following the tax year in which the expense was incurred, (ii) not be affected by any other expenses that are eligible for reimbursement in any tax year and (ii) not be subject to liquidation or exchange for another benefit.</w:t>
      </w:r>
    </w:p>
    <w:p>
      <w:pPr>
        <w:spacing w:after="0" w:line="179"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D&amp;O Insurance</w:t>
      </w:r>
      <w:r>
        <w:rPr>
          <w:rFonts w:ascii="Times New Roman" w:cs="Times New Roman" w:eastAsia="Times New Roman" w:hAnsi="Times New Roman"/>
          <w:sz w:val="22"/>
          <w:szCs w:val="22"/>
          <w:color w:val="auto"/>
        </w:rPr>
        <w:t>. The Company will maintain a directors’ and officers’ liability insurance policy covering the Executive that provides coverage that is reasonable in relation to the Executive’s position during the Term.</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of Employee</w:t>
      </w:r>
      <w:r>
        <w:rPr>
          <w:rFonts w:ascii="Times New Roman" w:cs="Times New Roman" w:eastAsia="Times New Roman" w:hAnsi="Times New Roman"/>
          <w:sz w:val="22"/>
          <w:szCs w:val="22"/>
          <w:color w:val="auto"/>
        </w:rPr>
        <w:t>. Employer shall indemnify Employee and hold her harmless for lawful acts or decisions made by her in good faith while performing her duties for Employer, its parent, subsidiaries, and affiliates to the full extent allowed by law.</w:t>
      </w:r>
    </w:p>
    <w:p>
      <w:pPr>
        <w:spacing w:after="0" w:line="182"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 Except for the provisions intended to survive for other periods of time as specified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u w:val="single" w:color="auto"/>
          <w:color w:val="auto"/>
        </w:rPr>
        <w:t>Section 13(l)</w:t>
      </w:r>
      <w:r>
        <w:rPr>
          <w:rFonts w:ascii="Times New Roman" w:cs="Times New Roman" w:eastAsia="Times New Roman" w:hAnsi="Times New Roman"/>
          <w:sz w:val="22"/>
          <w:szCs w:val="22"/>
          <w:color w:val="auto"/>
        </w:rPr>
        <w:t xml:space="preserve"> below, this Agreement and Executive’s employment shall terminate (i) at any time upon mutual written agreement of the Parties; (ii) by the Company, immediately, for Cause as provided in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(iii) immediately, by the Company without Cause or by Executive for Good Reason, as provided in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xml:space="preserve">; (iv) immediately upon Executive’s death or Disability as provided in </w:t>
      </w:r>
      <w:r>
        <w:rPr>
          <w:rFonts w:ascii="Times New Roman" w:cs="Times New Roman" w:eastAsia="Times New Roman" w:hAnsi="Times New Roman"/>
          <w:sz w:val="22"/>
          <w:szCs w:val="22"/>
          <w:u w:val="single" w:color="auto"/>
          <w:color w:val="auto"/>
        </w:rPr>
        <w:t>Section 7(c)</w:t>
      </w:r>
      <w:r>
        <w:rPr>
          <w:rFonts w:ascii="Times New Roman" w:cs="Times New Roman" w:eastAsia="Times New Roman" w:hAnsi="Times New Roman"/>
          <w:sz w:val="22"/>
          <w:szCs w:val="22"/>
          <w:color w:val="auto"/>
        </w:rPr>
        <w:t xml:space="preserve">; or (v) by Executive for any reason other than due to Executive’s death or Disability with advance written notice as provided in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The date on which Executive’s employment ends under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shall be referred to herein as her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41"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 Voluntary Termination</w:t>
      </w:r>
      <w:r>
        <w:rPr>
          <w:rFonts w:ascii="Times New Roman" w:cs="Times New Roman" w:eastAsia="Times New Roman" w:hAnsi="Times New Roman"/>
          <w:sz w:val="21"/>
          <w:szCs w:val="21"/>
          <w:color w:val="auto"/>
        </w:rPr>
        <w:t xml:space="preserve">. At any time during the Term, (i) the Company may immediately terminate Executive’s employment for Cause, and (ii) Executive may terminate her employment “voluntarily” (that is, other than by death or Disability); provided, that Executive will be required to give the Board at least thirty (30) days advance written notice of any such termination; provided, however, that the Board may waive all or any part of the foregoing notice requirement in its sole discretion, in which case Executive’s voluntary termination will be effective upon the date specified by the Board, which will be the Termination Date for purposes of this Agreement. For the avoidance of doubt, Executive will only be paid for services through the actual Termination Date and will not be entitled to any additional vesting following the Termination Date. Upon the termination of Executive’s employment by the Company for Cause or by Executive’s voluntary termination, Executive shall receive the Accrued Obligations. All other benefits, if any, due to Executive following Executive’s Termination Date pursuant to this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 xml:space="preserve"> shall be determined in accordance with the plans, policies and practices of the Company as then in effect, including but not necessarily limited to the Plan. Executive shall not earn or accrue any additional compensation or</w:t>
      </w:r>
    </w:p>
    <w:p>
      <w:pPr>
        <w:sectPr>
          <w:pgSz w:w="11900" w:h="16838" w:orient="portrait"/>
          <w:cols w:equalWidth="0" w:num="1">
            <w:col w:w="11240"/>
          </w:cols>
          <w:pgMar w:left="320" w:top="1422" w:right="339" w:bottom="1440" w:gutter="0" w:footer="0" w:header="0"/>
        </w:sectPr>
      </w:pPr>
    </w:p>
    <w:bookmarkStart w:id="154" w:name="page155"/>
    <w:bookmarkEnd w:id="154"/>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other benefits under this Agreement following the Termination Date. Notwithstanding anything in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to the contrary, in the event Executive is terminated for Cause, the Company will provide notice to the Executive outlining the reason(s) underlying the termination within one business day of such termination; for the avoidance of doubt, the foregoing notice provision is not a condition precedent to a termination for Cause.</w:t>
      </w:r>
    </w:p>
    <w:p>
      <w:pPr>
        <w:spacing w:after="0" w:line="176" w:lineRule="exact"/>
        <w:rPr>
          <w:sz w:val="20"/>
          <w:szCs w:val="20"/>
          <w:color w:val="auto"/>
        </w:rPr>
      </w:pPr>
    </w:p>
    <w:p>
      <w:pPr>
        <w:jc w:val="both"/>
        <w:ind w:firstLine="1304"/>
        <w:spacing w:after="0" w:line="248" w:lineRule="auto"/>
        <w:tabs>
          <w:tab w:leader="none" w:pos="193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Termination for Good Reason</w:t>
      </w:r>
      <w:r>
        <w:rPr>
          <w:rFonts w:ascii="Times New Roman" w:cs="Times New Roman" w:eastAsia="Times New Roman" w:hAnsi="Times New Roman"/>
          <w:sz w:val="22"/>
          <w:szCs w:val="22"/>
          <w:color w:val="auto"/>
        </w:rPr>
        <w:t xml:space="preserve">. As of the date of this Agreement, Company intends to update its executive severance program to enhance severance opportunities for executives, and, in the event that the Company creates and issues such executive severance program and the benefits of such program are equal to or greater than the severance benefits provided in the following sentence of this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xml:space="preserve">, then such program will apply to Executive and the following sentence in this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xml:space="preserve"> will be void and not apply. In the event that Executive is terminated without Cause or voluntarily terminates for Good Reason, Executive will be additionally entitled to (i) a lump sum payment of six (6) months of Executive’s Base Salary at the rate in effect on the Termination Date; and (ii) continued employer-paid health insurance premiums for six (6) months if Executive timely elects continuation coverage pursuant to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for executive and eligible dependents, as applicable.</w:t>
      </w:r>
    </w:p>
    <w:p>
      <w:pPr>
        <w:spacing w:after="0" w:line="18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 or Disability</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xml:space="preserve">. Executive’s employment with the Company shall terminate upon Executive’s death. Upon the termination of the Term and Executive’s employment as a result of this </w:t>
      </w:r>
      <w:r>
        <w:rPr>
          <w:rFonts w:ascii="Times New Roman" w:cs="Times New Roman" w:eastAsia="Times New Roman" w:hAnsi="Times New Roman"/>
          <w:sz w:val="22"/>
          <w:szCs w:val="22"/>
          <w:u w:val="single" w:color="auto"/>
          <w:color w:val="auto"/>
        </w:rPr>
        <w:t>Section 7(c)(i)</w:t>
      </w:r>
      <w:r>
        <w:rPr>
          <w:rFonts w:ascii="Times New Roman" w:cs="Times New Roman" w:eastAsia="Times New Roman" w:hAnsi="Times New Roman"/>
          <w:sz w:val="22"/>
          <w:szCs w:val="22"/>
          <w:color w:val="auto"/>
        </w:rPr>
        <w:t>, Executive’s estate shall receive the Accrued Obligations within fifteen (15) days following the Termination Date. All payments or benefits, if any, due to Executive’s estate following Executive’s termination due to death shall be determined in accordance with the plans, policies and practices of the Company as then in effect. Executive’s estate shall not earn or accrue any additional compensation or other benefits under this Agreement following the Termination Date.</w:t>
      </w:r>
    </w:p>
    <w:p>
      <w:pPr>
        <w:spacing w:after="0" w:line="181"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6"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The Company may terminate Executive’s employment if she becomes unable to perform the essential functions of her position as a result of her Disability (subject to the notice period set forth in the definition of Disability). Upon any termination of the Term and Executive’s employment pursuant to this </w:t>
      </w:r>
      <w:r>
        <w:rPr>
          <w:rFonts w:ascii="Times New Roman" w:cs="Times New Roman" w:eastAsia="Times New Roman" w:hAnsi="Times New Roman"/>
          <w:sz w:val="22"/>
          <w:szCs w:val="22"/>
          <w:u w:val="single" w:color="auto"/>
          <w:color w:val="auto"/>
        </w:rPr>
        <w:t>Section 7(c)(ii)</w:t>
      </w:r>
      <w:r>
        <w:rPr>
          <w:rFonts w:ascii="Times New Roman" w:cs="Times New Roman" w:eastAsia="Times New Roman" w:hAnsi="Times New Roman"/>
          <w:sz w:val="22"/>
          <w:szCs w:val="22"/>
          <w:color w:val="auto"/>
        </w:rPr>
        <w:t xml:space="preserve">, Executive shall receive the Accrued Obligations as well as benefits set forth in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xml:space="preserve"> herein. All other benefits, if any, due to Executive following Executive’s termination of employment pursuant to this </w:t>
      </w:r>
      <w:r>
        <w:rPr>
          <w:rFonts w:ascii="Times New Roman" w:cs="Times New Roman" w:eastAsia="Times New Roman" w:hAnsi="Times New Roman"/>
          <w:sz w:val="22"/>
          <w:szCs w:val="22"/>
          <w:u w:val="single" w:color="auto"/>
          <w:color w:val="auto"/>
        </w:rPr>
        <w:t>Section 7(c)(ii)</w:t>
      </w:r>
      <w:r>
        <w:rPr>
          <w:rFonts w:ascii="Times New Roman" w:cs="Times New Roman" w:eastAsia="Times New Roman" w:hAnsi="Times New Roman"/>
          <w:sz w:val="22"/>
          <w:szCs w:val="22"/>
          <w:color w:val="auto"/>
        </w:rPr>
        <w:t xml:space="preserve"> shall be determined in accordance with the plans, policies and practices of the Company as then in effect. Executive shall not earn or accrue any additional or other benefits under this Agreement following the Termination Date.</w:t>
      </w:r>
    </w:p>
    <w:p>
      <w:pPr>
        <w:spacing w:after="0" w:line="180"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xml:space="preserve">. Any purported termination of Executive’s employment by the Company or by Executive shall be communicated by written notice of termination to the other party in accordance with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Such notice shall indicate the specific termination provision in this Agreement relied upon and shall, to the extent applicable, set forth in reasonable detail the facts and circumstances claimed to provide a basis for termination of Executive’s employment under the provision so indicated.</w:t>
      </w:r>
    </w:p>
    <w:p>
      <w:pPr>
        <w:sectPr>
          <w:pgSz w:w="11900" w:h="16838" w:orient="portrait"/>
          <w:cols w:equalWidth="0" w:num="1">
            <w:col w:w="11240"/>
          </w:cols>
          <w:pgMar w:left="320" w:top="1422" w:right="339" w:bottom="1440" w:gutter="0" w:footer="0" w:header="0"/>
        </w:sectPr>
      </w:pPr>
    </w:p>
    <w:bookmarkStart w:id="155" w:name="page156"/>
    <w:bookmarkEnd w:id="155"/>
    <w:p>
      <w:pPr>
        <w:ind w:left="644" w:hanging="644"/>
        <w:spacing w:after="0"/>
        <w:tabs>
          <w:tab w:leader="none" w:pos="64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656" w:firstLine="1304"/>
        <w:spacing w:after="0" w:line="251" w:lineRule="auto"/>
        <w:tabs>
          <w:tab w:leader="none" w:pos="128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maximum extent permitted by applicable law, Executive and Company agree that they will not make or cause to be made any oral or written statements that are derogatory, defamatory, or disparaging concerning the other Party. In addition, Executive agrees not to make or cause to be made any public oral or written statements that are derogatory, defamatory, or disparaging concerning Company’s policies or programs, or its past or present officers, directors, or employees, or take any actions that are intentionally or materially harmful to the business affairs of the Company or its employees. This provision is a material and substantial term of this Agreement.</w:t>
      </w:r>
    </w:p>
    <w:p>
      <w:pPr>
        <w:spacing w:after="0" w:line="181" w:lineRule="exact"/>
        <w:rPr>
          <w:rFonts w:ascii="Times New Roman" w:cs="Times New Roman" w:eastAsia="Times New Roman" w:hAnsi="Times New Roman"/>
          <w:sz w:val="22"/>
          <w:szCs w:val="22"/>
          <w:color w:val="auto"/>
        </w:rPr>
      </w:pPr>
    </w:p>
    <w:p>
      <w:pPr>
        <w:jc w:val="both"/>
        <w:ind w:left="-656" w:firstLine="1304"/>
        <w:spacing w:after="0" w:line="263" w:lineRule="auto"/>
        <w:tabs>
          <w:tab w:leader="none" w:pos="1283"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agrees that it will not publish any official statement of the Company that is derogatory, defamatory, or disparaging concerning Executive, and will instruct the members of the Board and the Company’s executives to refrain from making any derogatory, defamatory, or disparaging public statements concerning Executive.</w:t>
      </w:r>
    </w:p>
    <w:p>
      <w:pPr>
        <w:spacing w:after="0" w:line="163" w:lineRule="exact"/>
        <w:rPr>
          <w:rFonts w:ascii="Times New Roman" w:cs="Times New Roman" w:eastAsia="Times New Roman" w:hAnsi="Times New Roman"/>
          <w:sz w:val="22"/>
          <w:szCs w:val="22"/>
          <w:color w:val="auto"/>
        </w:rPr>
      </w:pPr>
    </w:p>
    <w:p>
      <w:pPr>
        <w:jc w:val="both"/>
        <w:ind w:left="-656" w:firstLine="656"/>
        <w:spacing w:after="0" w:line="253" w:lineRule="auto"/>
        <w:tabs>
          <w:tab w:leader="none" w:pos="6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subsection, or sentence of this Agreement shall be held to be invalid, illegal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in any respect by a court of competent jurisdiction, such invalidity, illegality or unenforceability shall not affect the other provisions of this Agreement, and this Agreement shall be construed as if such invalid, illegal or unenforceable provision, subsection, or sentence had not been contained herein.</w:t>
      </w:r>
    </w:p>
    <w:p>
      <w:pPr>
        <w:spacing w:after="0" w:line="188" w:lineRule="exact"/>
        <w:rPr>
          <w:rFonts w:ascii="Times New Roman" w:cs="Times New Roman" w:eastAsia="Times New Roman" w:hAnsi="Times New Roman"/>
          <w:sz w:val="22"/>
          <w:szCs w:val="22"/>
          <w:color w:val="auto"/>
        </w:rPr>
      </w:pPr>
    </w:p>
    <w:p>
      <w:pPr>
        <w:jc w:val="both"/>
        <w:ind w:left="-656" w:firstLine="656"/>
        <w:spacing w:after="0" w:line="259" w:lineRule="auto"/>
        <w:tabs>
          <w:tab w:leader="none" w:pos="6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 Information and Invention Assignment Agreement</w:t>
      </w:r>
      <w:r>
        <w:rPr>
          <w:rFonts w:ascii="Times New Roman" w:cs="Times New Roman" w:eastAsia="Times New Roman" w:hAnsi="Times New Roman"/>
          <w:sz w:val="22"/>
          <w:szCs w:val="22"/>
          <w:color w:val="auto"/>
        </w:rPr>
        <w:t>. Like all Company employees, Executive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 required, as a condition of Executive’s employment with the Company, to sign the Company’s enclosed standard Confidential Information and Invention Assignment Agreement, a copy of which is attached hereto as </w:t>
      </w:r>
      <w:r>
        <w:rPr>
          <w:rFonts w:ascii="Times New Roman" w:cs="Times New Roman" w:eastAsia="Times New Roman" w:hAnsi="Times New Roman"/>
          <w:sz w:val="22"/>
          <w:szCs w:val="22"/>
          <w:u w:val="single" w:color="auto"/>
          <w:color w:val="auto"/>
        </w:rPr>
        <w:t>Attachment A</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auto"/>
        </w:rPr>
      </w:pPr>
    </w:p>
    <w:p>
      <w:pPr>
        <w:jc w:val="both"/>
        <w:ind w:left="-656" w:firstLine="656"/>
        <w:spacing w:after="0" w:line="248" w:lineRule="auto"/>
        <w:tabs>
          <w:tab w:leader="none" w:pos="63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Specific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and Company acknowledge and agree that the other Party’s remedies at law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 breach or threatened breach of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8(b)</w:t>
      </w:r>
      <w:r>
        <w:rPr>
          <w:rFonts w:ascii="Times New Roman" w:cs="Times New Roman" w:eastAsia="Times New Roman" w:hAnsi="Times New Roman"/>
          <w:sz w:val="22"/>
          <w:szCs w:val="22"/>
          <w:color w:val="auto"/>
        </w:rPr>
        <w:t>, respectively (the “</w:t>
      </w:r>
      <w:r>
        <w:rPr>
          <w:rFonts w:ascii="Times New Roman" w:cs="Times New Roman" w:eastAsia="Times New Roman" w:hAnsi="Times New Roman"/>
          <w:sz w:val="22"/>
          <w:szCs w:val="22"/>
          <w:u w:val="single" w:color="auto"/>
          <w:color w:val="auto"/>
        </w:rPr>
        <w:t>Covenant</w:t>
      </w:r>
      <w:r>
        <w:rPr>
          <w:rFonts w:ascii="Times New Roman" w:cs="Times New Roman" w:eastAsia="Times New Roman" w:hAnsi="Times New Roman"/>
          <w:sz w:val="22"/>
          <w:szCs w:val="22"/>
          <w:color w:val="auto"/>
        </w:rPr>
        <w:t xml:space="preserve">”) would be inadequate and the other Party would suffer irreparable damages as a result of such breach or threatened breach. In recognition of this fact, the Parties agree that, in the event of a breach of the Covenant, in addition to any remedies at law, the other Party, without posting any bond, to the maximum extent permitted by applicable law, shall be entitled to cease making any payments or providing any benefit otherwise required by this Agreement and, in the case of either a breach or a threatened breach of the Covenant seek equitable relief before a court of competent jurisdiction, in the form of specific performance, temporary restraining order, temporary or permanent injunction or any other equitable remedy that may then be available. Company acknowledges and agrees that Executive’s remedies at law for a breach or threatened breach of </w:t>
      </w:r>
      <w:r>
        <w:rPr>
          <w:rFonts w:ascii="Times New Roman" w:cs="Times New Roman" w:eastAsia="Times New Roman" w:hAnsi="Times New Roman"/>
          <w:sz w:val="22"/>
          <w:szCs w:val="22"/>
          <w:u w:val="single" w:color="auto"/>
          <w:color w:val="auto"/>
        </w:rPr>
        <w:t>Section 8(b)</w:t>
      </w:r>
      <w:r>
        <w:rPr>
          <w:rFonts w:ascii="Times New Roman" w:cs="Times New Roman" w:eastAsia="Times New Roman" w:hAnsi="Times New Roman"/>
          <w:sz w:val="22"/>
          <w:szCs w:val="22"/>
          <w:color w:val="auto"/>
        </w:rPr>
        <w:t xml:space="preserve"> would be inadequate and Executive would suffer irreparable damages as a result of such breach or threatened breach. Accordingly, Company agrees that Executive shall be entitled to, in addition to any legal remedies available, seek equitable relief before a court of competent jurisdiction, in the form of specific performance, temporary restraining order, temporary or permanent injunction or any other equitable remedy that may then be available without posting bond or proving actual damages.</w:t>
      </w:r>
    </w:p>
    <w:p>
      <w:pPr>
        <w:sectPr>
          <w:pgSz w:w="11900" w:h="16838" w:orient="portrait"/>
          <w:cols w:equalWidth="0" w:num="1">
            <w:col w:w="10584"/>
          </w:cols>
          <w:pgMar w:left="976" w:top="1418" w:right="339" w:bottom="1440" w:gutter="0" w:footer="0" w:header="0"/>
        </w:sectPr>
      </w:pPr>
    </w:p>
    <w:bookmarkStart w:id="156" w:name="page157"/>
    <w:bookmarkEnd w:id="156"/>
    <w:p>
      <w:pPr>
        <w:jc w:val="both"/>
        <w:ind w:left="-8" w:firstLine="656"/>
        <w:spacing w:after="0" w:line="250" w:lineRule="auto"/>
        <w:tabs>
          <w:tab w:leader="none" w:pos="1288"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Conflicts of Interest</w:t>
      </w:r>
      <w:r>
        <w:rPr>
          <w:rFonts w:ascii="Times New Roman" w:cs="Times New Roman" w:eastAsia="Times New Roman" w:hAnsi="Times New Roman"/>
          <w:sz w:val="22"/>
          <w:szCs w:val="22"/>
          <w:color w:val="auto"/>
        </w:rPr>
        <w:t>. Executive agrees that for the duration of this Agreement and Executive’s employment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she will not engage, either directly or indirectly, in any activity (a “</w:t>
      </w:r>
      <w:r>
        <w:rPr>
          <w:rFonts w:ascii="Times New Roman" w:cs="Times New Roman" w:eastAsia="Times New Roman" w:hAnsi="Times New Roman"/>
          <w:sz w:val="22"/>
          <w:szCs w:val="22"/>
          <w:u w:val="single" w:color="auto"/>
          <w:color w:val="auto"/>
        </w:rPr>
        <w:t>Conflict of Interest</w:t>
      </w:r>
      <w:r>
        <w:rPr>
          <w:rFonts w:ascii="Times New Roman" w:cs="Times New Roman" w:eastAsia="Times New Roman" w:hAnsi="Times New Roman"/>
          <w:sz w:val="22"/>
          <w:szCs w:val="22"/>
          <w:color w:val="auto"/>
        </w:rPr>
        <w:t>”) which might adversely affect Company or its affiliates, including ownership of a material interest in any supplier, contractor, distributor, subcontractor, customer or other entity with which Company does business or accepting any payment, service, loan, gift, trip, entertainment, or other favor (each of which to the extent it does not comply with Company’s Code of Conduct) from a supplier, contractor, distributor, subcontractor, customer or other entity with which Company does business, and that Executive will promptly inform the Chair of the Board as to each offer received by Executive to engage in any such activity. Executive further agrees to disclose to Chair of the Board any other facts of which Executive becomes aware which might involve or give rise to a Conflict of Interest or potential Conflict of Interest.</w:t>
      </w:r>
    </w:p>
    <w:p>
      <w:pPr>
        <w:spacing w:after="0" w:line="17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8" w:firstLine="1304"/>
        <w:spacing w:after="0" w:line="262" w:lineRule="auto"/>
        <w:tabs>
          <w:tab w:leader="none" w:pos="1933" w:val="left"/>
        </w:tabs>
        <w:numPr>
          <w:ilvl w:val="2"/>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Executive’s Representations</w:t>
      </w:r>
      <w:r>
        <w:rPr>
          <w:rFonts w:ascii="Times New Roman" w:cs="Times New Roman" w:eastAsia="Times New Roman" w:hAnsi="Times New Roman"/>
          <w:sz w:val="21"/>
          <w:szCs w:val="21"/>
          <w:color w:val="auto"/>
        </w:rPr>
        <w:t>. Executive hereby represents and warrants to the Company that (i) Executive has read this Agreement in its entirety, fully understands the terms of this Agreement, has had the opportunity to consult with counsel prior to executing this Agreement and is signing the Agreement voluntarily and with full knowledge of its significance;</w:t>
      </w:r>
    </w:p>
    <w:p>
      <w:pPr>
        <w:spacing w:after="0" w:line="2" w:lineRule="exact"/>
        <w:rPr>
          <w:rFonts w:ascii="Times New Roman" w:cs="Times New Roman" w:eastAsia="Times New Roman" w:hAnsi="Times New Roman"/>
          <w:sz w:val="21"/>
          <w:szCs w:val="21"/>
          <w:color w:val="auto"/>
        </w:rPr>
      </w:pPr>
    </w:p>
    <w:p>
      <w:pPr>
        <w:jc w:val="both"/>
        <w:ind w:left="-8" w:firstLine="8"/>
        <w:spacing w:after="0" w:line="261" w:lineRule="auto"/>
        <w:tabs>
          <w:tab w:leader="none" w:pos="318"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execution, delivery and performance of this Agreement by Executive does not and shall not conflict with, breach, violate or cause a default under any contract, agreement, instrument, order, judgment or decree to which Executive is a party or by which he is bound; (iii) Executive is not a party to or bound by an employment agreement, non-compete agreement or confidentiality agreement with any other person or entity that would interfere with the performance of their duties hereunder; and (iv) Executive shall not use any confidential information or trade secrets of any person or party other than the Company in connection with the performance of their duties hereunder, except with valid written consent of such other person or party. </w:t>
      </w:r>
      <w:r>
        <w:rPr>
          <w:rFonts w:ascii="Times New Roman" w:cs="Times New Roman" w:eastAsia="Times New Roman" w:hAnsi="Times New Roman"/>
          <w:sz w:val="21"/>
          <w:szCs w:val="21"/>
          <w:b w:val="1"/>
          <w:bCs w:val="1"/>
          <w:color w:val="auto"/>
        </w:rPr>
        <w:t>Executive has carefully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read and considered all provisions of these Agreements and acknowledges that this is an important legal document that sets forth restrictions on Executive’s conduct as a condition of employment with the Company.</w:t>
      </w:r>
    </w:p>
    <w:p>
      <w:pPr>
        <w:spacing w:after="0" w:line="170" w:lineRule="exact"/>
        <w:rPr>
          <w:rFonts w:ascii="Times New Roman" w:cs="Times New Roman" w:eastAsia="Times New Roman" w:hAnsi="Times New Roman"/>
          <w:sz w:val="21"/>
          <w:szCs w:val="21"/>
          <w:color w:val="auto"/>
        </w:rPr>
      </w:pPr>
    </w:p>
    <w:p>
      <w:pPr>
        <w:jc w:val="both"/>
        <w:ind w:left="-8" w:firstLine="1304"/>
        <w:spacing w:after="0" w:line="253" w:lineRule="auto"/>
        <w:tabs>
          <w:tab w:leader="none" w:pos="1931"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provision of this Agreement may be modified, waived or discharged unless such waiver, modification or discharge is agreed to in a writing signed by Executive and an officer of the Company (other than Executive) duly authorized by the Board to execute such amendment, waiver or discharge. No waiver by either Party of any breach of the other Party of, or compliance with, any condition or provision of this Agreement shall be deemed a waiver of similar or dissimilar provisions or conditions at the same or at any prior or subsequent time.</w:t>
      </w:r>
    </w:p>
    <w:p>
      <w:pPr>
        <w:spacing w:after="0" w:line="178" w:lineRule="exact"/>
        <w:rPr>
          <w:rFonts w:ascii="Times New Roman" w:cs="Times New Roman" w:eastAsia="Times New Roman" w:hAnsi="Times New Roman"/>
          <w:sz w:val="22"/>
          <w:szCs w:val="22"/>
          <w:color w:val="auto"/>
        </w:rPr>
      </w:pPr>
    </w:p>
    <w:p>
      <w:pPr>
        <w:ind w:left="1932" w:hanging="636"/>
        <w:spacing w:after="0"/>
        <w:tabs>
          <w:tab w:leader="none" w:pos="1932"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8" w:firstLine="1952"/>
        <w:spacing w:after="0" w:line="271" w:lineRule="auto"/>
        <w:tabs>
          <w:tab w:leader="none" w:pos="2572" w:val="left"/>
        </w:tabs>
        <w:numPr>
          <w:ilvl w:val="3"/>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personal to Executive and shall not be assignable by Executive but shall inure to the benefit of and be enforceable by Executive’s heirs and legal representatives.</w:t>
      </w:r>
    </w:p>
    <w:p>
      <w:pPr>
        <w:sectPr>
          <w:pgSz w:w="11900" w:h="16838" w:orient="portrait"/>
          <w:cols w:equalWidth="0" w:num="1">
            <w:col w:w="11232"/>
          </w:cols>
          <w:pgMar w:left="328" w:top="1418" w:right="339" w:bottom="1440" w:gutter="0" w:footer="0" w:header="0"/>
        </w:sectPr>
      </w:pPr>
    </w:p>
    <w:bookmarkStart w:id="157" w:name="page158"/>
    <w:bookmarkEnd w:id="157"/>
    <w:p>
      <w:pPr>
        <w:jc w:val="both"/>
        <w:ind w:left="-1120" w:firstLine="1952"/>
        <w:spacing w:after="0" w:line="257" w:lineRule="auto"/>
        <w:tabs>
          <w:tab w:leader="none" w:pos="146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inure to the benefit of and be binding upon the Company and its successors and, other than as set forth in </w:t>
      </w:r>
      <w:r>
        <w:rPr>
          <w:rFonts w:ascii="Times New Roman" w:cs="Times New Roman" w:eastAsia="Times New Roman" w:hAnsi="Times New Roman"/>
          <w:sz w:val="22"/>
          <w:szCs w:val="22"/>
          <w:u w:val="single" w:color="auto"/>
          <w:color w:val="auto"/>
        </w:rPr>
        <w:t>Section 13(c)(iii)</w:t>
      </w:r>
      <w:r>
        <w:rPr>
          <w:rFonts w:ascii="Times New Roman" w:cs="Times New Roman" w:eastAsia="Times New Roman" w:hAnsi="Times New Roman"/>
          <w:sz w:val="22"/>
          <w:szCs w:val="22"/>
          <w:color w:val="auto"/>
        </w:rPr>
        <w:t xml:space="preserve"> below, shall not be assignable by the Company without the prior written consent of Executive (which shall not be unreasonably withheld).</w:t>
      </w:r>
    </w:p>
    <w:p>
      <w:pPr>
        <w:spacing w:after="0" w:line="186" w:lineRule="exact"/>
        <w:rPr>
          <w:rFonts w:ascii="Times New Roman" w:cs="Times New Roman" w:eastAsia="Times New Roman" w:hAnsi="Times New Roman"/>
          <w:sz w:val="22"/>
          <w:szCs w:val="22"/>
          <w:color w:val="auto"/>
        </w:rPr>
      </w:pPr>
    </w:p>
    <w:p>
      <w:pPr>
        <w:jc w:val="both"/>
        <w:ind w:left="-1120" w:firstLine="1952"/>
        <w:spacing w:after="0" w:line="251" w:lineRule="auto"/>
        <w:tabs>
          <w:tab w:leader="none" w:pos="147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shall be assignable by the Company to any affiliate or successor (whether direct or indirect, by purchase, merger, consolidation or otherwise) to all or substantially all of the business and/or assets of the Company; provided, that the Company shall require such successor to expressly assume and agree to perform this Agreement in the same manner and to the same extent that the Company would be required to perform it if no such succession had taken place. As used in this Agreement,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mean the Company as defined in this Agreement and any successor to its business and/or assets which assumes and agrees to perform this Agreement by operation of law or otherwise.</w:t>
      </w:r>
    </w:p>
    <w:p>
      <w:pPr>
        <w:spacing w:after="0" w:line="181" w:lineRule="exact"/>
        <w:rPr>
          <w:rFonts w:ascii="Times New Roman" w:cs="Times New Roman" w:eastAsia="Times New Roman" w:hAnsi="Times New Roman"/>
          <w:sz w:val="22"/>
          <w:szCs w:val="22"/>
          <w:color w:val="auto"/>
        </w:rPr>
      </w:pPr>
    </w:p>
    <w:p>
      <w:pPr>
        <w:jc w:val="both"/>
        <w:ind w:left="-1120" w:firstLine="1304"/>
        <w:spacing w:after="0" w:line="249" w:lineRule="auto"/>
        <w:tabs>
          <w:tab w:leader="none" w:pos="81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For the purpose of this Agreement, notices and all other communications provided for in this Agreement shall be in writing and shall be deemed to have been duly given if delivered personally, if delivered by overnight courier service, or if mailed by registered mail, return receipt requested, postage prepaid, addressed to the respective addresses or sent via email to the respective email addresses, as the case may be, as set forth below, or to such other address as either party may have furnished to the other in writing in accordance herewith, except that notice of change of address shall be effective only upon receipt; provided, however, that (i) notices sent by personal delivery or overnight courier shall be deemed given when delivered; (ii) notices sent by email shall be deemed given at the time such email is sent; and (iii) notices sent by registered mail shall be deemed given two (2) days after the date of deposit in the mail.</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If to Executive, to such address as shall most currently appear on the records of the Company.</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Life360, Inc.</w:t>
      </w:r>
    </w:p>
    <w:p>
      <w:pPr>
        <w:spacing w:after="0" w:line="2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1900 S. Norfolk St., Suite 310</w:t>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San Mateo, California 94403</w:t>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Attention: Chief Financial Officer</w:t>
      </w:r>
    </w:p>
    <w:p>
      <w:pPr>
        <w:spacing w:after="0" w:line="196" w:lineRule="exact"/>
        <w:rPr>
          <w:sz w:val="20"/>
          <w:szCs w:val="20"/>
          <w:color w:val="auto"/>
        </w:rPr>
      </w:pPr>
    </w:p>
    <w:p>
      <w:pPr>
        <w:jc w:val="both"/>
        <w:ind w:left="-1120" w:firstLine="1304"/>
        <w:spacing w:after="0" w:line="250" w:lineRule="auto"/>
        <w:tabs>
          <w:tab w:leader="none" w:pos="82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CONSENT TO JURISDICTION; JURY TRIAL WAIVER</w:t>
      </w:r>
      <w:r>
        <w:rPr>
          <w:rFonts w:ascii="Times New Roman" w:cs="Times New Roman" w:eastAsia="Times New Roman" w:hAnsi="Times New Roman"/>
          <w:sz w:val="22"/>
          <w:szCs w:val="22"/>
          <w:color w:val="auto"/>
        </w:rPr>
        <w:t>. THIS AGREEMENT WILL BE GOVERNED BY AND CONSTRUED IN ACCORDANCE WITH THE LAWS OF THE STATE OF CALIFORNIA, WITHOUT GIVING EFFECT TO ANY CHOICE OF LAW OR CONFLICTING PROVISION OR RULE (WHETHER OF THE STATE OF DELAWARE OR ANY OTHER JURISDICTION) THAT WOULD CAUSE THE LAWS OF ANY JURISDICTION OTHER THAN THE STATE OF CALIFORNIA TO BE APPLIED. IN FURTHERANCE OF THE FOREGOING, THE LAW OF THE STATE OF CALIFORNIA (EXCEPT TO THE EXTENT SUPERSEDED BY THE LAWS OF THE UNITED STATES) WILL CONTROL THE INTERPRETATION AND CONSTRUCTION OF THIS AGREEMENT. ANY ACTION TO ENFORCE THIS</w:t>
      </w:r>
    </w:p>
    <w:p>
      <w:pPr>
        <w:sectPr>
          <w:pgSz w:w="11900" w:h="16838" w:orient="portrait"/>
          <w:cols w:equalWidth="0" w:num="1">
            <w:col w:w="10120"/>
          </w:cols>
          <w:pgMar w:left="1440" w:top="1422" w:right="339" w:bottom="1440" w:gutter="0" w:footer="0" w:header="0"/>
        </w:sectPr>
      </w:pPr>
    </w:p>
    <w:bookmarkStart w:id="158" w:name="page159"/>
    <w:bookmarkEnd w:id="158"/>
    <w:p>
      <w:pPr>
        <w:jc w:val="both"/>
        <w:spacing w:after="0" w:line="253" w:lineRule="auto"/>
        <w:rPr>
          <w:sz w:val="20"/>
          <w:szCs w:val="20"/>
          <w:color w:val="auto"/>
        </w:rPr>
      </w:pPr>
      <w:r>
        <w:rPr>
          <w:rFonts w:ascii="Times New Roman" w:cs="Times New Roman" w:eastAsia="Times New Roman" w:hAnsi="Times New Roman"/>
          <w:sz w:val="22"/>
          <w:szCs w:val="22"/>
          <w:color w:val="auto"/>
        </w:rPr>
        <w:t>AGREEMENT MUST BE BROUGHT IN, AND THE PARTIES HEREBY CONSENT TO JURISDICTION IN SAN FRANCISCO COUNTY, CALIFORNIA. EACH PARTY HEREBY WAIVES THE RIGHTS TO CLAIM THAT ANY SUCH COURT PROCEEDING IS AN INCONVENIENT FORUM FOR THE RESOLUTION OF ANY SUCH ACTION. EACH PARTY TO THIS AGREEMENT WAIVES ALL RIGHT TO TRIAL BY JURY IN ANY ACTION, PROCEEDING, CLAIM OR COUNTERCLAIM.</w:t>
      </w:r>
    </w:p>
    <w:p>
      <w:pPr>
        <w:spacing w:after="0" w:line="179" w:lineRule="exact"/>
        <w:rPr>
          <w:sz w:val="20"/>
          <w:szCs w:val="20"/>
          <w:color w:val="auto"/>
        </w:rPr>
      </w:pPr>
    </w:p>
    <w:p>
      <w:pPr>
        <w:jc w:val="both"/>
        <w:ind w:firstLine="1304"/>
        <w:spacing w:after="0" w:line="257" w:lineRule="auto"/>
        <w:tabs>
          <w:tab w:leader="none" w:pos="194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 of Invalid or Unenforceable Provisions</w:t>
      </w:r>
      <w:r>
        <w:rPr>
          <w:rFonts w:ascii="Times New Roman" w:cs="Times New Roman" w:eastAsia="Times New Roman" w:hAnsi="Times New Roman"/>
          <w:sz w:val="22"/>
          <w:szCs w:val="22"/>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Advice of Counsel and Construction</w:t>
      </w:r>
      <w:r>
        <w:rPr>
          <w:rFonts w:ascii="Times New Roman" w:cs="Times New Roman" w:eastAsia="Times New Roman" w:hAnsi="Times New Roman"/>
          <w:sz w:val="22"/>
          <w:szCs w:val="22"/>
          <w:color w:val="auto"/>
        </w:rPr>
        <w:t>. Each Party acknowledges that such Party had the opportunity to be represented by counsel in the negotiation and execution of this Agreement. Accordingly, the rule of construction of contract language against the drafting party is hereby waived by each Party.</w:t>
      </w:r>
    </w:p>
    <w:p>
      <w:pPr>
        <w:spacing w:after="0" w:line="17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all Exhibits attached hereto, and the Confidentiality Agreement, constitute the entire agreement between the Parties as of the Effective Date and supersedes all previous agreements and understandings between the Parties with respect to the subject matter hereof, including.</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The Company shall be entitled to withhold from any payment due to Executive hereunder any amounts required to be withheld by applicable laws or regulations.</w:t>
      </w:r>
    </w:p>
    <w:p>
      <w:pPr>
        <w:spacing w:after="0" w:line="157" w:lineRule="exact"/>
        <w:rPr>
          <w:rFonts w:ascii="Times New Roman" w:cs="Times New Roman" w:eastAsia="Times New Roman" w:hAnsi="Times New Roman"/>
          <w:sz w:val="22"/>
          <w:szCs w:val="22"/>
          <w:color w:val="auto"/>
        </w:rPr>
      </w:pPr>
    </w:p>
    <w:p>
      <w:pPr>
        <w:ind w:right="20" w:firstLine="1304"/>
        <w:spacing w:after="0" w:line="271" w:lineRule="auto"/>
        <w:tabs>
          <w:tab w:leader="none" w:pos="19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headings of the Sections hereof are provided for convenience only and are not to serve as a basis for interpretation or construction, and shall not constitute a part, of this Agreement.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During the Term and at any time thereafter, Executive agrees to cooperate, at Company’s expense, (i) with the Company in the defense of any legal matter involving any matter that arose during Executive’s employment with the Company; and (ii) with all government authorities on matters pertaining to any investigation, litigation or administrative proceeding pertaining to the Company. The Company will reimburse Executive for any reasonable travel and out of pocket expenses incurred by Executive in providing such cooperation.</w:t>
      </w:r>
    </w:p>
    <w:p>
      <w:pPr>
        <w:spacing w:after="0" w:line="178"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4</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xml:space="preserve">, inclusive, and </w:t>
      </w:r>
      <w:r>
        <w:rPr>
          <w:rFonts w:ascii="Times New Roman" w:cs="Times New Roman" w:eastAsia="Times New Roman" w:hAnsi="Times New Roman"/>
          <w:sz w:val="22"/>
          <w:szCs w:val="22"/>
          <w:u w:val="single" w:color="auto"/>
          <w:color w:val="auto"/>
        </w:rPr>
        <w:t>Sections 13(b)-(n)</w:t>
      </w:r>
      <w:r>
        <w:rPr>
          <w:rFonts w:ascii="Times New Roman" w:cs="Times New Roman" w:eastAsia="Times New Roman" w:hAnsi="Times New Roman"/>
          <w:sz w:val="22"/>
          <w:szCs w:val="22"/>
          <w:color w:val="auto"/>
        </w:rPr>
        <w:t>, inclusive, shall survive and continue in full force in accordance with their terms notwithstanding any termination of the Term or of Executive’s employment with the Company.</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instrument.</w:t>
      </w:r>
    </w:p>
    <w:p>
      <w:pPr>
        <w:sectPr>
          <w:pgSz w:w="11900" w:h="16838" w:orient="portrait"/>
          <w:cols w:equalWidth="0" w:num="1">
            <w:col w:w="11240"/>
          </w:cols>
          <w:pgMar w:left="320" w:top="1422" w:right="339" w:bottom="1440" w:gutter="0" w:footer="0" w:header="0"/>
        </w:sectPr>
      </w:pPr>
    </w:p>
    <w:bookmarkStart w:id="159" w:name="page160"/>
    <w:bookmarkEnd w:id="159"/>
    <w:p>
      <w:pPr>
        <w:jc w:val="both"/>
        <w:ind w:left="-20" w:firstLine="1304"/>
        <w:spacing w:after="0" w:line="250" w:lineRule="auto"/>
        <w:tabs>
          <w:tab w:leader="none" w:pos="191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Recoupment/Clawback</w:t>
      </w:r>
      <w:r>
        <w:rPr>
          <w:rFonts w:ascii="Times New Roman" w:cs="Times New Roman" w:eastAsia="Times New Roman" w:hAnsi="Times New Roman"/>
          <w:sz w:val="22"/>
          <w:szCs w:val="22"/>
          <w:color w:val="auto"/>
        </w:rPr>
        <w:t xml:space="preserve">. Notwithstanding any other provisions in this Agreement to the contrary, any incentive-based compensation, or any other compensation, paid to Executive pursuant to this Agreement or any other agreement or arrangement with the Company or any of its affiliates, which may be subject to recovery under any law, government regulation, company policy or stock exchange listing requirement, will be subject to such deductions and clawback as may be required to be made pursuant to such law, government regulation, company policy or stock exchange listing requirement to the extent reasonably required by any such law, government regulation, company policy or stock exchange listing requirement, as determined by the Board in its sole and absolute discretion. For purposes of this </w:t>
      </w:r>
      <w:r>
        <w:rPr>
          <w:rFonts w:ascii="Times New Roman" w:cs="Times New Roman" w:eastAsia="Times New Roman" w:hAnsi="Times New Roman"/>
          <w:sz w:val="22"/>
          <w:szCs w:val="22"/>
          <w:u w:val="single" w:color="auto"/>
          <w:color w:val="auto"/>
        </w:rPr>
        <w:t>Section 13(n)</w:t>
      </w:r>
      <w:r>
        <w:rPr>
          <w:rFonts w:ascii="Times New Roman" w:cs="Times New Roman" w:eastAsia="Times New Roman" w:hAnsi="Times New Roman"/>
          <w:sz w:val="22"/>
          <w:szCs w:val="22"/>
          <w:color w:val="auto"/>
        </w:rPr>
        <w:t>, a “company policy” means any written company policy adopted by the Company that is made available to the Company’s executive officers through electronic or any other means.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 signatures appear on the following page]</w:t>
      </w:r>
    </w:p>
    <w:p>
      <w:pPr>
        <w:sectPr>
          <w:pgSz w:w="11900" w:h="16838" w:orient="portrait"/>
          <w:cols w:equalWidth="0" w:num="1">
            <w:col w:w="11220"/>
          </w:cols>
          <w:pgMar w:left="340" w:top="1422" w:right="339" w:bottom="1440" w:gutter="0" w:footer="0" w:header="0"/>
        </w:sectPr>
      </w:pPr>
    </w:p>
    <w:bookmarkStart w:id="160" w:name="page161"/>
    <w:bookmarkEnd w:id="160"/>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have executed this Agreement as of the Effective Date.</w:t>
      </w: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288"/>
        </w:trPr>
        <w:tc>
          <w:tcPr>
            <w:tcW w:w="232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20" w:type="dxa"/>
            <w:vAlign w:val="bottom"/>
          </w:tcPr>
          <w:p>
            <w:pPr>
              <w:spacing w:after="0"/>
              <w:rPr>
                <w:sz w:val="24"/>
                <w:szCs w:val="24"/>
                <w:color w:val="auto"/>
              </w:rPr>
            </w:pPr>
          </w:p>
        </w:tc>
      </w:tr>
      <w:tr>
        <w:trPr>
          <w:trHeight w:val="282"/>
        </w:trPr>
        <w:tc>
          <w:tcPr>
            <w:tcW w:w="23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Life360, Inc.</w:t>
            </w:r>
          </w:p>
        </w:tc>
        <w:tc>
          <w:tcPr>
            <w:tcW w:w="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98"/>
        </w:trPr>
        <w:tc>
          <w:tcPr>
            <w:tcW w:w="23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/s/ Heather Houston</w:t>
            </w:r>
          </w:p>
        </w:tc>
        <w:tc>
          <w:tcPr>
            <w:tcW w:w="200" w:type="dxa"/>
            <w:vAlign w:val="bottom"/>
          </w:tcPr>
          <w:p>
            <w:pPr>
              <w:spacing w:after="0"/>
              <w:rPr>
                <w:sz w:val="24"/>
                <w:szCs w:val="24"/>
                <w:color w:val="auto"/>
              </w:rPr>
            </w:pPr>
          </w:p>
        </w:tc>
        <w:tc>
          <w:tcPr>
            <w:tcW w:w="4940" w:type="dxa"/>
            <w:vAlign w:val="bottom"/>
            <w:gridSpan w:val="5"/>
          </w:tcPr>
          <w:p>
            <w:pPr>
              <w:ind w:left="3100"/>
              <w:spacing w:after="0"/>
              <w:rPr>
                <w:sz w:val="20"/>
                <w:szCs w:val="20"/>
                <w:color w:val="auto"/>
              </w:rPr>
            </w:pPr>
            <w:r>
              <w:rPr>
                <w:rFonts w:ascii="Times New Roman" w:cs="Times New Roman" w:eastAsia="Times New Roman" w:hAnsi="Times New Roman"/>
                <w:sz w:val="22"/>
                <w:szCs w:val="22"/>
                <w:color w:val="auto"/>
              </w:rPr>
              <w:t>By: /s/ Susan Stick</w:t>
            </w:r>
          </w:p>
        </w:tc>
        <w:tc>
          <w:tcPr>
            <w:tcW w:w="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23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Name: Heather Houston</w:t>
            </w:r>
          </w:p>
        </w:tc>
        <w:tc>
          <w:tcPr>
            <w:tcW w:w="200" w:type="dxa"/>
            <w:vAlign w:val="bottom"/>
          </w:tcPr>
          <w:p>
            <w:pPr>
              <w:spacing w:after="0"/>
              <w:rPr>
                <w:sz w:val="24"/>
                <w:szCs w:val="24"/>
                <w:color w:val="auto"/>
              </w:rPr>
            </w:pPr>
          </w:p>
        </w:tc>
        <w:tc>
          <w:tcPr>
            <w:tcW w:w="4940" w:type="dxa"/>
            <w:vAlign w:val="bottom"/>
            <w:gridSpan w:val="5"/>
          </w:tcPr>
          <w:p>
            <w:pPr>
              <w:ind w:left="3100"/>
              <w:spacing w:after="0"/>
              <w:rPr>
                <w:sz w:val="20"/>
                <w:szCs w:val="20"/>
                <w:color w:val="auto"/>
              </w:rPr>
            </w:pPr>
            <w:r>
              <w:rPr>
                <w:rFonts w:ascii="Times New Roman" w:cs="Times New Roman" w:eastAsia="Times New Roman" w:hAnsi="Times New Roman"/>
                <w:sz w:val="22"/>
                <w:szCs w:val="22"/>
                <w:color w:val="auto"/>
              </w:rPr>
              <w:t>Name: Susan Stick</w:t>
            </w:r>
          </w:p>
        </w:tc>
        <w:tc>
          <w:tcPr>
            <w:tcW w:w="20" w:type="dxa"/>
            <w:vAlign w:val="bottom"/>
          </w:tcPr>
          <w:p>
            <w:pPr>
              <w:spacing w:after="0"/>
              <w:rPr>
                <w:sz w:val="24"/>
                <w:szCs w:val="24"/>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507"/>
        </w:trPr>
        <w:tc>
          <w:tcPr>
            <w:tcW w:w="232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7"/>
              </w:rPr>
              <w:t>Title: Chief People Officer</w:t>
            </w:r>
          </w:p>
        </w:tc>
        <w:tc>
          <w:tcPr>
            <w:tcW w:w="200" w:type="dxa"/>
            <w:vAlign w:val="bottom"/>
          </w:tcPr>
          <w:p>
            <w:pPr>
              <w:spacing w:after="0"/>
              <w:rPr>
                <w:sz w:val="24"/>
                <w:szCs w:val="24"/>
                <w:color w:val="auto"/>
              </w:rPr>
            </w:pPr>
          </w:p>
        </w:tc>
        <w:tc>
          <w:tcPr>
            <w:tcW w:w="4940" w:type="dxa"/>
            <w:vAlign w:val="bottom"/>
            <w:gridSpan w:val="5"/>
          </w:tcPr>
          <w:p>
            <w:pPr>
              <w:ind w:left="3100"/>
              <w:spacing w:after="0"/>
              <w:rPr>
                <w:sz w:val="20"/>
                <w:szCs w:val="20"/>
                <w:color w:val="auto"/>
              </w:rPr>
            </w:pPr>
            <w:r>
              <w:rPr>
                <w:rFonts w:ascii="Times New Roman" w:cs="Times New Roman" w:eastAsia="Times New Roman" w:hAnsi="Times New Roman"/>
                <w:sz w:val="22"/>
                <w:szCs w:val="22"/>
                <w:color w:val="auto"/>
              </w:rPr>
              <w:t>Date: 7/31/2023</w:t>
            </w:r>
          </w:p>
        </w:tc>
        <w:tc>
          <w:tcPr>
            <w:tcW w:w="20" w:type="dxa"/>
            <w:vAlign w:val="bottom"/>
          </w:tcPr>
          <w:p>
            <w:pPr>
              <w:spacing w:after="0"/>
              <w:rPr>
                <w:sz w:val="24"/>
                <w:szCs w:val="24"/>
                <w:color w:val="auto"/>
              </w:rPr>
            </w:pPr>
          </w:p>
        </w:tc>
      </w:tr>
      <w:tr>
        <w:trPr>
          <w:trHeight w:val="20"/>
        </w:trPr>
        <w:tc>
          <w:tcPr>
            <w:tcW w:w="520" w:type="dxa"/>
            <w:vAlign w:val="bottom"/>
            <w:tcBorders>
              <w:right w:val="single" w:sz="8" w:color="auto"/>
            </w:tcBorders>
            <w:gridSpan w:val="2"/>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6"/>
        </w:trPr>
        <w:tc>
          <w:tcPr>
            <w:tcW w:w="23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Date: 7/31/2023</w:t>
            </w:r>
          </w:p>
        </w:tc>
        <w:tc>
          <w:tcPr>
            <w:tcW w:w="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0139"/>
          </w:cols>
          <w:pgMar w:left="320" w:top="1440" w:right="1440" w:bottom="1440" w:gutter="0" w:footer="0" w:header="0"/>
        </w:sectPr>
      </w:pPr>
    </w:p>
    <w:bookmarkStart w:id="161" w:name="page162"/>
    <w:bookmarkEnd w:id="161"/>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DEFINED TERMS</w:t>
      </w:r>
    </w:p>
    <w:p>
      <w:pPr>
        <w:spacing w:after="0" w:line="224" w:lineRule="exact"/>
        <w:rPr>
          <w:sz w:val="20"/>
          <w:szCs w:val="20"/>
          <w:color w:val="auto"/>
        </w:rPr>
      </w:pPr>
    </w:p>
    <w:p>
      <w:pPr>
        <w:jc w:val="both"/>
        <w:ind w:firstLine="656"/>
        <w:spacing w:after="0" w:line="253" w:lineRule="auto"/>
        <w:tabs>
          <w:tab w:leader="none" w:pos="1296"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shall mean, at any point in time and except as expressly provided herein, any amounts to which the Executive is entitled to payment but have not yet been paid to Executive including, but not limited to, each of the following (but only to the extent such amounts are vested, earned or accrued, and due and payable at the time of payment): Base Salary and any other wages, payments, retention bonuses, entitlements or benefits vested, earned or accrued, and due and payable, but unpaid under applicable benefit and compensation plans, programs and other arrangements with the Company.</w:t>
      </w:r>
    </w:p>
    <w:p>
      <w:pPr>
        <w:spacing w:after="0" w:line="178"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 Person shall mean any other Person that directly or indirectly controls, is controlled by, or is under common control with, such Person.</w:t>
      </w:r>
    </w:p>
    <w:p>
      <w:pPr>
        <w:spacing w:after="0" w:line="14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Life360, Inc.</w:t>
      </w:r>
    </w:p>
    <w:p>
      <w:pPr>
        <w:spacing w:after="0" w:line="219"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shall mean the occurrence of one or more of the following: (i) Executive’s malfeasance, willful or gross misconduct, or willful dishonesty that materially harms the Company or its stockholders; (ii) Executive’s conviction of a crime that is materially detrimental to the Company or its stockholders; (iii) Executive’s conviction of, or entry of a plea </w:t>
      </w:r>
      <w:r>
        <w:rPr>
          <w:rFonts w:ascii="Times New Roman" w:cs="Times New Roman" w:eastAsia="Times New Roman" w:hAnsi="Times New Roman"/>
          <w:sz w:val="22"/>
          <w:szCs w:val="22"/>
          <w:i w:val="1"/>
          <w:iCs w:val="1"/>
          <w:color w:val="auto"/>
        </w:rPr>
        <w:t>nolo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contendere </w:t>
      </w:r>
      <w:r>
        <w:rPr>
          <w:rFonts w:ascii="Times New Roman" w:cs="Times New Roman" w:eastAsia="Times New Roman" w:hAnsi="Times New Roman"/>
          <w:sz w:val="22"/>
          <w:szCs w:val="22"/>
          <w:color w:val="auto"/>
        </w:rPr>
        <w:t>to a crime that materially damages the Company’s financial condition or reputation or to a crime involving fraud; (iv)</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material violation of the Company’s Code of Ethics, including breach of duty of loyalty in connection with the Company’s business; (v) Executive’s willful failure to perform duties under this Agreement, after notice by the Board and an opportunity to cure; (vi) Executive’s failure to reasonably cooperate with, or Executive’s impedance or interference with, an investigation authorized by the Board; (vii) Executive’s failure to follow a legal and proper Board directive, after notice by the Board and a thirty (30) day opportunity to cure; or (viii) Executive’s willful misconduct or gross negligence pursuant to the Sarbanes-Oxley Act, if and to the extent such conduct triggers a restatement of the Company’s financial results.</w:t>
      </w:r>
    </w:p>
    <w:p>
      <w:pPr>
        <w:spacing w:after="0" w:line="18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19" w:lineRule="exact"/>
        <w:rPr>
          <w:rFonts w:ascii="Times New Roman" w:cs="Times New Roman" w:eastAsia="Times New Roman" w:hAnsi="Times New Roman"/>
          <w:sz w:val="22"/>
          <w:szCs w:val="22"/>
          <w:color w:val="auto"/>
        </w:rPr>
      </w:pPr>
    </w:p>
    <w:p>
      <w:pPr>
        <w:jc w:val="both"/>
        <w:ind w:firstLine="656"/>
        <w:spacing w:after="0" w:line="262" w:lineRule="auto"/>
        <w:tabs>
          <w:tab w:leader="none" w:pos="1296"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means Executive has been unable to engage in any substantial gainful activity by reason of any medically determinable physical or mental impairment that can be expected to result in death or can be expected to last for a continuous period of not less than twelve (12) months. Whether Executive is Disabled shall be determined by a qualified medical provider selected by the Company. Alternatively, Executive will be deemed Disabled if determined to be totally disabled by the Social Security Administration. Termination of employment resulting from Disability may only be affected after at least thirty</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44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written notice by the Company to Executive of Company’s intention to terminate Executive’s employment due to Disability. In the event that Executive resumes the performance of substantially all of his or her duties hereunder before his or her termination becomes effective, the notice of intent to terminate based on Disability will automatically be deemed to have been revoked. In conjunction with determining Disability for purposes of this Agreement, Executive</w:t>
      </w:r>
    </w:p>
    <w:p>
      <w:pPr>
        <w:sectPr>
          <w:pgSz w:w="11900" w:h="16838" w:orient="portrait"/>
          <w:cols w:equalWidth="0" w:num="1">
            <w:col w:w="11240"/>
          </w:cols>
          <w:pgMar w:left="320" w:top="1440" w:right="339" w:bottom="1440" w:gutter="0" w:footer="0" w:header="0"/>
        </w:sectPr>
      </w:pPr>
    </w:p>
    <w:bookmarkStart w:id="162" w:name="page163"/>
    <w:bookmarkEnd w:id="162"/>
    <w:p>
      <w:pPr>
        <w:jc w:val="both"/>
        <w:spacing w:after="0" w:line="256" w:lineRule="auto"/>
        <w:rPr>
          <w:sz w:val="20"/>
          <w:szCs w:val="20"/>
          <w:color w:val="auto"/>
        </w:rPr>
      </w:pPr>
      <w:r>
        <w:rPr>
          <w:rFonts w:ascii="Times New Roman" w:cs="Times New Roman" w:eastAsia="Times New Roman" w:hAnsi="Times New Roman"/>
          <w:sz w:val="22"/>
          <w:szCs w:val="22"/>
          <w:color w:val="auto"/>
        </w:rPr>
        <w:t>hereby (i) consents to any such examinations, to be performed by a qualified medical provider selected by the Company and approved by the Executive (which approval shall not be unreasonably withheld), which are relevant to a determination of whether Executive has incurred a Disability; and (ii) agrees to furnish to the qualified medical provider selected by the Company such medical information as may be reasonably requested.</w:t>
      </w:r>
    </w:p>
    <w:p>
      <w:pPr>
        <w:spacing w:after="0" w:line="176" w:lineRule="exact"/>
        <w:rPr>
          <w:sz w:val="20"/>
          <w:szCs w:val="20"/>
          <w:color w:val="auto"/>
        </w:rPr>
      </w:pPr>
    </w:p>
    <w:p>
      <w:pPr>
        <w:jc w:val="both"/>
        <w:ind w:firstLine="656"/>
        <w:spacing w:after="0" w:line="247" w:lineRule="auto"/>
        <w:tabs>
          <w:tab w:leader="none" w:pos="129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Executive’s resignation due to the occurrence of any of the following conditions which occurs without Executive’s written consent, provided that the requirements regarding advance notice and an opportunity to cure set forth below are satisfied: (i) a material reduction of Executive’s duties, authority, responsibilities or reporting relationship, relative to Executive’s duties, authority, responsibilities or reporting relationship as in effect immediately prior to such reduction, provided, that neither a mere change in title alone nor reassignment to a position with substantially similar duties, authority, responsibilities or reporting relationship of a subsidiary, division or a business integrated within the business of an acquirer (or the Company, if the Company is the surviving entity in a Change of Control) will be deemed to be a material reduction of Executive’s duties, authority, responsibilities or reporting relationship; or (ii) the Company (or any successor thereto) requires Executive to relocate to a facility or location that increases Executive’s one-way commute by more than 35 miles from the location at which Executive was working immediately prior to the required relocation. In order for Executive to resign for Good Reason, Executive must provide written notice to the Company of the existence of the Good Reason condition within 30 days of the initial existence of such Good Reason condition. Upon receipt of such notice, the Company will have 30 days during which it may remedy the Good Reason condition and not be required to provide for the vesting acceleration described herein as a result of such proposed resignation. If the Good Reason condition is not remedied within such 30-day period, Executive may resign based on the Good Reason condition specified in the notice effective no later than 30 days following the expiration of the Company’s 30-day cure period.</w:t>
      </w:r>
    </w:p>
    <w:p>
      <w:pPr>
        <w:spacing w:after="0" w:line="194"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shall mean Code section 409A together with all regulation and regulatory guidance promulgated thereunder, as amended from time to time.</w:t>
      </w:r>
    </w:p>
    <w:p>
      <w:pPr>
        <w:sectPr>
          <w:pgSz w:w="11900" w:h="16838" w:orient="portrait"/>
          <w:cols w:equalWidth="0" w:num="1">
            <w:col w:w="11240"/>
          </w:cols>
          <w:pgMar w:left="320" w:top="1422" w:right="339" w:bottom="1440" w:gutter="0" w:footer="0" w:header="0"/>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ATTACHMENT A</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CONFIDENTIAL INFORMATION AND INVENTION ASSIGNMENT AGREEMENT</w:t>
      </w:r>
    </w:p>
    <w:p>
      <w:pPr>
        <w:sectPr>
          <w:pgSz w:w="11900" w:h="16838" w:orient="portrait"/>
          <w:cols w:equalWidth="0" w:num="1">
            <w:col w:w="9019"/>
          </w:cols>
          <w:pgMar w:left="1440" w:top="1418" w:right="1440"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May 14, 2019 and made effective as of May 14, 2019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Life360, Inc., a corporation organized under the laws of the State of Delaware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David Rice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(the Company and Executive are sometimes collectively referred to herein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all with reference to the following:</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Executive is currently employed by the Company as its Chief Operating Officer;</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Executive believe that it is in the best interest of each to define the terms and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Executive’s employment with the Company; and</w:t>
      </w:r>
    </w:p>
    <w:p>
      <w:pPr>
        <w:spacing w:after="0" w:line="16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continue to obtain the services of Executive, and Executive desires to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to the Company, in accordance with the terms, conditions and provisions contained in this Agreement.</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covenants and mutual agreements set forth herein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and in reliance upon the representations, covenants and mutual agreements contained herein, the Company and Executive agree to adopt his Agreement, as follows:</w:t>
      </w:r>
    </w:p>
    <w:p>
      <w:pPr>
        <w:spacing w:after="0" w:line="170" w:lineRule="exact"/>
        <w:rPr>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xml:space="preserve">. Capitalized terms not otherwise defined shall have the meanings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is an “At Will” employment agreement. Nothing in the Company’s policies, actions, or this document shall be construed to alter the “</w:t>
      </w:r>
      <w:r>
        <w:rPr>
          <w:rFonts w:ascii="Times New Roman" w:cs="Times New Roman" w:eastAsia="Times New Roman" w:hAnsi="Times New Roman"/>
          <w:sz w:val="22"/>
          <w:szCs w:val="22"/>
          <w:u w:val="single" w:color="auto"/>
          <w:color w:val="auto"/>
        </w:rPr>
        <w:t>At Will</w:t>
      </w:r>
      <w:r>
        <w:rPr>
          <w:rFonts w:ascii="Times New Roman" w:cs="Times New Roman" w:eastAsia="Times New Roman" w:hAnsi="Times New Roman"/>
          <w:sz w:val="22"/>
          <w:szCs w:val="22"/>
          <w:color w:val="auto"/>
        </w:rPr>
        <w:t>” nature of Executive’s status with Company, and Executive understands that Employer may terminate his/her employment at any time for any reason or for no reason, provided it is not terminated in violation of state or federal law. Similarly, the Executive may terminate his/her employment at any time and for any or for no reason. The Agreement’s Term begins on the Effective Date and ends on either (i) the date Executive voluntarily terminates his/her employment or (ii) the date the Company terminates the Executive’s employment.</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Position. During the Term, Executive shall serve as the Company’s Chief Operating Officer. Executive shall report directly to the Company’s Chief Executive Officer (the “CEO”). In such capacity, Executive shall have the duties, functions, responsibilities, and authority customarily appertaining to that position and shall have such other duties, functions, responsibilities, and authority consistent with such position as are from time to time delegated to him by the CEO.</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Executive shall have supervision, control over, and responsibility for the day-to-day business and affairs of the Company and shall have such other powers and</w:t>
      </w:r>
    </w:p>
    <w:p>
      <w:pPr>
        <w:sectPr>
          <w:pgSz w:w="11900" w:h="16838" w:orient="portrait"/>
          <w:cols w:equalWidth="0" w:num="1">
            <w:col w:w="11240"/>
          </w:cols>
          <w:pgMar w:left="320" w:top="122" w:right="339" w:bottom="1440" w:gutter="0" w:footer="0" w:header="0"/>
        </w:sectPr>
      </w:pPr>
    </w:p>
    <w:bookmarkStart w:id="165" w:name="page166"/>
    <w:bookmarkEnd w:id="165"/>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duties as may from time to time be prescribed by the CEO, provided that such supervision, control over, responsibilities and duties are consistent with Executive’s position or other positions that he may hold from time to time. Executive shall devote substantially all of his business time and attention to the performance of Executive’s duties hereunder and to the Company’s affairs and shall not engage in any other business, profession or occupation for compensation or otherwise that would conflict or interfere with the rendition of such services, either directly or indirectly;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nothing herein shall preclude Executive from (i) serving on the board of directors of two (2) for-profit companies that do not compete with the Company in the judgment of the CEO; (ii) serving on civic or charitable boards or committees; and/or (iii) managing personal investments, so long as all such activities described in clauses (i) through (iii) above do not unreasonably interfere with the Executive’s performance of his duties to the Company as provided in this Agreement and, in the case of the activities described in clauses (i) and (ii), are disclosed to the CEO.</w:t>
      </w:r>
    </w:p>
    <w:p>
      <w:pPr>
        <w:spacing w:after="0" w:line="183" w:lineRule="exact"/>
        <w:rPr>
          <w:sz w:val="20"/>
          <w:szCs w:val="20"/>
          <w:color w:val="auto"/>
        </w:rPr>
      </w:pPr>
    </w:p>
    <w:p>
      <w:pPr>
        <w:jc w:val="both"/>
        <w:ind w:firstLine="1304"/>
        <w:spacing w:after="0" w:line="252" w:lineRule="auto"/>
        <w:tabs>
          <w:tab w:leader="none" w:pos="1941"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Principal Place of Employment</w:t>
      </w:r>
      <w:r>
        <w:rPr>
          <w:rFonts w:ascii="Times New Roman" w:cs="Times New Roman" w:eastAsia="Times New Roman" w:hAnsi="Times New Roman"/>
          <w:sz w:val="22"/>
          <w:szCs w:val="22"/>
          <w:color w:val="auto"/>
        </w:rPr>
        <w:t>. Executive’s initial principal place of employment during the Term shall be 539 Bryant, Suite 402, San Francisco, CA 94107, or as shall be designated by the CEO, subject to the terms and conditions of this Agreement. The Parties acknowledge that Executive may be required to travel in connection with the performance of his duties hereunder.</w:t>
      </w:r>
    </w:p>
    <w:p>
      <w:pPr>
        <w:spacing w:after="0" w:line="192"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Policies</w:t>
      </w:r>
      <w:r>
        <w:rPr>
          <w:rFonts w:ascii="Times New Roman" w:cs="Times New Roman" w:eastAsia="Times New Roman" w:hAnsi="Times New Roman"/>
          <w:sz w:val="22"/>
          <w:szCs w:val="22"/>
          <w:color w:val="auto"/>
        </w:rPr>
        <w:t>. During the Term, Executive shall be subject to all of the Company’s corporate governance, ethics, and executive compensation and other policies as in effect from time to time.</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Benefits, Other Items Applicable to Executive</w:t>
      </w:r>
      <w:r>
        <w:rPr>
          <w:rFonts w:ascii="Times New Roman" w:cs="Times New Roman" w:eastAsia="Times New Roman" w:hAnsi="Times New Roman"/>
          <w:sz w:val="22"/>
          <w:szCs w:val="22"/>
          <w:color w:val="auto"/>
        </w:rPr>
        <w:t>. During the Term, Executive shall be entitled to the compensation and benefits described in Sections 4 and 5 of this Agreement, in addition to any other compensation agreed to between Executive and the Company.</w:t>
      </w:r>
    </w:p>
    <w:p>
      <w:pPr>
        <w:spacing w:after="0" w:line="18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Executive shall receive an annual base salary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of three hundred and fifty thousand dollars ($350,000), payable in regular installments in accordance with the Company’s usual payroll practices. Executive’s Base Salary is subject to annual review and may, in the Board’s discretion, be increased or decreased. As so adjusted, the term “Base Salary” shall refer to the adjusted amount.</w:t>
      </w:r>
    </w:p>
    <w:p>
      <w:pPr>
        <w:spacing w:after="0" w:line="19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and Fringe Benefits; Expense Reimbursements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During the Term, Executive and his eligible dependents (if any) shall be able to participate in employee benefit plans and perquisite and fringe benefit programs on a basis no less favorable than the basis on which such benefits and perquisites are provided by the Company from time to time to other similarly situated senior executive employees, subject in each case to the terms and conditions of the plan or program in question, including any eligibility requirements set forth therein, and the determination of any person or committee administering the plan or program. Notwithstanding the foregoing or any</w:t>
      </w:r>
    </w:p>
    <w:p>
      <w:pPr>
        <w:sectPr>
          <w:pgSz w:w="11900" w:h="16838" w:orient="portrait"/>
          <w:cols w:equalWidth="0" w:num="1">
            <w:col w:w="11240"/>
          </w:cols>
          <w:pgMar w:left="320" w:top="1422" w:right="339" w:bottom="1440" w:gutter="0" w:footer="0" w:header="0"/>
        </w:sectPr>
      </w:pPr>
    </w:p>
    <w:bookmarkStart w:id="166" w:name="page167"/>
    <w:bookmarkEnd w:id="166"/>
    <w:p>
      <w:pPr>
        <w:spacing w:after="0" w:line="271" w:lineRule="auto"/>
        <w:rPr>
          <w:sz w:val="20"/>
          <w:szCs w:val="20"/>
          <w:color w:val="auto"/>
        </w:rPr>
      </w:pPr>
      <w:r>
        <w:rPr>
          <w:rFonts w:ascii="Times New Roman" w:cs="Times New Roman" w:eastAsia="Times New Roman" w:hAnsi="Times New Roman"/>
          <w:sz w:val="22"/>
          <w:szCs w:val="22"/>
          <w:color w:val="auto"/>
        </w:rPr>
        <w:t>other statement to the contrary, the Company reserves the right to modify or terminate benefits from time to time as it deems necessary or appropriate.</w:t>
      </w:r>
    </w:p>
    <w:p>
      <w:pPr>
        <w:spacing w:after="0" w:line="158" w:lineRule="exact"/>
        <w:rPr>
          <w:sz w:val="20"/>
          <w:szCs w:val="20"/>
          <w:color w:val="auto"/>
        </w:rPr>
      </w:pPr>
    </w:p>
    <w:p>
      <w:pPr>
        <w:jc w:val="both"/>
        <w:ind w:firstLine="1304"/>
        <w:spacing w:after="0" w:line="256" w:lineRule="auto"/>
        <w:tabs>
          <w:tab w:leader="none" w:pos="1939"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Executive shall be entitled to paid vacation each year in accordance with the Company’s then-current vacation policy for other similarly situated senior executive employees. The rules relating to other absences from regular duties for holidays, sick or disability leave, leave of absence without pay, or for other reasons, shall be the same as those provided to the Company’s other similarly situated senior executive employees.</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w:t>
      </w:r>
      <w:r>
        <w:rPr>
          <w:rFonts w:ascii="Times New Roman" w:cs="Times New Roman" w:eastAsia="Times New Roman" w:hAnsi="Times New Roman"/>
          <w:sz w:val="22"/>
          <w:szCs w:val="22"/>
          <w:color w:val="auto"/>
        </w:rPr>
        <w:t>. Executive shall be entitled to receive prompt reimbursement for all travel and business expenses reasonably incurred and accounted for by Executive (in accordance with the policies and procedures established from time to time by the Company for Executive or as otherwise provided for in the Company’s approved travel budget) in performing services hereunder. Any reimbursement that Executive is entitled to receive shall (i) be paid as soon as practicable and in any event no later than the last day of Executive’s tax year following the tax year in which the expense was incurred, (ii) not be affected by any other expenses that are eligible for reimbursement in any tax year and (ii) not be subject to liquidation or exchange for another benefit.</w:t>
      </w:r>
    </w:p>
    <w:p>
      <w:pPr>
        <w:spacing w:after="0" w:line="180"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Except for the provisions intended to survive for other periods of time as specified in Section 15(m) below, this Agreement and Executive’s employment shall terminate (i) at any time upon mutual written agreement of the Parties; (ii) by the Company, immediately and without prior notice, for Cause as provided in Section 6(a); (iii) immediately upon Executive’s death or Disability as provided in Section 6(b); or (iv) by the Company for any reason other than Cause with advance written notice of at least six (6) months’ of any such termination; or (v) by Executive for any reason other than due to Executive’s death or Disability with advance written notice as provided in Section 6(a). The date on which Executive’s employment ends under this Section 6 shall be referred to herein as his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 Voluntary Termination</w:t>
      </w:r>
      <w:r>
        <w:rPr>
          <w:rFonts w:ascii="Times New Roman" w:cs="Times New Roman" w:eastAsia="Times New Roman" w:hAnsi="Times New Roman"/>
          <w:sz w:val="22"/>
          <w:szCs w:val="22"/>
          <w:color w:val="auto"/>
        </w:rPr>
        <w:t>. At any time during the Term, (i) the Company may immediately terminate Executive’s employment for Cause, and (ii) Executive may terminate his employment “voluntarily” (that is, other than by death or Disability); provided, that Executive will be required to give the Board at least six (6) months’ advance written notice of any such termination; provided, however, that the Board may waive all or any part of the foregoing notice requirement in its sole discretion, in which case Executive’s voluntary termination will be effective upon the date specified by the Board. Upon the termination of Executive’s employment by the Company for Cause or by Executive’s voluntary termination, Executive shall receive the Accrued Obligations. All other benefits, if any, due to Executive following Executive’s termination of employment pursuant to this Section 6(a) shall be determined in accordance with the plans, policies and practices of the Company as then in effect, including but not necessarily limited to the Executive Incentive Plan. Executive shall not earn or accrue any additional compensation or other benefits under this Agreement following the Termination Date. Notwithstanding anything in this Section 6 to the contrary, in the event Executive is terminated for Cause, the Company will provide notice to the Executive outlining</w:t>
      </w:r>
    </w:p>
    <w:p>
      <w:pPr>
        <w:sectPr>
          <w:pgSz w:w="11900" w:h="16838" w:orient="portrait"/>
          <w:cols w:equalWidth="0" w:num="1">
            <w:col w:w="11240"/>
          </w:cols>
          <w:pgMar w:left="320" w:top="1422" w:right="339" w:bottom="1440" w:gutter="0" w:footer="0" w:header="0"/>
        </w:sectPr>
      </w:pPr>
    </w:p>
    <w:bookmarkStart w:id="167" w:name="page168"/>
    <w:bookmarkEnd w:id="167"/>
    <w:p>
      <w:pPr>
        <w:spacing w:after="0" w:line="271" w:lineRule="auto"/>
        <w:rPr>
          <w:sz w:val="20"/>
          <w:szCs w:val="20"/>
          <w:color w:val="auto"/>
        </w:rPr>
      </w:pPr>
      <w:r>
        <w:rPr>
          <w:rFonts w:ascii="Times New Roman" w:cs="Times New Roman" w:eastAsia="Times New Roman" w:hAnsi="Times New Roman"/>
          <w:sz w:val="22"/>
          <w:szCs w:val="22"/>
          <w:color w:val="auto"/>
        </w:rPr>
        <w:t>the reason(s) underlying the termination within one business day of such termination; for the avoidance of doubt, the foregoing notice provision is not a condition precedent to a termination for Cause.</w:t>
      </w:r>
    </w:p>
    <w:p>
      <w:pPr>
        <w:spacing w:after="0" w:line="158" w:lineRule="exact"/>
        <w:rPr>
          <w:sz w:val="20"/>
          <w:szCs w:val="20"/>
          <w:color w:val="auto"/>
        </w:rPr>
      </w:pPr>
    </w:p>
    <w:p>
      <w:pPr>
        <w:ind w:left="1940" w:hanging="636"/>
        <w:spacing w:after="0"/>
        <w:tabs>
          <w:tab w:leader="none" w:pos="194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 or Disability</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584" w:val="left"/>
        </w:tabs>
        <w:numPr>
          <w:ilvl w:val="2"/>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Executive’s employment with the Company shall terminate upon Executive’s death. Upon the termination of the Term and Executive’s employment as a result of this Section 6(b)(i), Executive’s estate shall receive the Accrued Obligations within fifteen (15) days following the Termination Date. All payments or benefits, if any, due to Executive’s estate following Executive’s termination due to death shall be determined in accordance with the plans, policies and practices of the Company as then in effect. Executive’s estate shall not earn or accrue any additional compensation or other benefits under this Agreement following the Termination Date.</w:t>
      </w:r>
    </w:p>
    <w:p>
      <w:pPr>
        <w:spacing w:after="0" w:line="180"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590" w:val="left"/>
        </w:tabs>
        <w:numPr>
          <w:ilvl w:val="2"/>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Company may terminate Executive’s employment if he becomes unable to perform the essential functions of his position as a result of his Disability. Upon any termination of the Term and Executive’s employment pursuant to this Section 6(b)(ii), Executive shall receive the Accrued Obligations. All other benefits, if any, due to Executive following Executive’s termination of employment pursuant to this Section 6(b)(ii) shall be determined in accordance with the plans, policies and practices of the Company as then in effect. Executive shall not earn or accrue any additional or other benefits under this Agreement following the Termination Date.</w:t>
      </w:r>
    </w:p>
    <w:p>
      <w:pPr>
        <w:spacing w:after="0" w:line="180"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purported termination of Executive’s employment by the Company or by Executive shall be communicated by written notice of termination to the other party in accordance with this Section 6. Such notice shall indicate the specific termination provision in this Agreement relied upon and shall, to the extent applicable, set forth in reasonable detail the facts and circumstances claimed to provide a basis for termination of Executive’s employment under the provision so indicated.</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 of Intellectual Property, Trade Secrets, and Confidential Information</w:t>
      </w:r>
      <w:r>
        <w:rPr>
          <w:rFonts w:ascii="Times New Roman" w:cs="Times New Roman" w:eastAsia="Times New Roman" w:hAnsi="Times New Roman"/>
          <w:sz w:val="22"/>
          <w:szCs w:val="22"/>
          <w:color w:val="auto"/>
        </w:rPr>
        <w:t>. Executive acknowledges and agrees that the Confidential Information and Invention Assignment Agreement entered into by Executive and dated May 14, 2019 (the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shall remain in full force and effect.</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maximum extent permitted by applicable law, Executive agrees that he will not make or cause to be made any oral or written statements that are derogatory, defamatory, or disparaging concerning the Company, its policies or programs, or its past or present officers, directors, employees, agents, or business associates, including but not limited to</w:t>
      </w:r>
    </w:p>
    <w:p>
      <w:pPr>
        <w:sectPr>
          <w:pgSz w:w="11900" w:h="16838" w:orient="portrait"/>
          <w:cols w:equalWidth="0" w:num="1">
            <w:col w:w="11240"/>
          </w:cols>
          <w:pgMar w:left="320" w:top="1422" w:right="339" w:bottom="1440" w:gutter="0" w:footer="0" w:header="0"/>
        </w:sectPr>
      </w:pPr>
    </w:p>
    <w:bookmarkStart w:id="168" w:name="page169"/>
    <w:bookmarkEnd w:id="168"/>
    <w:p>
      <w:pPr>
        <w:ind w:right="20"/>
        <w:spacing w:after="0" w:line="271" w:lineRule="auto"/>
        <w:rPr>
          <w:sz w:val="20"/>
          <w:szCs w:val="20"/>
          <w:color w:val="auto"/>
        </w:rPr>
      </w:pPr>
      <w:r>
        <w:rPr>
          <w:rFonts w:ascii="Times New Roman" w:cs="Times New Roman" w:eastAsia="Times New Roman" w:hAnsi="Times New Roman"/>
          <w:sz w:val="22"/>
          <w:szCs w:val="22"/>
          <w:color w:val="auto"/>
        </w:rPr>
        <w:t>its past or present suppliers or vendors, or take any actions that are harmful to the business affairs of the Company or its employees. This provision is a material and substantial term of this Agreement.</w:t>
      </w:r>
    </w:p>
    <w:p>
      <w:pPr>
        <w:spacing w:after="0" w:line="158" w:lineRule="exact"/>
        <w:rPr>
          <w:sz w:val="20"/>
          <w:szCs w:val="20"/>
          <w:color w:val="auto"/>
        </w:rPr>
      </w:pPr>
    </w:p>
    <w:p>
      <w:pPr>
        <w:jc w:val="both"/>
        <w:ind w:firstLine="1304"/>
        <w:spacing w:after="0" w:line="263" w:lineRule="auto"/>
        <w:tabs>
          <w:tab w:leader="none" w:pos="1939"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agrees that it will not publish any official statement of the Company that is derogatory, defamatory, or disparaging concerning Executive, and will instruct the members of the Board and the Company’s executives to refrain from making any derogatory, defamatory, or disparaging public statements concerning Executive.</w:t>
      </w:r>
    </w:p>
    <w:p>
      <w:pPr>
        <w:spacing w:after="0" w:line="16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subsection, or sentence of this Agreement shall be held to be invalid, illegal or unenforceable in any respect by a court of competent jurisdiction, such invalidity, illegality or unenforceability shall not affect the other provisions of this Agreement, and this Agreement shall be construed as if such invalid, illegal or unenforceable provision, subsection, or sentence had not been contained herein.</w:t>
      </w:r>
    </w:p>
    <w:p>
      <w:pPr>
        <w:spacing w:after="0" w:line="176" w:lineRule="exact"/>
        <w:rPr>
          <w:rFonts w:ascii="Times New Roman" w:cs="Times New Roman" w:eastAsia="Times New Roman" w:hAnsi="Times New Roman"/>
          <w:sz w:val="22"/>
          <w:szCs w:val="22"/>
          <w:color w:val="auto"/>
        </w:rPr>
      </w:pPr>
    </w:p>
    <w:p>
      <w:pPr>
        <w:ind w:right="20" w:firstLine="656"/>
        <w:spacing w:after="0" w:line="271" w:lineRule="auto"/>
        <w:tabs>
          <w:tab w:leader="none" w:pos="128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Confidentiality and Non-Disclosure Obligations</w:t>
      </w:r>
      <w:r>
        <w:rPr>
          <w:rFonts w:ascii="Times New Roman" w:cs="Times New Roman" w:eastAsia="Times New Roman" w:hAnsi="Times New Roman"/>
          <w:sz w:val="22"/>
          <w:szCs w:val="22"/>
          <w:color w:val="auto"/>
        </w:rPr>
        <w:t>. Executive represents and warrants that he is in compliance with the Confidentiality Agreement as of the Effective Date.</w:t>
      </w:r>
    </w:p>
    <w:p>
      <w:pPr>
        <w:spacing w:after="0" w:line="157"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Executive acknowledges and agrees that the Company’s remedies at law for a breach or threatened breach of Section 9(a) (the “</w:t>
      </w:r>
      <w:r>
        <w:rPr>
          <w:rFonts w:ascii="Times New Roman" w:cs="Times New Roman" w:eastAsia="Times New Roman" w:hAnsi="Times New Roman"/>
          <w:sz w:val="22"/>
          <w:szCs w:val="22"/>
          <w:u w:val="single" w:color="auto"/>
          <w:color w:val="auto"/>
        </w:rPr>
        <w:t>Covenant</w:t>
      </w:r>
      <w:r>
        <w:rPr>
          <w:rFonts w:ascii="Times New Roman" w:cs="Times New Roman" w:eastAsia="Times New Roman" w:hAnsi="Times New Roman"/>
          <w:sz w:val="22"/>
          <w:szCs w:val="22"/>
          <w:color w:val="auto"/>
        </w:rPr>
        <w:t>”) would be inadequate and the Company would suffer irreparable damages as a result of such breach or threatened breach. In recognition of this fact, Executive agrees that, in the event of a breach of the Covenant, in addition to any remedies at law, the Company, without posting any bond, to the maximum extent permitted by applicable law, shall be entitled to cease making any payments or providing any benefit otherwise required by this Agreement and, in the case of either a breach or a threatened breach of the Covenant seek equitable relief before a court of competent jurisdiction, in the form of specific performance, temporary restraining order, temporary or permanent injunction or any other equitable remedy that may then be available. Company acknowledges and agrees that the Executive’s remedies at law for a breach or threatened breach of Section 9(b) would be inadequate and Executive would suffer irreparable damages as a result of such breach or threatened breach. Accordingly, Company agrees that Executive shall be entitled to, in addition to any legal remedies available, seek equitable relief before a court of competent jurisdiction, in the form of specific performance, temporary restraining order, temporary or permanent injunction or any other equitable remedy that may then be available without posting bond or proving actual damages.</w:t>
      </w:r>
    </w:p>
    <w:p>
      <w:pPr>
        <w:spacing w:after="0" w:line="206"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Conflicts of Interest</w:t>
      </w:r>
      <w:r>
        <w:rPr>
          <w:rFonts w:ascii="Times New Roman" w:cs="Times New Roman" w:eastAsia="Times New Roman" w:hAnsi="Times New Roman"/>
          <w:sz w:val="22"/>
          <w:szCs w:val="22"/>
          <w:color w:val="auto"/>
        </w:rPr>
        <w:t>. Executive agrees that for the duration of this Agreement and Executive’s employment with the Company, he will not engage, either directly or indirectly, in any activity (a “</w:t>
      </w:r>
      <w:r>
        <w:rPr>
          <w:rFonts w:ascii="Times New Roman" w:cs="Times New Roman" w:eastAsia="Times New Roman" w:hAnsi="Times New Roman"/>
          <w:sz w:val="22"/>
          <w:szCs w:val="22"/>
          <w:u w:val="single" w:color="auto"/>
          <w:color w:val="auto"/>
        </w:rPr>
        <w:t>Conflict of Interest</w:t>
      </w:r>
      <w:r>
        <w:rPr>
          <w:rFonts w:ascii="Times New Roman" w:cs="Times New Roman" w:eastAsia="Times New Roman" w:hAnsi="Times New Roman"/>
          <w:sz w:val="22"/>
          <w:szCs w:val="22"/>
          <w:color w:val="auto"/>
        </w:rPr>
        <w:t>”) which might adversely affect Company or its affiliates, including ownership of a material interest in any supplier, contractor, distributor, subcontractor, customer or other entity with which Company does business or accepting any payment, service, loan, gift, trip, entertainment, or other favor from a supplier, contractor, distributor, subcontractor, customer or other entity with which Company does business, and that Executive will promptly inform the Chair of the Board as to each offer received by Executive to engage in any such activity. Executive further agrees to disclose to Chair of the Board any other facts of</w:t>
      </w:r>
    </w:p>
    <w:p>
      <w:pPr>
        <w:sectPr>
          <w:pgSz w:w="11900" w:h="16838" w:orient="portrait"/>
          <w:cols w:equalWidth="0" w:num="1">
            <w:col w:w="11240"/>
          </w:cols>
          <w:pgMar w:left="320" w:top="1422"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2"/>
          <w:szCs w:val="22"/>
          <w:color w:val="auto"/>
        </w:rPr>
        <w:t>which Executive becomes aware which might involve or give rise to a Conflict of Interest or potential Conflict of Interest.</w:t>
      </w:r>
    </w:p>
    <w:p>
      <w:pPr>
        <w:spacing w:after="0" w:line="220" w:lineRule="exact"/>
        <w:rPr>
          <w:sz w:val="20"/>
          <w:szCs w:val="20"/>
          <w:color w:val="auto"/>
        </w:rPr>
      </w:pPr>
    </w:p>
    <w:p>
      <w:pPr>
        <w:ind w:left="1300" w:hanging="644"/>
        <w:spacing w:after="0"/>
        <w:tabs>
          <w:tab w:leader="none" w:pos="130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62" w:lineRule="auto"/>
        <w:tabs>
          <w:tab w:leader="none" w:pos="1941" w:val="left"/>
        </w:tabs>
        <w:numPr>
          <w:ilvl w:val="2"/>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Executive’s Representations</w:t>
      </w:r>
      <w:r>
        <w:rPr>
          <w:rFonts w:ascii="Times New Roman" w:cs="Times New Roman" w:eastAsia="Times New Roman" w:hAnsi="Times New Roman"/>
          <w:sz w:val="21"/>
          <w:szCs w:val="21"/>
          <w:color w:val="auto"/>
        </w:rPr>
        <w:t>. Executive hereby represents and warrants to the Company that (i) Executive has read this Agreement in its entirety, fully understands the terms of this Agreement, has had the opportunity to consult with counsel prior to executing this Agreement and is signing the Agreement voluntarily and with full knowledge of its significance;</w:t>
      </w:r>
    </w:p>
    <w:p>
      <w:pPr>
        <w:spacing w:after="0" w:line="2" w:lineRule="exact"/>
        <w:rPr>
          <w:rFonts w:ascii="Times New Roman" w:cs="Times New Roman" w:eastAsia="Times New Roman" w:hAnsi="Times New Roman"/>
          <w:sz w:val="21"/>
          <w:szCs w:val="21"/>
          <w:color w:val="auto"/>
        </w:rPr>
      </w:pPr>
    </w:p>
    <w:p>
      <w:pPr>
        <w:jc w:val="both"/>
        <w:ind w:firstLine="8"/>
        <w:spacing w:after="0" w:line="259" w:lineRule="auto"/>
        <w:tabs>
          <w:tab w:leader="none" w:pos="326"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execution, delivery and performance of this Agreement by Executive does not and shall not conflict with, breach, violate or cause a default under any contract, agreement, instrument, order, judgment or decree to which Executive is a party or by which he is bound; (iii) Executive is not a party to or bound by an employment agreement, non-compete agreement or confidentiality agreement with any other person or entity that would interfere with the performance of his duties hereunder; and (iv) Executive shall not use any confidential information or trade secrets of any person or party other than the Company in connection with the performance of his duties hereunder, except with valid written consent of such other person or party. </w:t>
      </w:r>
      <w:r>
        <w:rPr>
          <w:rFonts w:ascii="Times New Roman" w:cs="Times New Roman" w:eastAsia="Times New Roman" w:hAnsi="Times New Roman"/>
          <w:sz w:val="21"/>
          <w:szCs w:val="21"/>
          <w:b w:val="1"/>
          <w:bCs w:val="1"/>
          <w:color w:val="auto"/>
        </w:rPr>
        <w:t>Executive has carefully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read and considered all provisions of these Agreements and acknowledges that this is an important legal document that sets forth restrictions on Executive’s conduct as a condition of employment with the Company.</w:t>
      </w:r>
    </w:p>
    <w:p>
      <w:pPr>
        <w:spacing w:after="0" w:line="186"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39" w:val="left"/>
        </w:tabs>
        <w:numPr>
          <w:ilvl w:val="2"/>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provision of this Agreement may be modified, waived or discharged unless such waiver, modification or discharge is agreed to in a writing signed by Executive and an officer of the Company (other than Executive) duly authorized by the Board to execute such amendment, waiver or discharge. No waiver by either Party of any breach of the other Party of, or compliance with, any condition or provision of this Agreement shall be deemed a waiver of similar or dissimilar provisions or conditions at the same or at any prior or subsequent time.</w:t>
      </w:r>
    </w:p>
    <w:p>
      <w:pPr>
        <w:spacing w:after="0" w:line="19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3"/>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personal to Executive and shall not be assignable by Executive but shall inure to the benefit of and be enforceable by Executive’s heirs and legal representatives.</w:t>
      </w:r>
    </w:p>
    <w:p>
      <w:pPr>
        <w:spacing w:after="0" w:line="157"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6" w:val="left"/>
        </w:tabs>
        <w:numPr>
          <w:ilvl w:val="3"/>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inure to the benefit of and be binding upon the Company and its successors and, other than as set forth in Section 15(d)(iii) below, shall not be assignable by the Company without the prior written consent of Executive (which shall not be unreasonably withheld).</w:t>
      </w:r>
    </w:p>
    <w:p>
      <w:pPr>
        <w:spacing w:after="0" w:line="16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92" w:val="left"/>
        </w:tabs>
        <w:numPr>
          <w:ilvl w:val="3"/>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shall be assignable by the Company to any successor (whether direct or indirect, by purchase, merger, consolidation or otherwise) to all or substantially all of the business and/or assets of the Company; provided, that the Company shall require such successor to expressly assume and agree to perform this Agreement in the same</w:t>
      </w:r>
    </w:p>
    <w:p>
      <w:pPr>
        <w:sectPr>
          <w:pgSz w:w="11900" w:h="16838" w:orient="portrait"/>
          <w:cols w:equalWidth="0" w:num="1">
            <w:col w:w="11240"/>
          </w:cols>
          <w:pgMar w:left="320" w:top="1422" w:right="339" w:bottom="1440" w:gutter="0" w:footer="0" w:header="0"/>
        </w:sectPr>
      </w:pPr>
    </w:p>
    <w:bookmarkStart w:id="170" w:name="page171"/>
    <w:bookmarkEnd w:id="170"/>
    <w:p>
      <w:pPr>
        <w:jc w:val="both"/>
        <w:spacing w:after="0" w:line="257" w:lineRule="auto"/>
        <w:rPr>
          <w:sz w:val="20"/>
          <w:szCs w:val="20"/>
          <w:color w:val="auto"/>
        </w:rPr>
      </w:pPr>
      <w:r>
        <w:rPr>
          <w:rFonts w:ascii="Times New Roman" w:cs="Times New Roman" w:eastAsia="Times New Roman" w:hAnsi="Times New Roman"/>
          <w:sz w:val="22"/>
          <w:szCs w:val="22"/>
          <w:color w:val="auto"/>
        </w:rPr>
        <w:t>manner and to the same extent that the Company would be required to perform it if no such succession had taken place. As used in this Agreement, “Company” shall mean the Company as defined in this Agreement and any successor to its business and/or assets which assumes and agrees to perform this Agreement by operation of law or otherwise.</w:t>
      </w:r>
    </w:p>
    <w:p>
      <w:pPr>
        <w:spacing w:after="0" w:line="186" w:lineRule="exact"/>
        <w:rPr>
          <w:sz w:val="20"/>
          <w:szCs w:val="20"/>
          <w:color w:val="auto"/>
        </w:rPr>
      </w:pPr>
    </w:p>
    <w:p>
      <w:pPr>
        <w:jc w:val="both"/>
        <w:ind w:firstLine="1304"/>
        <w:spacing w:after="0" w:line="249" w:lineRule="auto"/>
        <w:tabs>
          <w:tab w:leader="none" w:pos="193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For the purpose of this Agreement, notices and all other communications provided for in this Agreement shall be in writing and shall be deemed to have been duly given if delivered personally, if delivered by overnight courier service, or if mailed by registered mail, return receipt requested, postage prepaid, addressed to the respective addresses or sent via email to the respective email addresses, as the case may be, as set forth below, or to such other address as either party may have furnished to the other in writing in accordance herewith, except that notice of change of address shall be effective only upon receipt; provided, however, that (i) notices sent by personal delivery or overnight courier shall be deemed given when delivered; (ii) notices sent by email shall be deemed given at the time such email is sent; and (iii) notices sent by registered mail shall be deemed given two (2) days after the date of deposit in the mail.</w:t>
      </w:r>
    </w:p>
    <w:p>
      <w:pPr>
        <w:spacing w:after="0" w:line="182" w:lineRule="exact"/>
        <w:rPr>
          <w:sz w:val="20"/>
          <w:szCs w:val="20"/>
          <w:color w:val="auto"/>
        </w:rPr>
      </w:pPr>
    </w:p>
    <w:p>
      <w:pPr>
        <w:ind w:left="1960" w:right="3360"/>
        <w:spacing w:after="0" w:line="271" w:lineRule="auto"/>
        <w:rPr>
          <w:sz w:val="20"/>
          <w:szCs w:val="20"/>
          <w:color w:val="auto"/>
        </w:rPr>
      </w:pPr>
      <w:r>
        <w:rPr>
          <w:rFonts w:ascii="Times New Roman" w:cs="Times New Roman" w:eastAsia="Times New Roman" w:hAnsi="Times New Roman"/>
          <w:sz w:val="22"/>
          <w:szCs w:val="22"/>
          <w:color w:val="auto"/>
        </w:rPr>
        <w:t>If to Executive, to such address as shall most currently appear on the records of the Company.</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Life360,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539 Bryant, Suite 400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San Francisco, California 94107</w:t>
      </w:r>
    </w:p>
    <w:p>
      <w:pPr>
        <w:spacing w:after="0" w:line="1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220" w:lineRule="exact"/>
        <w:rPr>
          <w:sz w:val="20"/>
          <w:szCs w:val="20"/>
          <w:color w:val="auto"/>
        </w:rPr>
      </w:pPr>
    </w:p>
    <w:p>
      <w:pPr>
        <w:jc w:val="both"/>
        <w:ind w:firstLine="1304"/>
        <w:spacing w:after="0" w:line="248" w:lineRule="auto"/>
        <w:tabs>
          <w:tab w:leader="none" w:pos="194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CONSENT TO JURISDICTION; JURY TRIAL WAIVER</w:t>
      </w:r>
      <w:r>
        <w:rPr>
          <w:rFonts w:ascii="Times New Roman" w:cs="Times New Roman" w:eastAsia="Times New Roman" w:hAnsi="Times New Roman"/>
          <w:sz w:val="22"/>
          <w:szCs w:val="22"/>
          <w:color w:val="auto"/>
        </w:rPr>
        <w:t>. THIS AGREEMENT WILL BE GOVERNED BY AND CONSTRUED IN ACCORDANCE WITH THE LAWS OF THE STATE OF CALIFORNIA, WITHOUT GIVING EFFECT TO ANY CHOICE OF LAW OR CONFLICTING PROVISION OR RULE (WHETHER OF THE STATE OF DELAWARE OR ANY OTHER JURISDICTION) THAT WOULD CAUSE THE LAWS OF ANY JURISDICTION OTHER THAN THE STATE OF CALIFORNIA TO BE APPLIED. IN FURTHERANCE OF THE FOREGOING, THE LAW OF THE STATE OF CALIFORNIA (EXCEPT TO THE EXTENT SUPERSEDED BY THE LAWS OF THE UNITED STATES) WILL CONTROL THE INTERPRETATION AND CONSTRUCTION OF THIS AGREEMENT. ANY ACTION TO ENFORCE THIS AGREEMENT MUST BE BROUGHT IN, AND THE PARTIES HEREBY CONSENT TO JURISDICTION IN SAN FRANCISCO COUNTY, CALIFORNIA. EACH PARTY HEREBY WAIVES THE RIGHTS TO CLAIM THAT ANY SUCH COURT PROCEEDING IS AN INCONVENIENT FORUM FOR THE RESOLUTION OF ANY SUCH ACTION. EACH PARTY TO THIS AGREEMENT WAIVES ALL RIGHT TO TRIAL BY JURY IN ANY ACTION, PROCEEDING, CLAIM OR COUNTERCLAIM.</w:t>
      </w:r>
    </w:p>
    <w:p>
      <w:pPr>
        <w:sectPr>
          <w:pgSz w:w="11900" w:h="16838" w:orient="portrait"/>
          <w:cols w:equalWidth="0" w:num="1">
            <w:col w:w="11240"/>
          </w:cols>
          <w:pgMar w:left="320" w:top="1422" w:right="339" w:bottom="1440" w:gutter="0" w:footer="0" w:header="0"/>
        </w:sectPr>
      </w:pPr>
    </w:p>
    <w:bookmarkStart w:id="171" w:name="page172"/>
    <w:bookmarkEnd w:id="171"/>
    <w:p>
      <w:pPr>
        <w:jc w:val="both"/>
        <w:ind w:left="-1120" w:firstLine="1304"/>
        <w:spacing w:after="0" w:line="256" w:lineRule="auto"/>
        <w:tabs>
          <w:tab w:leader="none" w:pos="82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w:t>
      </w:r>
      <w:r>
        <w:rPr>
          <w:rFonts w:ascii="Times New Roman" w:cs="Times New Roman" w:eastAsia="Times New Roman" w:hAnsi="Times New Roman"/>
          <w:sz w:val="22"/>
          <w:szCs w:val="22"/>
          <w:color w:val="auto"/>
        </w:rPr>
        <w:t>. The intent of the Parties is that payments and benefits under this Agreement comply with, or be exempt from, Section 409A and, accordingly, to the maximum extent permitted, this Agreement shall be interpreted in accordance therewith. In no event whatsoever shall the Company be liable for interest and additional tax that may be imposed on Executive by Section 409A or any damages for failing to comply with Section 409A.</w:t>
      </w:r>
    </w:p>
    <w:p>
      <w:pPr>
        <w:spacing w:after="0" w:line="176" w:lineRule="exact"/>
        <w:rPr>
          <w:rFonts w:ascii="Times New Roman" w:cs="Times New Roman" w:eastAsia="Times New Roman" w:hAnsi="Times New Roman"/>
          <w:sz w:val="22"/>
          <w:szCs w:val="22"/>
          <w:color w:val="auto"/>
        </w:rPr>
      </w:pPr>
    </w:p>
    <w:p>
      <w:pPr>
        <w:jc w:val="both"/>
        <w:ind w:left="-1120" w:right="20" w:firstLine="1304"/>
        <w:spacing w:after="0" w:line="257" w:lineRule="auto"/>
        <w:tabs>
          <w:tab w:leader="none" w:pos="81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 of Invalid or Unenforceable Provisions</w:t>
      </w:r>
      <w:r>
        <w:rPr>
          <w:rFonts w:ascii="Times New Roman" w:cs="Times New Roman" w:eastAsia="Times New Roman" w:hAnsi="Times New Roman"/>
          <w:sz w:val="22"/>
          <w:szCs w:val="22"/>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72" w:lineRule="exact"/>
        <w:rPr>
          <w:rFonts w:ascii="Times New Roman" w:cs="Times New Roman" w:eastAsia="Times New Roman" w:hAnsi="Times New Roman"/>
          <w:sz w:val="22"/>
          <w:szCs w:val="22"/>
          <w:color w:val="auto"/>
        </w:rPr>
      </w:pPr>
    </w:p>
    <w:p>
      <w:pPr>
        <w:jc w:val="both"/>
        <w:ind w:left="-1120" w:firstLine="1304"/>
        <w:spacing w:after="0" w:line="263" w:lineRule="auto"/>
        <w:tabs>
          <w:tab w:leader="none" w:pos="81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Advice of Counsel and Construction</w:t>
      </w:r>
      <w:r>
        <w:rPr>
          <w:rFonts w:ascii="Times New Roman" w:cs="Times New Roman" w:eastAsia="Times New Roman" w:hAnsi="Times New Roman"/>
          <w:sz w:val="22"/>
          <w:szCs w:val="22"/>
          <w:color w:val="auto"/>
        </w:rPr>
        <w:t>. Each Party acknowledges that such Party had the opportunity to be represented by counsel in the negotiation and execution of this Agreement. Accordingly, the rule of construction of contract language against the drafting party is hereby waived by each Party.</w:t>
      </w:r>
    </w:p>
    <w:p>
      <w:pPr>
        <w:spacing w:after="0" w:line="167" w:lineRule="exact"/>
        <w:rPr>
          <w:rFonts w:ascii="Times New Roman" w:cs="Times New Roman" w:eastAsia="Times New Roman" w:hAnsi="Times New Roman"/>
          <w:sz w:val="22"/>
          <w:szCs w:val="22"/>
          <w:color w:val="auto"/>
        </w:rPr>
      </w:pPr>
    </w:p>
    <w:p>
      <w:pPr>
        <w:jc w:val="both"/>
        <w:ind w:left="-1120" w:firstLine="1304"/>
        <w:spacing w:after="0" w:line="252" w:lineRule="auto"/>
        <w:tabs>
          <w:tab w:leader="none" w:pos="812"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all Exhibits attached hereto, and the Confidentiality Agreement, constitute the entire agreement between the Parties as of the Effective Date and supersedes all previous agreements and understandings between the Parties with respect to the subject matter hereof, including, without limitation, the offer letter entered into by and between Executive and the Company dated October 29, 2015.</w:t>
      </w:r>
    </w:p>
    <w:p>
      <w:pPr>
        <w:spacing w:after="0" w:line="192" w:lineRule="exact"/>
        <w:rPr>
          <w:rFonts w:ascii="Times New Roman" w:cs="Times New Roman" w:eastAsia="Times New Roman" w:hAnsi="Times New Roman"/>
          <w:sz w:val="22"/>
          <w:szCs w:val="22"/>
          <w:color w:val="auto"/>
        </w:rPr>
      </w:pPr>
    </w:p>
    <w:p>
      <w:pPr>
        <w:ind w:left="-1120" w:firstLine="1304"/>
        <w:spacing w:after="0" w:line="271" w:lineRule="auto"/>
        <w:tabs>
          <w:tab w:leader="none" w:pos="812"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The Company shall be entitled to withhold from any payment due to Executive hereunder any amounts required to be withheld by applicable laws or regulations.</w:t>
      </w:r>
    </w:p>
    <w:p>
      <w:pPr>
        <w:spacing w:after="0" w:line="157" w:lineRule="exact"/>
        <w:rPr>
          <w:rFonts w:ascii="Times New Roman" w:cs="Times New Roman" w:eastAsia="Times New Roman" w:hAnsi="Times New Roman"/>
          <w:sz w:val="22"/>
          <w:szCs w:val="22"/>
          <w:color w:val="auto"/>
        </w:rPr>
      </w:pPr>
    </w:p>
    <w:p>
      <w:pPr>
        <w:ind w:left="-1120" w:firstLine="1304"/>
        <w:spacing w:after="0" w:line="271" w:lineRule="auto"/>
        <w:tabs>
          <w:tab w:leader="none" w:pos="81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headings of the Sections hereof are provided for convenience only and are not to serve as a basis for interpretation or construction, and shall not constitute a part, of this Agreement.</w:t>
      </w:r>
    </w:p>
    <w:p>
      <w:pPr>
        <w:spacing w:after="0" w:line="157" w:lineRule="exact"/>
        <w:rPr>
          <w:rFonts w:ascii="Times New Roman" w:cs="Times New Roman" w:eastAsia="Times New Roman" w:hAnsi="Times New Roman"/>
          <w:sz w:val="22"/>
          <w:szCs w:val="22"/>
          <w:color w:val="auto"/>
        </w:rPr>
      </w:pPr>
    </w:p>
    <w:p>
      <w:pPr>
        <w:jc w:val="both"/>
        <w:ind w:left="-1120" w:firstLine="1304"/>
        <w:spacing w:after="0" w:line="253" w:lineRule="auto"/>
        <w:tabs>
          <w:tab w:leader="none" w:pos="812"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During the Term and at any time thereafter, Executive agrees to cooperate, at Company’s expense, (i) with the Company in the defense of any legal matter involving any matter that arose during Executive’s employment with the Company; and (ii) with all government authorities on matters pertaining to any investigation, litigation or administrative proceeding pertaining to the Company. The Company will reimburse Executive for any reasonable travel and out of pocket expenses incurred by Executive in providing such cooperation.</w:t>
      </w:r>
    </w:p>
    <w:p>
      <w:pPr>
        <w:spacing w:after="0" w:line="178" w:lineRule="exact"/>
        <w:rPr>
          <w:rFonts w:ascii="Times New Roman" w:cs="Times New Roman" w:eastAsia="Times New Roman" w:hAnsi="Times New Roman"/>
          <w:sz w:val="22"/>
          <w:szCs w:val="22"/>
          <w:color w:val="auto"/>
        </w:rPr>
      </w:pPr>
    </w:p>
    <w:p>
      <w:pPr>
        <w:jc w:val="both"/>
        <w:ind w:left="-1120" w:firstLine="1304"/>
        <w:spacing w:after="0" w:line="263" w:lineRule="auto"/>
        <w:tabs>
          <w:tab w:leader="none" w:pos="812"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Sections 6 through 12, inclusive, and Sections 15(b)-(o), inclusive, shall survive and continue in full force in accordance with their terms notwithstanding any termination of the Term or of Executive’s employment with the Company.</w:t>
      </w:r>
    </w:p>
    <w:p>
      <w:pPr>
        <w:spacing w:after="0" w:line="167" w:lineRule="exact"/>
        <w:rPr>
          <w:rFonts w:ascii="Times New Roman" w:cs="Times New Roman" w:eastAsia="Times New Roman" w:hAnsi="Times New Roman"/>
          <w:sz w:val="22"/>
          <w:szCs w:val="22"/>
          <w:color w:val="auto"/>
        </w:rPr>
      </w:pPr>
    </w:p>
    <w:p>
      <w:pPr>
        <w:ind w:left="-1120" w:right="20" w:firstLine="1304"/>
        <w:spacing w:after="0" w:line="271" w:lineRule="auto"/>
        <w:tabs>
          <w:tab w:leader="none" w:pos="81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instrument.</w:t>
      </w:r>
    </w:p>
    <w:p>
      <w:pPr>
        <w:sectPr>
          <w:pgSz w:w="11900" w:h="16838" w:orient="portrait"/>
          <w:cols w:equalWidth="0" w:num="1">
            <w:col w:w="10120"/>
          </w:cols>
          <w:pgMar w:left="1440" w:top="1422" w:right="339" w:bottom="1440" w:gutter="0" w:footer="0" w:header="0"/>
        </w:sectPr>
      </w:pPr>
    </w:p>
    <w:bookmarkStart w:id="172" w:name="page173"/>
    <w:bookmarkEnd w:id="172"/>
    <w:p>
      <w:pPr>
        <w:jc w:val="both"/>
        <w:ind w:left="-20" w:firstLine="1304"/>
        <w:spacing w:after="0" w:line="250" w:lineRule="auto"/>
        <w:tabs>
          <w:tab w:leader="none" w:pos="191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Recoupment/Clawback</w:t>
      </w:r>
      <w:r>
        <w:rPr>
          <w:rFonts w:ascii="Times New Roman" w:cs="Times New Roman" w:eastAsia="Times New Roman" w:hAnsi="Times New Roman"/>
          <w:sz w:val="22"/>
          <w:szCs w:val="22"/>
          <w:color w:val="auto"/>
        </w:rPr>
        <w:t>. Notwithstanding any other provisions in this Agreement to the contrary, any incentive-based compensation, or any other compensation, paid to Executive pursuant to this Agreement or any other agreement or arrangement with the Company or any of its affiliates, which may be subject to recovery under any law, government regulation, company policy or stock exchange listing requirement, will be subject to such deductions and clawback as may be required to be made pursuant to such law, government regulation, company policy or stock exchange listing requirement to the extent reasonably required by any such law, government regulation, company policy or stock exchange listing requirement, as determined by the Board in its sole and absolute discretion. For purposes of this Section 15(o), a “company policy” means any written company policy adopted by the Company that is made available to the Company’s executive officers through electronic or any other means.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 – signatures appear on the following page]</w:t>
      </w:r>
    </w:p>
    <w:p>
      <w:pPr>
        <w:sectPr>
          <w:pgSz w:w="11900" w:h="16838" w:orient="portrait"/>
          <w:cols w:equalWidth="0" w:num="1">
            <w:col w:w="11220"/>
          </w:cols>
          <w:pgMar w:left="340" w:top="1422" w:right="339" w:bottom="1440" w:gutter="0" w:footer="0" w:header="0"/>
        </w:sectPr>
      </w:pPr>
    </w:p>
    <w:bookmarkStart w:id="173" w:name="page174"/>
    <w:bookmarkEnd w:id="173"/>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Parties have executed this Agreement as of the date first above written.</w:t>
      </w:r>
    </w:p>
    <w:p>
      <w:pPr>
        <w:sectPr>
          <w:pgSz w:w="11900" w:h="16838" w:orient="portrait"/>
          <w:cols w:equalWidth="0" w:num="1">
            <w:col w:w="9479"/>
          </w:cols>
          <w:pgMar w:left="980" w:top="1440" w:right="1440" w:bottom="1440" w:gutter="0" w:footer="0" w:header="0"/>
        </w:sectPr>
      </w:pP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2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Life360, Inc.</w:t>
      </w:r>
    </w:p>
    <w:p>
      <w:pPr>
        <w:spacing w:after="0" w:line="200" w:lineRule="exact"/>
        <w:rPr>
          <w:sz w:val="20"/>
          <w:szCs w:val="20"/>
          <w:color w:val="auto"/>
        </w:rPr>
      </w:pPr>
    </w:p>
    <w:p>
      <w:pPr>
        <w:spacing w:after="0" w:line="35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/s/Christopher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-13970</wp:posOffset>
            </wp:positionV>
            <wp:extent cx="12458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1245870" cy="8890"/>
                    </a:xfrm>
                    <a:prstGeom prst="rect">
                      <a:avLst/>
                    </a:prstGeom>
                    <a:noFill/>
                  </pic:spPr>
                </pic:pic>
              </a:graphicData>
            </a:graphic>
          </wp:anchor>
        </w:drawing>
      </w:r>
    </w:p>
    <w:p>
      <w:pPr>
        <w:spacing w:after="0" w:line="200" w:lineRule="exact"/>
        <w:rPr>
          <w:sz w:val="20"/>
          <w:szCs w:val="20"/>
          <w:color w:val="auto"/>
        </w:rPr>
      </w:pPr>
    </w:p>
    <w:p>
      <w:pPr>
        <w:ind w:left="3240"/>
        <w:spacing w:after="0"/>
        <w:tabs>
          <w:tab w:leader="none" w:pos="40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Hulls</w:t>
      </w:r>
    </w:p>
    <w:p>
      <w:pPr>
        <w:spacing w:after="0" w:line="220" w:lineRule="exact"/>
        <w:rPr>
          <w:sz w:val="20"/>
          <w:szCs w:val="20"/>
          <w:color w:val="auto"/>
        </w:rPr>
      </w:pPr>
    </w:p>
    <w:p>
      <w:pPr>
        <w:ind w:left="3240"/>
        <w:spacing w:after="0"/>
        <w:tabs>
          <w:tab w:leader="none" w:pos="3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493395</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David Rice</w:t>
      </w:r>
    </w:p>
    <w:p>
      <w:pPr>
        <w:sectPr>
          <w:pgSz w:w="11900" w:h="16838" w:orient="portrait"/>
          <w:cols w:equalWidth="0" w:num="1">
            <w:col w:w="9479"/>
          </w:cols>
          <w:pgMar w:left="980" w:top="1440" w:right="1440"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21"/>
          <w:szCs w:val="21"/>
          <w:color w:val="auto"/>
        </w:rPr>
        <w:t>The Parties have executed this Agreement as of the date first above written.</w:t>
      </w:r>
    </w:p>
    <w:p>
      <w:pPr>
        <w:sectPr>
          <w:pgSz w:w="11900" w:h="16838" w:orient="portrait"/>
          <w:cols w:equalWidth="0" w:num="1">
            <w:col w:w="9479"/>
          </w:cols>
          <w:pgMar w:left="980" w:top="1422" w:right="1440" w:bottom="1440" w:gutter="0" w:footer="0" w:header="0"/>
        </w:sectPr>
      </w:pP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2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Life360, Inc.</w:t>
      </w:r>
    </w:p>
    <w:p>
      <w:pPr>
        <w:spacing w:after="0" w:line="200" w:lineRule="exact"/>
        <w:rPr>
          <w:sz w:val="20"/>
          <w:szCs w:val="20"/>
          <w:color w:val="auto"/>
        </w:rPr>
      </w:pPr>
    </w:p>
    <w:p>
      <w:pPr>
        <w:spacing w:after="0" w:line="35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-13970</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ind w:left="3240"/>
        <w:spacing w:after="0"/>
        <w:tabs>
          <w:tab w:leader="none" w:pos="40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Hulls</w:t>
      </w:r>
    </w:p>
    <w:p>
      <w:pPr>
        <w:spacing w:after="0" w:line="220" w:lineRule="exact"/>
        <w:rPr>
          <w:sz w:val="20"/>
          <w:szCs w:val="20"/>
          <w:color w:val="auto"/>
        </w:rPr>
      </w:pPr>
    </w:p>
    <w:p>
      <w:pPr>
        <w:ind w:left="3240"/>
        <w:spacing w:after="0"/>
        <w:tabs>
          <w:tab w:leader="none" w:pos="3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34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 David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-13970</wp:posOffset>
            </wp:positionV>
            <wp:extent cx="9220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922020" cy="8255"/>
                    </a:xfrm>
                    <a:prstGeom prst="rect">
                      <a:avLst/>
                    </a:prstGeom>
                    <a:noFill/>
                  </pic:spPr>
                </pic:pic>
              </a:graphicData>
            </a:graphic>
          </wp:anchor>
        </w:drawing>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David Rice</w:t>
      </w:r>
    </w:p>
    <w:p>
      <w:pPr>
        <w:sectPr>
          <w:pgSz w:w="11900" w:h="16838" w:orient="portrait"/>
          <w:cols w:equalWidth="0" w:num="1">
            <w:col w:w="9479"/>
          </w:cols>
          <w:pgMar w:left="980" w:top="1422" w:right="1440" w:bottom="1440" w:gutter="0" w:footer="0" w:header="0"/>
          <w:type w:val="continuous"/>
        </w:sectPr>
      </w:pPr>
    </w:p>
    <w:bookmarkStart w:id="175" w:name="page176"/>
    <w:bookmarkEnd w:id="175"/>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DEFINED TERMS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656"/>
        <w:spacing w:after="0" w:line="253" w:lineRule="auto"/>
        <w:tabs>
          <w:tab w:leader="none" w:pos="1296"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shall mean, at any point in time and except as expressly provided herein, any amounts to which the Executive is entitled to payment but have not yet been paid to Executive including, but not limited to, each of the following (but only to the extent such amounts are vested, earned or accrued, and due and payable at the time of payment): Base Salary and any other wages, payments, retention bonuses, entitlements or benefits vested, earned or accrued, and due and payable, but unpaid under applicable benefit and compensation plans, programs and other arrangements with the Company.</w:t>
      </w:r>
    </w:p>
    <w:p>
      <w:pPr>
        <w:spacing w:after="0" w:line="178"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 Person shall mean any other Person that directly or indirectly controls, is controlled by, or is under common control with, such Person.</w:t>
      </w:r>
    </w:p>
    <w:p>
      <w:pPr>
        <w:spacing w:after="0" w:line="14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Company’s board of directors.</w:t>
      </w:r>
    </w:p>
    <w:p>
      <w:pPr>
        <w:spacing w:after="0" w:line="219"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shall mean the occurrence of one or more of the following: (i) Executive’s malfeasance, willful, or gross misconduct, or willful dishonesty that materially harms the Company or its stockholders; (ii) Executive’s conviction of a crime that is materially detrimental to the Company or its stockholders; (iii) Executive’s conviction of, or entry of a plea </w:t>
      </w:r>
      <w:r>
        <w:rPr>
          <w:rFonts w:ascii="Times New Roman" w:cs="Times New Roman" w:eastAsia="Times New Roman" w:hAnsi="Times New Roman"/>
          <w:sz w:val="22"/>
          <w:szCs w:val="22"/>
          <w:i w:val="1"/>
          <w:iCs w:val="1"/>
          <w:color w:val="auto"/>
        </w:rPr>
        <w:t>nolo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contendere </w:t>
      </w:r>
      <w:r>
        <w:rPr>
          <w:rFonts w:ascii="Times New Roman" w:cs="Times New Roman" w:eastAsia="Times New Roman" w:hAnsi="Times New Roman"/>
          <w:sz w:val="22"/>
          <w:szCs w:val="22"/>
          <w:color w:val="auto"/>
        </w:rPr>
        <w:t>to a crime that materially damages the Company’s financial condition or reputation or to a crime involving fraud; (iv)</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material violation of the Company’s Code of Ethics, including breach of duty of loyalty in connection with the Company’s business; (v) Executive’s willful failure to perform duties under this Agreement, after notice by the Board and an opportunity to cure; (vi) Executive’s failure to reasonably cooperate with, or Executive’s impedance or interference with, an investigation authorized by the Board; (vii) Executive’s failure to follow a legal and proper Board directive, after notice by the Board and a 30 (thirty) day opportunity to cure; or (viii) Executive’s willful misconduct or gross negligence pursuant to the Sarbanes-Oxley Act, if and to the extent such conduct triggers a restatement of the Company’s financial results.</w:t>
      </w:r>
    </w:p>
    <w:p>
      <w:pPr>
        <w:spacing w:after="0" w:line="18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19" w:lineRule="exact"/>
        <w:rPr>
          <w:rFonts w:ascii="Times New Roman" w:cs="Times New Roman" w:eastAsia="Times New Roman" w:hAnsi="Times New Roman"/>
          <w:sz w:val="22"/>
          <w:szCs w:val="22"/>
          <w:color w:val="auto"/>
        </w:rPr>
      </w:pPr>
    </w:p>
    <w:p>
      <w:pPr>
        <w:jc w:val="both"/>
        <w:ind w:firstLine="656"/>
        <w:spacing w:after="0" w:line="262" w:lineRule="auto"/>
        <w:tabs>
          <w:tab w:leader="none" w:pos="1296"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means Executive has been unable to engage in any substantial gainful activity by reason of any medically determinable physical or mental impairment that can be expected to result in death or can be expected to last for a continuous period of not less than twelve (12) months. Whether Executive is Disabled shall be determined by a qualified medical provider selected by the Company. Alternatively, Executive will be deemed Disabled if determined to be totally disabled by the Social Security Administration. Termination of employment resulting from Disability may only be effected after at least thirty</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44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written notice by the Company to Executive of Company’s intention to terminate Executive’s employment due to Disability. In the event that Executive resumes the performance of substantially all of his or her duties hereunder before his or her termination becomes effective,</w:t>
      </w:r>
    </w:p>
    <w:p>
      <w:pPr>
        <w:sectPr>
          <w:pgSz w:w="11900" w:h="16838" w:orient="portrait"/>
          <w:cols w:equalWidth="0" w:num="1">
            <w:col w:w="11240"/>
          </w:cols>
          <w:pgMar w:left="320" w:top="1440" w:right="339" w:bottom="1440" w:gutter="0" w:footer="0" w:header="0"/>
        </w:sectPr>
      </w:pPr>
    </w:p>
    <w:bookmarkStart w:id="176" w:name="page177"/>
    <w:bookmarkEnd w:id="176"/>
    <w:p>
      <w:pPr>
        <w:jc w:val="both"/>
        <w:spacing w:after="0" w:line="268" w:lineRule="auto"/>
        <w:rPr>
          <w:sz w:val="20"/>
          <w:szCs w:val="20"/>
          <w:color w:val="auto"/>
        </w:rPr>
      </w:pPr>
      <w:r>
        <w:rPr>
          <w:rFonts w:ascii="Times New Roman" w:cs="Times New Roman" w:eastAsia="Times New Roman" w:hAnsi="Times New Roman"/>
          <w:sz w:val="21"/>
          <w:szCs w:val="21"/>
          <w:color w:val="auto"/>
        </w:rPr>
        <w:t>the notice of intent to terminate based on Disability will automatically be deemed to have been revoked. In conjunction with determining Disability for purposes of this Agreement, Executive hereby (i) consents to any such examinations, to be performed by a qualified medical provider selected by the Company and approved by the Executive (which approval shall not be unreasonably withheld), which are relevant to a determination of whether Executive has incurred a Disability; and (ii) agrees to furnish to the qualified medical provider selected by the Company such medical information as may be reasonably requested.</w:t>
      </w:r>
    </w:p>
    <w:p>
      <w:pPr>
        <w:spacing w:after="0" w:line="164" w:lineRule="exact"/>
        <w:rPr>
          <w:sz w:val="20"/>
          <w:szCs w:val="20"/>
          <w:color w:val="auto"/>
        </w:rPr>
      </w:pPr>
    </w:p>
    <w:p>
      <w:pPr>
        <w:ind w:firstLine="656"/>
        <w:spacing w:after="0" w:line="271" w:lineRule="auto"/>
        <w:tabs>
          <w:tab w:leader="none" w:pos="129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shall mean Code section 409A together with all regulation and regulatory guidance promulgated thereunder, as amended from time to time.</w:t>
      </w:r>
    </w:p>
    <w:p>
      <w:pPr>
        <w:sectPr>
          <w:pgSz w:w="11900" w:h="16838" w:orient="portrait"/>
          <w:cols w:equalWidth="0" w:num="1">
            <w:col w:w="11240"/>
          </w:cols>
          <w:pgMar w:left="320" w:top="1422"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10, 2023</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LIFE360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EXPATRIATE EMPLOYMENT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DAVID RICE</w:t>
      </w:r>
    </w:p>
    <w:p>
      <w:pPr>
        <w:spacing w:after="0" w:line="200" w:lineRule="exact"/>
        <w:rPr>
          <w:sz w:val="20"/>
          <w:szCs w:val="20"/>
          <w:color w:val="auto"/>
        </w:rPr>
      </w:pPr>
    </w:p>
    <w:p>
      <w:pPr>
        <w:spacing w:after="0" w:line="212" w:lineRule="exact"/>
        <w:rPr>
          <w:sz w:val="20"/>
          <w:szCs w:val="20"/>
          <w:color w:val="auto"/>
        </w:rPr>
      </w:pPr>
    </w:p>
    <w:p>
      <w:pPr>
        <w:ind w:left="640" w:hanging="632"/>
        <w:spacing w:after="0"/>
        <w:tabs>
          <w:tab w:leader="none" w:pos="6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Introduction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purpose of this Agreement is to define eligibility and procedures for the expatriate compensation designed for David Rice.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general intent of Life360 is to ensure fair compensation in the event of an assignment to another country.</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Expatriate Employment Agreement constitutes the entire agreement between the expatriate and Life360 for the duration of the overseas assignment and supersedes and renders void any and all prior agreements, commitments, understandings and/or representations not specifically incorporated in the Expatriate Employment Agreement. This agreement may be altered, amended or supplemented only by a written instrument signed by both the expatriate and Life360.</w:t>
      </w:r>
    </w:p>
    <w:p>
      <w:pPr>
        <w:spacing w:after="0" w:line="17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Effective on or around April 1, 2023, we have outlined below the specific expatriate compensation and relocation benefits applicable to your assignment in the UK.</w:t>
      </w:r>
    </w:p>
    <w:p>
      <w:pPr>
        <w:spacing w:after="0" w:line="158"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and Allowances</w:t>
      </w:r>
    </w:p>
    <w:p>
      <w:pPr>
        <w:spacing w:after="0" w:line="220" w:lineRule="exact"/>
        <w:rPr>
          <w:sz w:val="20"/>
          <w:szCs w:val="20"/>
          <w:color w:val="auto"/>
        </w:rPr>
      </w:pPr>
    </w:p>
    <w:p>
      <w:pPr>
        <w:ind w:left="1300" w:hanging="644"/>
        <w:spacing w:after="0"/>
        <w:tabs>
          <w:tab w:leader="none" w:pos="13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 and Bonus:</w:t>
      </w:r>
    </w:p>
    <w:p>
      <w:pPr>
        <w:spacing w:after="0" w:line="28" w:lineRule="exact"/>
        <w:rPr>
          <w:sz w:val="20"/>
          <w:szCs w:val="20"/>
          <w:color w:val="auto"/>
        </w:rPr>
      </w:pPr>
    </w:p>
    <w:p>
      <w:pPr>
        <w:ind w:left="980" w:right="420" w:hanging="324"/>
        <w:spacing w:after="0" w:line="249" w:lineRule="auto"/>
        <w:tabs>
          <w:tab w:leader="none" w:pos="975"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base salary will be a gross amount of GBP315,400 / US$380,000 per year. Any future increases to your base salary will be considered in accordance with your merit increase eligibility.</w:t>
      </w:r>
    </w:p>
    <w:p>
      <w:pPr>
        <w:spacing w:after="0" w:line="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continue to receive a gross amount of GBP83 / US$100 as a monthly remote work stipend.</w:t>
      </w:r>
    </w:p>
    <w:p>
      <w:pPr>
        <w:spacing w:after="0" w:line="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receive a monthly health allowance of BGP818.81 to offset payroll deductions.</w:t>
      </w:r>
    </w:p>
    <w:p>
      <w:pPr>
        <w:spacing w:after="0" w:line="3" w:lineRule="exact"/>
        <w:rPr>
          <w:rFonts w:ascii="Times New Roman" w:cs="Times New Roman" w:eastAsia="Times New Roman" w:hAnsi="Times New Roman"/>
          <w:sz w:val="22"/>
          <w:szCs w:val="22"/>
          <w:color w:val="auto"/>
        </w:rPr>
      </w:pPr>
    </w:p>
    <w:p>
      <w:pPr>
        <w:ind w:left="980" w:right="460" w:hanging="324"/>
        <w:spacing w:after="0" w:line="248" w:lineRule="auto"/>
        <w:tabs>
          <w:tab w:leader="none" w:pos="975"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eligible to participate in the bonus plan which provides a target bonus opportunity of 40% of the base salary.</w:t>
      </w:r>
    </w:p>
    <w:p>
      <w:pPr>
        <w:spacing w:after="0" w:line="196" w:lineRule="exact"/>
        <w:rPr>
          <w:sz w:val="20"/>
          <w:szCs w:val="20"/>
          <w:color w:val="auto"/>
        </w:rPr>
      </w:pPr>
    </w:p>
    <w:p>
      <w:pPr>
        <w:ind w:left="1300" w:hanging="644"/>
        <w:spacing w:after="0"/>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Housing Allowances:</w:t>
      </w:r>
    </w:p>
    <w:p>
      <w:pPr>
        <w:spacing w:after="0" w:line="28" w:lineRule="exact"/>
        <w:rPr>
          <w:sz w:val="20"/>
          <w:szCs w:val="20"/>
          <w:color w:val="auto"/>
        </w:rPr>
      </w:pPr>
    </w:p>
    <w:p>
      <w:pPr>
        <w:ind w:left="980" w:hanging="324"/>
        <w:spacing w:after="0"/>
        <w:tabs>
          <w:tab w:leader="none" w:pos="98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you are on assignment, you will be provided a monthly housing allowance at GBP5,000 / US$6,024 (after-tax).</w:t>
      </w:r>
    </w:p>
    <w:p>
      <w:pPr>
        <w:spacing w:after="0" w:line="207" w:lineRule="exact"/>
        <w:rPr>
          <w:sz w:val="20"/>
          <w:szCs w:val="20"/>
          <w:color w:val="auto"/>
        </w:rPr>
      </w:pPr>
    </w:p>
    <w:p>
      <w:pPr>
        <w:ind w:left="1300" w:hanging="644"/>
        <w:spacing w:after="0"/>
        <w:tabs>
          <w:tab w:leader="none" w:pos="13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 Plans:</w:t>
      </w:r>
    </w:p>
    <w:p>
      <w:pPr>
        <w:spacing w:after="0" w:line="28" w:lineRule="exact"/>
        <w:rPr>
          <w:sz w:val="20"/>
          <w:szCs w:val="20"/>
          <w:color w:val="auto"/>
        </w:rPr>
      </w:pPr>
    </w:p>
    <w:p>
      <w:pPr>
        <w:ind w:left="980" w:right="560" w:hanging="324"/>
        <w:spacing w:after="0" w:line="248" w:lineRule="auto"/>
        <w:tabs>
          <w:tab w:leader="none" w:pos="975"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on assignment in the UK, you will be eligible to participate in the health insurance plan offered by Oyster (PEO) that provides coverage in the UK.</w:t>
      </w:r>
    </w:p>
    <w:p>
      <w:pPr>
        <w:sectPr>
          <w:pgSz w:w="11900" w:h="16838" w:orient="portrait"/>
          <w:cols w:equalWidth="0" w:num="1">
            <w:col w:w="11240"/>
          </w:cols>
          <w:pgMar w:left="320" w:top="122" w:right="339" w:bottom="1440" w:gutter="0" w:footer="0" w:header="0"/>
        </w:sectPr>
      </w:pPr>
    </w:p>
    <w:bookmarkStart w:id="178" w:name="page179"/>
    <w:bookmarkEnd w:id="178"/>
    <w:p>
      <w:pPr>
        <w:spacing w:after="0" w:line="171" w:lineRule="exact"/>
        <w:rPr>
          <w:sz w:val="20"/>
          <w:szCs w:val="20"/>
          <w:color w:val="auto"/>
        </w:rPr>
      </w:pPr>
    </w:p>
    <w:p>
      <w:pPr>
        <w:ind w:left="1300" w:hanging="644"/>
        <w:spacing w:after="0"/>
        <w:tabs>
          <w:tab w:leader="none" w:pos="13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Currency Exchange:</w:t>
      </w:r>
    </w:p>
    <w:p>
      <w:pPr>
        <w:spacing w:after="0" w:line="29" w:lineRule="exact"/>
        <w:rPr>
          <w:sz w:val="20"/>
          <w:szCs w:val="20"/>
          <w:color w:val="auto"/>
        </w:rPr>
      </w:pPr>
    </w:p>
    <w:p>
      <w:pPr>
        <w:ind w:left="980" w:hanging="324"/>
        <w:spacing w:after="0" w:line="248" w:lineRule="auto"/>
        <w:tabs>
          <w:tab w:leader="none" w:pos="975"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currency conversion rates will be reviewed and applied semi-annually (January and July). You will be notified of any changes in writing.</w:t>
      </w:r>
    </w:p>
    <w:p>
      <w:pPr>
        <w:spacing w:after="0" w:line="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January 2, 2023, the currency exchange rate that will be used for this purpose is:</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GBP0.83 = US$1</w:t>
      </w:r>
    </w:p>
    <w:p>
      <w:pPr>
        <w:spacing w:after="0" w:line="220" w:lineRule="exact"/>
        <w:rPr>
          <w:sz w:val="20"/>
          <w:szCs w:val="20"/>
          <w:color w:val="auto"/>
        </w:rPr>
      </w:pPr>
    </w:p>
    <w:p>
      <w:pPr>
        <w:ind w:left="660" w:hanging="652"/>
        <w:spacing w:after="0"/>
        <w:tabs>
          <w:tab w:leader="none" w:pos="6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Equalization</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ensure this, the company will support your annual tax returns and process of US Tax Equalization.</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96"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Equalization is designed to continue a rate of income tax withholding from your US payroll that is equal to the rate that would have been withheld had you remained in the US. Your tax obligation is, thus, satisfied and the company takes full responsibility for payment of your income tax obligation in the US as well as in the UK.</w:t>
      </w:r>
    </w:p>
    <w:p>
      <w:pPr>
        <w:spacing w:after="0" w:line="172" w:lineRule="exact"/>
        <w:rPr>
          <w:rFonts w:ascii="Times New Roman" w:cs="Times New Roman" w:eastAsia="Times New Roman" w:hAnsi="Times New Roman"/>
          <w:sz w:val="22"/>
          <w:szCs w:val="22"/>
          <w:color w:val="auto"/>
        </w:rPr>
      </w:pPr>
    </w:p>
    <w:p>
      <w:pPr>
        <w:ind w:left="1300" w:hanging="644"/>
        <w:spacing w:after="0" w:line="255" w:lineRule="auto"/>
        <w:tabs>
          <w:tab w:leader="none" w:pos="1296"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additional income tax liability you incur, if any, that is attributable to the following will be “grossed-up” and will therefore not be included in your tax-equalized obligations:</w:t>
      </w:r>
    </w:p>
    <w:p>
      <w:pPr>
        <w:spacing w:after="0" w:line="1" w:lineRule="exact"/>
        <w:rPr>
          <w:sz w:val="20"/>
          <w:szCs w:val="20"/>
          <w:color w:val="auto"/>
        </w:rPr>
      </w:pPr>
    </w:p>
    <w:p>
      <w:pPr>
        <w:ind w:left="980" w:hanging="324"/>
        <w:spacing w:after="0"/>
        <w:tabs>
          <w:tab w:leader="none" w:pos="98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 –deductible, company-paid relocation expenses;</w:t>
      </w:r>
    </w:p>
    <w:p>
      <w:pPr>
        <w:spacing w:after="0" w:line="1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Company-paid home leave or emergency travel expenses;</w:t>
      </w:r>
    </w:p>
    <w:p>
      <w:pPr>
        <w:spacing w:after="0" w:line="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Company-paid health insurance premiums for coverage in Europe;</w:t>
      </w:r>
    </w:p>
    <w:p>
      <w:pPr>
        <w:spacing w:after="0" w:line="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Home management fees and reimbursements for home owner’s insurance premiums;</w:t>
      </w:r>
    </w:p>
    <w:p>
      <w:pPr>
        <w:spacing w:after="0" w:line="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tax preparation;</w:t>
      </w:r>
    </w:p>
    <w:p>
      <w:pPr>
        <w:spacing w:after="0" w:line="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Host housing assistance;</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color w:val="auto"/>
        </w:rPr>
        <w:t>Relocation:</w:t>
      </w:r>
    </w:p>
    <w:p>
      <w:pPr>
        <w:spacing w:after="0" w:line="220" w:lineRule="exact"/>
        <w:rPr>
          <w:sz w:val="20"/>
          <w:szCs w:val="20"/>
          <w:color w:val="auto"/>
        </w:rPr>
      </w:pPr>
    </w:p>
    <w:p>
      <w:pPr>
        <w:ind w:left="1300" w:hanging="644"/>
        <w:spacing w:after="0"/>
        <w:tabs>
          <w:tab w:leader="none" w:pos="13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Familiarization Trip:</w:t>
      </w:r>
    </w:p>
    <w:p>
      <w:pPr>
        <w:spacing w:after="0" w:line="28" w:lineRule="exact"/>
        <w:rPr>
          <w:sz w:val="20"/>
          <w:szCs w:val="20"/>
          <w:color w:val="auto"/>
        </w:rPr>
      </w:pPr>
    </w:p>
    <w:p>
      <w:pPr>
        <w:ind w:left="980" w:right="20" w:hanging="324"/>
        <w:spacing w:after="0" w:line="248" w:lineRule="auto"/>
        <w:tabs>
          <w:tab w:leader="none" w:pos="975"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that you can ensure that the proper residence is located, one trip to the host country will be permitted for a period not to exceed one week. This trip could be in conjunction with a business trip.</w:t>
      </w:r>
    </w:p>
    <w:p>
      <w:pPr>
        <w:spacing w:after="0" w:line="195"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Miscellaneous Assistance</w:t>
      </w:r>
    </w:p>
    <w:p>
      <w:pPr>
        <w:spacing w:after="0" w:line="220" w:lineRule="exact"/>
        <w:rPr>
          <w:sz w:val="20"/>
          <w:szCs w:val="20"/>
          <w:color w:val="auto"/>
        </w:rPr>
      </w:pPr>
    </w:p>
    <w:p>
      <w:pPr>
        <w:ind w:left="1300" w:hanging="644"/>
        <w:spacing w:after="0"/>
        <w:tabs>
          <w:tab w:leader="none" w:pos="130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Visas and Work Permits:</w:t>
      </w:r>
    </w:p>
    <w:p>
      <w:pPr>
        <w:spacing w:after="0" w:line="28" w:lineRule="exact"/>
        <w:rPr>
          <w:sz w:val="20"/>
          <w:szCs w:val="20"/>
          <w:color w:val="auto"/>
        </w:rPr>
      </w:pPr>
    </w:p>
    <w:p>
      <w:pPr>
        <w:ind w:left="980" w:hanging="324"/>
        <w:spacing w:after="0" w:line="243" w:lineRule="auto"/>
        <w:tabs>
          <w:tab w:leader="none" w:pos="975"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Oyster (PEO) will provide all legal services required to comply with UK immigration, labor and employment laws prior to your entry into the region.</w:t>
      </w:r>
    </w:p>
    <w:p>
      <w:pPr>
        <w:ind w:left="980" w:hanging="324"/>
        <w:spacing w:after="0" w:line="248" w:lineRule="auto"/>
        <w:tabs>
          <w:tab w:leader="none" w:pos="975"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Oyster (PEO) will secure all appropriate visa and temporary work permits required for your legal employment as an expatriate in Europe.</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VI.</w:t>
      </w:r>
      <w:r>
        <w:rPr>
          <w:sz w:val="20"/>
          <w:szCs w:val="20"/>
          <w:color w:val="auto"/>
        </w:rPr>
        <w:tab/>
      </w:r>
      <w:r>
        <w:rPr>
          <w:rFonts w:ascii="Times New Roman" w:cs="Times New Roman" w:eastAsia="Times New Roman" w:hAnsi="Times New Roman"/>
          <w:sz w:val="22"/>
          <w:szCs w:val="22"/>
          <w:color w:val="auto"/>
        </w:rPr>
        <w:t>Host Country Work Arrangement</w:t>
      </w:r>
    </w:p>
    <w:p>
      <w:pPr>
        <w:spacing w:after="0" w:line="233" w:lineRule="exact"/>
        <w:rPr>
          <w:sz w:val="20"/>
          <w:szCs w:val="20"/>
          <w:color w:val="auto"/>
        </w:rPr>
      </w:pPr>
    </w:p>
    <w:p>
      <w:pPr>
        <w:ind w:left="1300" w:hanging="644"/>
        <w:spacing w:after="0"/>
        <w:tabs>
          <w:tab w:leader="none" w:pos="13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Home Leave:</w:t>
      </w:r>
    </w:p>
    <w:p>
      <w:pPr>
        <w:spacing w:after="0" w:line="28" w:lineRule="exact"/>
        <w:rPr>
          <w:sz w:val="20"/>
          <w:szCs w:val="20"/>
          <w:color w:val="auto"/>
        </w:rPr>
      </w:pPr>
    </w:p>
    <w:p>
      <w:pPr>
        <w:ind w:left="980" w:hanging="324"/>
        <w:spacing w:after="0" w:line="243" w:lineRule="auto"/>
        <w:tabs>
          <w:tab w:leader="none" w:pos="975"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your assignment, the company will pay for business class airfare, ground transportation, and rental car expenses for you and your family for two home leave trips to the US annually.</w:t>
      </w:r>
    </w:p>
    <w:p>
      <w:pPr>
        <w:ind w:left="980" w:hanging="324"/>
        <w:spacing w:after="0"/>
        <w:tabs>
          <w:tab w:leader="none" w:pos="98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home leave expenses other than those specifically outlined above will be borne by you.</w:t>
      </w:r>
    </w:p>
    <w:p>
      <w:pPr>
        <w:spacing w:after="0" w:line="196" w:lineRule="exact"/>
        <w:rPr>
          <w:sz w:val="20"/>
          <w:szCs w:val="20"/>
          <w:color w:val="auto"/>
        </w:rPr>
      </w:pPr>
    </w:p>
    <w:p>
      <w:pPr>
        <w:ind w:left="1300" w:hanging="644"/>
        <w:spacing w:after="0"/>
        <w:tabs>
          <w:tab w:leader="none" w:pos="13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Holidays:</w:t>
      </w:r>
    </w:p>
    <w:p>
      <w:pPr>
        <w:spacing w:after="0" w:line="29" w:lineRule="exact"/>
        <w:rPr>
          <w:sz w:val="20"/>
          <w:szCs w:val="20"/>
          <w:color w:val="auto"/>
        </w:rPr>
      </w:pPr>
    </w:p>
    <w:p>
      <w:pPr>
        <w:ind w:left="980" w:hanging="324"/>
        <w:spacing w:after="0"/>
        <w:tabs>
          <w:tab w:leader="none" w:pos="98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Paid holidays shall be observed in accordance with declared legal and customary holidays in the UK.</w:t>
      </w:r>
    </w:p>
    <w:p>
      <w:pPr>
        <w:spacing w:after="0" w:line="207" w:lineRule="exact"/>
        <w:rPr>
          <w:sz w:val="20"/>
          <w:szCs w:val="20"/>
          <w:color w:val="auto"/>
        </w:rPr>
      </w:pPr>
    </w:p>
    <w:p>
      <w:pPr>
        <w:ind w:left="1300" w:hanging="644"/>
        <w:spacing w:after="0"/>
        <w:tabs>
          <w:tab w:leader="none" w:pos="130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Vacations:</w:t>
      </w:r>
    </w:p>
    <w:p>
      <w:pPr>
        <w:spacing w:after="0" w:line="28" w:lineRule="exact"/>
        <w:rPr>
          <w:sz w:val="20"/>
          <w:szCs w:val="20"/>
          <w:color w:val="auto"/>
        </w:rPr>
      </w:pPr>
    </w:p>
    <w:p>
      <w:pPr>
        <w:ind w:left="980" w:hanging="324"/>
        <w:spacing w:after="0"/>
        <w:tabs>
          <w:tab w:leader="none" w:pos="9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you are on assignment, Life360 flexible PTO policy is applied.</w:t>
      </w:r>
    </w:p>
    <w:p>
      <w:pPr>
        <w:spacing w:after="0" w:line="196" w:lineRule="exact"/>
        <w:rPr>
          <w:sz w:val="20"/>
          <w:szCs w:val="20"/>
          <w:color w:val="auto"/>
        </w:rPr>
      </w:pPr>
    </w:p>
    <w:p>
      <w:pPr>
        <w:ind w:left="1300" w:hanging="644"/>
        <w:spacing w:after="0"/>
        <w:tabs>
          <w:tab w:leader="none" w:pos="130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Emergencies:</w:t>
      </w:r>
    </w:p>
    <w:p>
      <w:pPr>
        <w:spacing w:after="0" w:line="28" w:lineRule="exact"/>
        <w:rPr>
          <w:sz w:val="20"/>
          <w:szCs w:val="20"/>
          <w:color w:val="auto"/>
        </w:rPr>
      </w:pPr>
    </w:p>
    <w:p>
      <w:pPr>
        <w:ind w:left="980" w:hanging="324"/>
        <w:spacing w:after="0" w:line="248" w:lineRule="auto"/>
        <w:tabs>
          <w:tab w:leader="none" w:pos="975"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return trips to the US that are required due to medical emergencies or other compelling personal reasons will be paid by the company.</w:t>
      </w:r>
    </w:p>
    <w:p>
      <w:pPr>
        <w:spacing w:after="0" w:line="19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VII.</w:t>
        <w:tab/>
        <w:t>Repatriation</w:t>
      </w:r>
    </w:p>
    <w:p>
      <w:pPr>
        <w:spacing w:after="0" w:line="220" w:lineRule="exact"/>
        <w:rPr>
          <w:sz w:val="20"/>
          <w:szCs w:val="20"/>
          <w:color w:val="auto"/>
        </w:rPr>
      </w:pPr>
    </w:p>
    <w:p>
      <w:pPr>
        <w:ind w:left="1300" w:hanging="644"/>
        <w:spacing w:after="0"/>
        <w:tabs>
          <w:tab w:leader="none" w:pos="13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Duration:</w:t>
      </w:r>
    </w:p>
    <w:p>
      <w:pPr>
        <w:spacing w:after="0" w:line="28" w:lineRule="exact"/>
        <w:rPr>
          <w:sz w:val="20"/>
          <w:szCs w:val="20"/>
          <w:color w:val="auto"/>
        </w:rPr>
      </w:pPr>
    </w:p>
    <w:p>
      <w:pPr>
        <w:ind w:left="980" w:hanging="324"/>
        <w:spacing w:after="0" w:line="243" w:lineRule="auto"/>
        <w:tabs>
          <w:tab w:leader="none" w:pos="97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your assignment in the UK, the benefits, terms and conditions of your assignment will be defined by this agreement, as amended from time to time.</w:t>
      </w:r>
    </w:p>
    <w:p>
      <w:pPr>
        <w:jc w:val="both"/>
        <w:ind w:left="980" w:hanging="324"/>
        <w:spacing w:after="0" w:line="252" w:lineRule="auto"/>
        <w:tabs>
          <w:tab w:leader="none" w:pos="97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end of your assignment, the company will extend its best effort to re-assign you to a position comparable in standing and in compensation to that held during your overseas assignment, although no such re-assignment is guaranteed under this or any other company program.</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VIII.</w:t>
      </w:r>
      <w:r>
        <w:rPr>
          <w:sz w:val="20"/>
          <w:szCs w:val="20"/>
          <w:color w:val="auto"/>
        </w:rPr>
        <w:tab/>
      </w:r>
      <w:r>
        <w:rPr>
          <w:rFonts w:ascii="Times New Roman" w:cs="Times New Roman" w:eastAsia="Times New Roman" w:hAnsi="Times New Roman"/>
          <w:sz w:val="21"/>
          <w:szCs w:val="21"/>
          <w:color w:val="auto"/>
        </w:rPr>
        <w:t>Termination and Miscellaneous Provisions</w:t>
      </w:r>
    </w:p>
    <w:p>
      <w:pPr>
        <w:spacing w:after="0" w:line="220" w:lineRule="exact"/>
        <w:rPr>
          <w:sz w:val="20"/>
          <w:szCs w:val="20"/>
          <w:color w:val="auto"/>
        </w:rPr>
      </w:pPr>
    </w:p>
    <w:p>
      <w:pPr>
        <w:ind w:left="1300" w:hanging="644"/>
        <w:spacing w:after="0"/>
        <w:tabs>
          <w:tab w:leader="none" w:pos="130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Resignation:</w:t>
      </w:r>
    </w:p>
    <w:p>
      <w:pPr>
        <w:spacing w:after="0" w:line="28" w:lineRule="exact"/>
        <w:rPr>
          <w:sz w:val="20"/>
          <w:szCs w:val="20"/>
          <w:color w:val="auto"/>
        </w:rPr>
      </w:pPr>
    </w:p>
    <w:p>
      <w:pPr>
        <w:jc w:val="both"/>
        <w:ind w:left="980" w:hanging="324"/>
        <w:spacing w:after="0" w:line="247" w:lineRule="auto"/>
        <w:tabs>
          <w:tab w:leader="none" w:pos="975"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you voluntarily resign your position, all benefits under this program and any other company policy including but not limited to benefit plans, arrangements, and relocation benefits will cease to be effective as of your termination date. No assistance will be provided for relocating back to the home location. Company-sponsored work permits/visas will be terminated on the last day of your employment. Additionally, if it is within the first year of your assignment start or end date, you will repay Life360 100% of the relocation, immigration, and tax related expenses incurred by Life360 on your behalf. If it is within 13 to 18 months of your assignment start or end date, you will repay Life360 50% of those expenses. This repayment agreement applies if you resign your position or are terminated for a criminal or dishonest act or a violation of the Life360 Code of Business Conduct. Should you resign and not become employed by the time you are required to file your tax returns, the company</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71" w:lineRule="exact"/>
        <w:rPr>
          <w:sz w:val="20"/>
          <w:szCs w:val="20"/>
          <w:color w:val="auto"/>
        </w:rPr>
      </w:pPr>
    </w:p>
    <w:p>
      <w:pPr>
        <w:jc w:val="both"/>
        <w:ind w:left="980"/>
        <w:spacing w:after="0" w:line="263" w:lineRule="auto"/>
        <w:rPr>
          <w:sz w:val="20"/>
          <w:szCs w:val="20"/>
          <w:color w:val="auto"/>
        </w:rPr>
      </w:pPr>
      <w:r>
        <w:rPr>
          <w:rFonts w:ascii="Times New Roman" w:cs="Times New Roman" w:eastAsia="Times New Roman" w:hAnsi="Times New Roman"/>
          <w:sz w:val="22"/>
          <w:szCs w:val="22"/>
          <w:color w:val="auto"/>
        </w:rPr>
        <w:t>will still provide tax return assistance to perform the process of US Tax Equalization and prepare your annual income tax returns, and you will not be required to reimburse the Company for expenses previously paid for this specific activity.</w:t>
      </w:r>
    </w:p>
    <w:p>
      <w:pPr>
        <w:spacing w:after="0" w:line="167" w:lineRule="exact"/>
        <w:rPr>
          <w:sz w:val="20"/>
          <w:szCs w:val="20"/>
          <w:color w:val="auto"/>
        </w:rPr>
      </w:pPr>
    </w:p>
    <w:p>
      <w:pPr>
        <w:ind w:left="1300" w:hanging="644"/>
        <w:spacing w:after="0"/>
        <w:tabs>
          <w:tab w:leader="none" w:pos="130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Employment by the Company:</w:t>
      </w:r>
    </w:p>
    <w:p>
      <w:pPr>
        <w:spacing w:after="0" w:line="28" w:lineRule="exact"/>
        <w:rPr>
          <w:sz w:val="20"/>
          <w:szCs w:val="20"/>
          <w:color w:val="auto"/>
        </w:rPr>
      </w:pPr>
    </w:p>
    <w:p>
      <w:pPr>
        <w:jc w:val="both"/>
        <w:ind w:left="980" w:hanging="324"/>
        <w:spacing w:after="0" w:line="246" w:lineRule="auto"/>
        <w:tabs>
          <w:tab w:leader="none" w:pos="97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company terminate your employment for cause (criminal or dishonest act or violation of the Life360 Code of Business Conduct) while on this assignment, all benefits under this Program and any other company policy including but not limited to benefit plans, arrangements, and relocation benefits will cease to be effective as of your termination date.</w:t>
      </w:r>
    </w:p>
    <w:p>
      <w:pPr>
        <w:spacing w:after="0" w:line="2" w:lineRule="exact"/>
        <w:rPr>
          <w:rFonts w:ascii="Times New Roman" w:cs="Times New Roman" w:eastAsia="Times New Roman" w:hAnsi="Times New Roman"/>
          <w:sz w:val="22"/>
          <w:szCs w:val="22"/>
          <w:color w:val="auto"/>
        </w:rPr>
      </w:pPr>
    </w:p>
    <w:p>
      <w:pPr>
        <w:ind w:left="980" w:right="20" w:hanging="324"/>
        <w:spacing w:after="0" w:line="248" w:lineRule="auto"/>
        <w:tabs>
          <w:tab w:leader="none" w:pos="97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Subjects that are not covered in this agreement will be governed by provisions contained in the original US employment contract.</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IX.</w:t>
      </w:r>
      <w:r>
        <w:rPr>
          <w:sz w:val="20"/>
          <w:szCs w:val="20"/>
          <w:color w:val="auto"/>
        </w:rPr>
        <w:tab/>
      </w:r>
      <w:r>
        <w:rPr>
          <w:rFonts w:ascii="Times New Roman" w:cs="Times New Roman" w:eastAsia="Times New Roman" w:hAnsi="Times New Roman"/>
          <w:sz w:val="22"/>
          <w:szCs w:val="22"/>
          <w:color w:val="auto"/>
        </w:rPr>
        <w:t>Approvals</w:t>
      </w:r>
    </w:p>
    <w:p>
      <w:pPr>
        <w:spacing w:after="0" w:line="220" w:lineRule="exact"/>
        <w:rPr>
          <w:sz w:val="20"/>
          <w:szCs w:val="20"/>
          <w:color w:val="auto"/>
        </w:rPr>
      </w:pPr>
    </w:p>
    <w:p>
      <w:pPr>
        <w:ind w:right="3220"/>
        <w:spacing w:after="0" w:line="284" w:lineRule="auto"/>
        <w:rPr>
          <w:sz w:val="20"/>
          <w:szCs w:val="20"/>
          <w:color w:val="auto"/>
        </w:rPr>
      </w:pPr>
      <w:r>
        <w:rPr>
          <w:rFonts w:ascii="Times New Roman" w:cs="Times New Roman" w:eastAsia="Times New Roman" w:hAnsi="Times New Roman"/>
          <w:sz w:val="22"/>
          <w:szCs w:val="22"/>
          <w:color w:val="auto"/>
        </w:rPr>
        <w:t>Your acceptance and approval of this program and the terms herein are acknowledged by the signatures below.</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Heather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2344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Heather Houston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People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David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9220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92202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Rice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GM, International and Chief Strategy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ectPr>
          <w:pgSz w:w="11900" w:h="16838" w:orient="portrait"/>
          <w:cols w:equalWidth="0" w:num="1">
            <w:col w:w="11240"/>
          </w:cols>
          <w:pgMar w:left="320" w:top="1440"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 Hulls, certify that:</w:t>
      </w:r>
    </w:p>
    <w:p>
      <w:pPr>
        <w:spacing w:after="0" w:line="185" w:lineRule="exact"/>
        <w:rPr>
          <w:sz w:val="20"/>
          <w:szCs w:val="20"/>
          <w:color w:val="auto"/>
        </w:rPr>
      </w:pPr>
    </w:p>
    <w:p>
      <w:pPr>
        <w:ind w:left="320" w:hanging="312"/>
        <w:spacing w:after="0"/>
        <w:tabs>
          <w:tab w:leader="none" w:pos="3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Life360, Inc. (the “registrant”);</w:t>
      </w:r>
    </w:p>
    <w:p>
      <w:pPr>
        <w:spacing w:after="0" w:line="198" w:lineRule="exact"/>
        <w:rPr>
          <w:rFonts w:ascii="Times New Roman" w:cs="Times New Roman" w:eastAsia="Times New Roman" w:hAnsi="Times New Roman"/>
          <w:sz w:val="18"/>
          <w:szCs w:val="18"/>
          <w:color w:val="auto"/>
        </w:rPr>
      </w:pPr>
    </w:p>
    <w:p>
      <w:pPr>
        <w:jc w:val="both"/>
        <w:ind w:left="280" w:hanging="272"/>
        <w:spacing w:after="0" w:line="226" w:lineRule="auto"/>
        <w:tabs>
          <w:tab w:leader="none" w:pos="38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Times New Roman" w:cs="Times New Roman" w:eastAsia="Times New Roman" w:hAnsi="Times New Roman"/>
          <w:sz w:val="18"/>
          <w:szCs w:val="18"/>
          <w:color w:val="auto"/>
        </w:rPr>
      </w:pPr>
    </w:p>
    <w:p>
      <w:pPr>
        <w:ind w:left="280" w:hanging="272"/>
        <w:spacing w:after="0" w:line="237" w:lineRule="auto"/>
        <w:tabs>
          <w:tab w:leader="none" w:pos="39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jc w:val="both"/>
        <w:ind w:left="280" w:hanging="272"/>
        <w:spacing w:after="0" w:line="231" w:lineRule="auto"/>
        <w:tabs>
          <w:tab w:leader="none" w:pos="43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rFonts w:ascii="Times New Roman" w:cs="Times New Roman" w:eastAsia="Times New Roman" w:hAnsi="Times New Roman"/>
          <w:sz w:val="18"/>
          <w:szCs w:val="18"/>
          <w:color w:val="auto"/>
        </w:rPr>
      </w:pPr>
    </w:p>
    <w:p>
      <w:pPr>
        <w:jc w:val="both"/>
        <w:ind w:left="900" w:hanging="244"/>
        <w:spacing w:after="0" w:line="231" w:lineRule="auto"/>
        <w:tabs>
          <w:tab w:leader="none" w:pos="977"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8"/>
          <w:szCs w:val="18"/>
          <w:color w:val="auto"/>
        </w:rPr>
      </w:pPr>
    </w:p>
    <w:p>
      <w:pPr>
        <w:jc w:val="both"/>
        <w:ind w:left="900" w:hanging="244"/>
        <w:spacing w:after="0" w:line="231" w:lineRule="auto"/>
        <w:tabs>
          <w:tab w:leader="none" w:pos="1053"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8"/>
          <w:szCs w:val="18"/>
          <w:color w:val="auto"/>
        </w:rPr>
      </w:pPr>
    </w:p>
    <w:p>
      <w:pPr>
        <w:ind w:left="900" w:hanging="244"/>
        <w:spacing w:after="0" w:line="250" w:lineRule="auto"/>
        <w:tabs>
          <w:tab w:leader="none" w:pos="1073"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jc w:val="both"/>
        <w:ind w:left="900" w:hanging="244"/>
        <w:spacing w:after="0" w:line="231" w:lineRule="auto"/>
        <w:tabs>
          <w:tab w:leader="none" w:pos="98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8" w:lineRule="exact"/>
        <w:rPr>
          <w:rFonts w:ascii="Times New Roman" w:cs="Times New Roman" w:eastAsia="Times New Roman" w:hAnsi="Times New Roman"/>
          <w:sz w:val="18"/>
          <w:szCs w:val="18"/>
          <w:color w:val="auto"/>
        </w:rPr>
      </w:pPr>
    </w:p>
    <w:p>
      <w:pPr>
        <w:ind w:left="280" w:hanging="272"/>
        <w:spacing w:after="0" w:line="237" w:lineRule="auto"/>
        <w:tabs>
          <w:tab w:leader="none" w:pos="37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Times New Roman" w:cs="Times New Roman" w:eastAsia="Times New Roman" w:hAnsi="Times New Roman"/>
          <w:sz w:val="18"/>
          <w:szCs w:val="18"/>
          <w:color w:val="auto"/>
        </w:rPr>
      </w:pPr>
    </w:p>
    <w:p>
      <w:pPr>
        <w:ind w:left="900" w:hanging="244"/>
        <w:spacing w:after="0" w:line="237" w:lineRule="auto"/>
        <w:tabs>
          <w:tab w:leader="none" w:pos="11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color w:val="auto"/>
        </w:rPr>
      </w:pPr>
    </w:p>
    <w:p>
      <w:pPr>
        <w:ind w:left="900" w:hanging="244"/>
        <w:spacing w:after="0" w:line="250" w:lineRule="auto"/>
        <w:tabs>
          <w:tab w:leader="none" w:pos="1049"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ind w:left="20"/>
        <w:spacing w:after="0"/>
        <w:tabs>
          <w:tab w:leader="none" w:pos="920" w:val="left"/>
          <w:tab w:leader="none" w:pos="590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4517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Chris Hulls</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914"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Burke, certify that:</w:t>
      </w:r>
    </w:p>
    <w:p>
      <w:pPr>
        <w:spacing w:after="0" w:line="198" w:lineRule="exact"/>
        <w:rPr>
          <w:sz w:val="20"/>
          <w:szCs w:val="20"/>
          <w:color w:val="auto"/>
        </w:rPr>
      </w:pPr>
    </w:p>
    <w:p>
      <w:pPr>
        <w:ind w:left="320" w:hanging="312"/>
        <w:spacing w:after="0"/>
        <w:tabs>
          <w:tab w:leader="none" w:pos="3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Life360, Inc. (the “registrant”);</w:t>
      </w:r>
    </w:p>
    <w:p>
      <w:pPr>
        <w:spacing w:after="0" w:line="184" w:lineRule="exact"/>
        <w:rPr>
          <w:rFonts w:ascii="Times New Roman" w:cs="Times New Roman" w:eastAsia="Times New Roman" w:hAnsi="Times New Roman"/>
          <w:sz w:val="18"/>
          <w:szCs w:val="18"/>
          <w:color w:val="auto"/>
        </w:rPr>
      </w:pPr>
    </w:p>
    <w:p>
      <w:pPr>
        <w:jc w:val="both"/>
        <w:ind w:left="280" w:hanging="272"/>
        <w:spacing w:after="0" w:line="231" w:lineRule="auto"/>
        <w:tabs>
          <w:tab w:leader="none" w:pos="38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280" w:hanging="272"/>
        <w:spacing w:after="0" w:line="237" w:lineRule="auto"/>
        <w:tabs>
          <w:tab w:leader="none" w:pos="39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8"/>
          <w:szCs w:val="18"/>
          <w:color w:val="auto"/>
        </w:rPr>
      </w:pPr>
    </w:p>
    <w:p>
      <w:pPr>
        <w:jc w:val="both"/>
        <w:ind w:left="280" w:hanging="272"/>
        <w:spacing w:after="0" w:line="226" w:lineRule="auto"/>
        <w:tabs>
          <w:tab w:leader="none" w:pos="43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jc w:val="both"/>
        <w:ind w:left="900" w:hanging="244"/>
        <w:spacing w:after="0" w:line="226" w:lineRule="auto"/>
        <w:tabs>
          <w:tab w:leader="none" w:pos="977"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Times New Roman" w:cs="Times New Roman" w:eastAsia="Times New Roman" w:hAnsi="Times New Roman"/>
          <w:sz w:val="18"/>
          <w:szCs w:val="18"/>
          <w:color w:val="auto"/>
        </w:rPr>
      </w:pPr>
    </w:p>
    <w:p>
      <w:pPr>
        <w:jc w:val="both"/>
        <w:ind w:left="900" w:hanging="244"/>
        <w:spacing w:after="0" w:line="226" w:lineRule="auto"/>
        <w:tabs>
          <w:tab w:leader="none" w:pos="1053"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8"/>
          <w:szCs w:val="18"/>
          <w:color w:val="auto"/>
        </w:rPr>
      </w:pPr>
    </w:p>
    <w:p>
      <w:pPr>
        <w:ind w:left="900" w:hanging="244"/>
        <w:spacing w:after="0" w:line="250" w:lineRule="auto"/>
        <w:tabs>
          <w:tab w:leader="none" w:pos="1073"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jc w:val="both"/>
        <w:ind w:left="900" w:hanging="244"/>
        <w:spacing w:after="0" w:line="231" w:lineRule="auto"/>
        <w:tabs>
          <w:tab w:leader="none" w:pos="98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8" w:lineRule="exact"/>
        <w:rPr>
          <w:rFonts w:ascii="Times New Roman" w:cs="Times New Roman" w:eastAsia="Times New Roman" w:hAnsi="Times New Roman"/>
          <w:sz w:val="18"/>
          <w:szCs w:val="18"/>
          <w:color w:val="auto"/>
        </w:rPr>
      </w:pPr>
    </w:p>
    <w:p>
      <w:pPr>
        <w:ind w:left="280" w:hanging="272"/>
        <w:spacing w:after="0" w:line="237" w:lineRule="auto"/>
        <w:tabs>
          <w:tab w:leader="none" w:pos="37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Times New Roman" w:cs="Times New Roman" w:eastAsia="Times New Roman" w:hAnsi="Times New Roman"/>
          <w:sz w:val="18"/>
          <w:szCs w:val="18"/>
          <w:color w:val="auto"/>
        </w:rPr>
      </w:pPr>
    </w:p>
    <w:p>
      <w:pPr>
        <w:ind w:left="900" w:hanging="244"/>
        <w:spacing w:after="0" w:line="237" w:lineRule="auto"/>
        <w:tabs>
          <w:tab w:leader="none" w:pos="11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color w:val="auto"/>
        </w:rPr>
      </w:pPr>
    </w:p>
    <w:p>
      <w:pPr>
        <w:ind w:left="900" w:hanging="244"/>
        <w:spacing w:after="0" w:line="250" w:lineRule="auto"/>
        <w:tabs>
          <w:tab w:leader="none" w:pos="1049"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ind w:left="20"/>
        <w:spacing w:after="0"/>
        <w:tabs>
          <w:tab w:leader="none" w:pos="920" w:val="left"/>
          <w:tab w:leader="none" w:pos="590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4517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Russell Burke</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130"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of Life360, Inc. (the “Company”), on Form 10-Q for the quarter ended March 31, 2024 (the “Report”), I, Chris Hulls, Chief Executive Officer of the Company, hereby certify pursuant to 18 U.S.C. § 1350, as adopted pursuant to § 906 of the Sarbanes-Oxley Act of 2002 that, to my knowledge:</w:t>
      </w:r>
    </w:p>
    <w:p>
      <w:pPr>
        <w:spacing w:after="0" w:line="176" w:lineRule="exact"/>
        <w:rPr>
          <w:sz w:val="20"/>
          <w:szCs w:val="20"/>
          <w:color w:val="auto"/>
        </w:rPr>
      </w:pPr>
    </w:p>
    <w:p>
      <w:pPr>
        <w:ind w:left="1300" w:hanging="644"/>
        <w:spacing w:after="0"/>
        <w:tabs>
          <w:tab w:leader="none" w:pos="13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920" w:val="left"/>
          <w:tab w:leader="none" w:pos="590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4517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Chris Hulls</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30"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of Life360, Inc. (the “Company”), on Form 10-Q for the quarter ended March 31, 2024 (the “Report”), I, Russell Burke, Chief Financial Officer of the Company, hereby certify pursuant to 18 U.S.C. § 1350, as adopted pursuant to § 906 of the Sarbanes-Oxley Act of 2002 that, to my knowledge:</w:t>
      </w:r>
    </w:p>
    <w:p>
      <w:pPr>
        <w:spacing w:after="0" w:line="176" w:lineRule="exact"/>
        <w:rPr>
          <w:sz w:val="20"/>
          <w:szCs w:val="20"/>
          <w:color w:val="auto"/>
        </w:rPr>
      </w:pPr>
    </w:p>
    <w:p>
      <w:pPr>
        <w:ind w:left="1300" w:hanging="644"/>
        <w:spacing w:after="0"/>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920" w:val="left"/>
          <w:tab w:leader="none" w:pos="592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26035</wp:posOffset>
            </wp:positionV>
            <wp:extent cx="24517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Russell Burke</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x"/>
      <w:numFmt w:val="bullet"/>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
      <w:numFmt w:val="bullet"/>
      <w:start w:val="1"/>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1)"/>
      <w:numFmt w:val="decimal"/>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
      <w:numFmt w:val="bullet"/>
      <w:start w:val="1"/>
    </w:lvl>
  </w:abstractNum>
  <w:abstractNum w:abstractNumId="9">
    <w:nsid w:val="2DF6D648"/>
    <w:multiLevelType w:val="hybridMultilevel"/>
    <w:lvl w:ilvl="0">
      <w:lvlJc w:val="left"/>
      <w:lvlText w:val="•"/>
      <w:numFmt w:val="bullet"/>
      <w:start w:val="1"/>
    </w:lvl>
  </w:abstractNum>
  <w:abstractNum w:abstractNumId="10">
    <w:nsid w:val="46B7D447"/>
    <w:multiLevelType w:val="hybridMultilevel"/>
    <w:lvl w:ilvl="0">
      <w:lvlJc w:val="left"/>
      <w:lvlText w:val="•"/>
      <w:numFmt w:val="bullet"/>
      <w:start w:val="1"/>
    </w:lvl>
  </w:abstractNum>
  <w:abstractNum w:abstractNumId="11">
    <w:nsid w:val="4A2AC315"/>
    <w:multiLevelType w:val="hybridMultilevel"/>
    <w:lvl w:ilvl="0">
      <w:lvlJc w:val="left"/>
      <w:lvlText w:val="•"/>
      <w:numFmt w:val="bullet"/>
      <w:start w:val="1"/>
    </w:lvl>
  </w:abstractNum>
  <w:abstractNum w:abstractNumId="12">
    <w:nsid w:val="39EE015C"/>
    <w:multiLevelType w:val="hybridMultilevel"/>
    <w:lvl w:ilvl="0">
      <w:lvlJc w:val="left"/>
      <w:lvlText w:val="•"/>
      <w:numFmt w:val="bullet"/>
      <w:start w:val="1"/>
    </w:lvl>
  </w:abstractNum>
  <w:abstractNum w:abstractNumId="13">
    <w:nsid w:val="57FC4FBB"/>
    <w:multiLevelType w:val="hybridMultilevel"/>
    <w:lvl w:ilvl="0">
      <w:lvlJc w:val="left"/>
      <w:lvlText w:val="•"/>
      <w:numFmt w:val="bullet"/>
      <w:start w:val="1"/>
    </w:lvl>
  </w:abstractNum>
  <w:abstractNum w:abstractNumId="14">
    <w:nsid w:val="CC1016F"/>
    <w:multiLevelType w:val="hybridMultilevel"/>
    <w:lvl w:ilvl="0">
      <w:lvlJc w:val="left"/>
      <w:lvlText w:val="•"/>
      <w:numFmt w:val="bullet"/>
      <w:start w:val="1"/>
    </w:lvl>
  </w:abstractNum>
  <w:abstractNum w:abstractNumId="15">
    <w:nsid w:val="43F18422"/>
    <w:multiLevelType w:val="hybridMultilevel"/>
    <w:lvl w:ilvl="0">
      <w:lvlJc w:val="left"/>
      <w:lvlText w:val="•"/>
      <w:numFmt w:val="bullet"/>
      <w:start w:val="1"/>
    </w:lvl>
  </w:abstractNum>
  <w:abstractNum w:abstractNumId="16">
    <w:nsid w:val="60EF0119"/>
    <w:multiLevelType w:val="hybridMultilevel"/>
    <w:lvl w:ilvl="0">
      <w:lvlJc w:val="left"/>
      <w:lvlText w:val="•"/>
      <w:numFmt w:val="bullet"/>
      <w:start w:val="1"/>
    </w:lvl>
  </w:abstractNum>
  <w:abstractNum w:abstractNumId="17">
    <w:nsid w:val="26F324BA"/>
    <w:multiLevelType w:val="hybridMultilevel"/>
    <w:lvl w:ilvl="0">
      <w:lvlJc w:val="left"/>
      <w:lvlText w:val="•"/>
      <w:numFmt w:val="bullet"/>
      <w:start w:val="1"/>
    </w:lvl>
  </w:abstractNum>
  <w:abstractNum w:abstractNumId="18">
    <w:nsid w:val="7F01579B"/>
    <w:multiLevelType w:val="hybridMultilevel"/>
    <w:lvl w:ilvl="0">
      <w:lvlJc w:val="left"/>
      <w:lvlText w:val="*"/>
      <w:numFmt w:val="bullet"/>
      <w:start w:val="1"/>
    </w:lvl>
  </w:abstractNum>
  <w:abstractNum w:abstractNumId="19">
    <w:nsid w:val="49DA307D"/>
    <w:multiLevelType w:val="hybridMultilevel"/>
    <w:lvl w:ilvl="0">
      <w:lvlJc w:val="left"/>
      <w:lvlText w:val="(%1)"/>
      <w:numFmt w:val="lowerLetter"/>
      <w:start w:val="1"/>
    </w:lvl>
  </w:abstractNum>
  <w:abstractNum w:abstractNumId="20">
    <w:nsid w:val="7055A5F5"/>
    <w:multiLevelType w:val="hybridMultilevel"/>
    <w:lvl w:ilvl="0">
      <w:lvlJc w:val="left"/>
      <w:lvlText w:val="(%1)"/>
      <w:numFmt w:val="lowerLetter"/>
      <w:start w:val="8"/>
    </w:lvl>
  </w:abstractNum>
  <w:abstractNum w:abstractNumId="21">
    <w:nsid w:val="5FB8370B"/>
    <w:multiLevelType w:val="hybridMultilevel"/>
    <w:lvl w:ilvl="0">
      <w:lvlJc w:val="left"/>
      <w:lvlText w:val="(%1)"/>
      <w:numFmt w:val="lowerRoman"/>
      <w:start w:val="1"/>
    </w:lvl>
  </w:abstractNum>
  <w:abstractNum w:abstractNumId="22">
    <w:nsid w:val="50801EE1"/>
    <w:multiLevelType w:val="hybridMultilevel"/>
    <w:lvl w:ilvl="0">
      <w:lvlJc w:val="left"/>
      <w:lvlText w:val="(%1)"/>
      <w:numFmt w:val="lowerLetter"/>
      <w:start w:val="10"/>
    </w:lvl>
    <w:lvl w:ilvl="1">
      <w:lvlJc w:val="left"/>
      <w:lvlText w:val="(%2)"/>
      <w:numFmt w:val="decimal"/>
      <w:start w:val="1"/>
    </w:lvl>
  </w:abstractNum>
  <w:abstractNum w:abstractNumId="23">
    <w:nsid w:val="488AC1A"/>
    <w:multiLevelType w:val="hybridMultilevel"/>
    <w:lvl w:ilvl="0">
      <w:lvlJc w:val="left"/>
      <w:lvlText w:val="(%1)"/>
      <w:numFmt w:val="lowerLetter"/>
      <w:start w:val="16"/>
    </w:lvl>
  </w:abstractNum>
  <w:abstractNum w:abstractNumId="24">
    <w:nsid w:val="5FB8011C"/>
    <w:multiLevelType w:val="hybridMultilevel"/>
    <w:lvl w:ilvl="0">
      <w:lvlJc w:val="left"/>
      <w:lvlText w:val="(%1)"/>
      <w:numFmt w:val="lowerLetter"/>
      <w:start w:val="1"/>
    </w:lvl>
  </w:abstractNum>
  <w:abstractNum w:abstractNumId="25">
    <w:nsid w:val="6AA78F7F"/>
    <w:multiLevelType w:val="hybridMultilevel"/>
    <w:lvl w:ilvl="0">
      <w:lvlJc w:val="left"/>
      <w:lvlText w:val="(%1)"/>
      <w:numFmt w:val="lowerLetter"/>
      <w:start w:val="3"/>
    </w:lvl>
    <w:lvl w:ilvl="1">
      <w:lvlJc w:val="left"/>
      <w:lvlText w:val="(%2)"/>
      <w:numFmt w:val="decimal"/>
      <w:start w:val="1"/>
    </w:lvl>
  </w:abstractNum>
  <w:abstractNum w:abstractNumId="26">
    <w:nsid w:val="7672BD23"/>
    <w:multiLevelType w:val="hybridMultilevel"/>
    <w:lvl w:ilvl="0">
      <w:lvlJc w:val="left"/>
      <w:lvlText w:val="(%1)"/>
      <w:numFmt w:val="lowerLetter"/>
      <w:start w:val="1"/>
    </w:lvl>
  </w:abstractNum>
  <w:abstractNum w:abstractNumId="27">
    <w:nsid w:val="6FC75AF8"/>
    <w:multiLevelType w:val="hybridMultilevel"/>
    <w:lvl w:ilvl="0">
      <w:lvlJc w:val="left"/>
      <w:lvlText w:val="(%1)"/>
      <w:numFmt w:val="decimal"/>
      <w:start w:val="1"/>
    </w:lvl>
  </w:abstractNum>
  <w:abstractNum w:abstractNumId="28">
    <w:nsid w:val="6A5F7029"/>
    <w:multiLevelType w:val="hybridMultilevel"/>
    <w:lvl w:ilvl="0">
      <w:lvlJc w:val="left"/>
      <w:lvlText w:val="(%1)"/>
      <w:numFmt w:val="lowerLetter"/>
      <w:start w:val="1"/>
    </w:lvl>
  </w:abstractNum>
  <w:abstractNum w:abstractNumId="29">
    <w:nsid w:val="7D5E18F8"/>
    <w:multiLevelType w:val="hybridMultilevel"/>
    <w:lvl w:ilvl="0">
      <w:lvlJc w:val="left"/>
      <w:lvlText w:val="(%1)"/>
      <w:numFmt w:val="lowerLetter"/>
      <w:start w:val="4"/>
    </w:lvl>
  </w:abstractNum>
  <w:abstractNum w:abstractNumId="30">
    <w:nsid w:val="5F3534A4"/>
    <w:multiLevelType w:val="hybridMultilevel"/>
    <w:lvl w:ilvl="0">
      <w:lvlJc w:val="left"/>
      <w:lvlText w:val="(%1)"/>
      <w:numFmt w:val="lowerRoman"/>
      <w:start w:val="10"/>
    </w:lvl>
  </w:abstractNum>
  <w:abstractNum w:abstractNumId="31">
    <w:nsid w:val="73A1821B"/>
    <w:multiLevelType w:val="hybridMultilevel"/>
    <w:lvl w:ilvl="0">
      <w:lvlJc w:val="left"/>
      <w:lvlText w:val="(%1)"/>
      <w:numFmt w:val="lowerLetter"/>
      <w:start w:val="1"/>
    </w:lvl>
  </w:abstractNum>
  <w:abstractNum w:abstractNumId="32">
    <w:nsid w:val="7DE67713"/>
    <w:multiLevelType w:val="hybridMultilevel"/>
    <w:lvl w:ilvl="0">
      <w:lvlJc w:val="left"/>
      <w:lvlText w:val="(%1)"/>
      <w:numFmt w:val="lowerLetter"/>
      <w:start w:val="1"/>
    </w:lvl>
  </w:abstractNum>
  <w:abstractNum w:abstractNumId="33">
    <w:nsid w:val="555C55B5"/>
    <w:multiLevelType w:val="hybridMultilevel"/>
    <w:lvl w:ilvl="0">
      <w:lvlJc w:val="left"/>
      <w:lvlText w:val="(%1)"/>
      <w:numFmt w:val="lowerLetter"/>
      <w:start w:val="2"/>
    </w:lvl>
    <w:lvl w:ilvl="1">
      <w:lvlJc w:val="left"/>
      <w:lvlText w:val="(%2)"/>
      <w:numFmt w:val="decimal"/>
      <w:start w:val="1"/>
    </w:lvl>
  </w:abstractNum>
  <w:abstractNum w:abstractNumId="34">
    <w:nsid w:val="3FA62ACA"/>
    <w:multiLevelType w:val="hybridMultilevel"/>
    <w:lvl w:ilvl="0">
      <w:lvlJc w:val="left"/>
      <w:lvlText w:val="(%1)"/>
      <w:numFmt w:val="lowerLetter"/>
      <w:start w:val="3"/>
    </w:lvl>
  </w:abstractNum>
  <w:abstractNum w:abstractNumId="35">
    <w:nsid w:val="14FCE74E"/>
    <w:multiLevelType w:val="hybridMultilevel"/>
    <w:lvl w:ilvl="0">
      <w:lvlJc w:val="left"/>
      <w:lvlText w:val="(%1)"/>
      <w:numFmt w:val="lowerLetter"/>
      <w:start w:val="4"/>
    </w:lvl>
    <w:lvl w:ilvl="1">
      <w:lvlJc w:val="left"/>
      <w:lvlText w:val="(%2)"/>
      <w:numFmt w:val="decimal"/>
      <w:start w:val="1"/>
    </w:lvl>
  </w:abstractNum>
  <w:abstractNum w:abstractNumId="36">
    <w:nsid w:val="6A3DD3E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37">
    <w:nsid w:val="71C91298"/>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38">
    <w:nsid w:val="9DAF632"/>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39">
    <w:nsid w:val="53299938"/>
    <w:multiLevelType w:val="hybridMultilevel"/>
    <w:lvl w:ilvl="0">
      <w:lvlJc w:val="left"/>
      <w:lvlText w:val="(%1)"/>
      <w:numFmt w:val="lowerLetter"/>
      <w:start w:val="1"/>
    </w:lvl>
  </w:abstractNum>
  <w:abstractNum w:abstractNumId="40">
    <w:nsid w:val="1FBFE8E0"/>
    <w:multiLevelType w:val="hybridMultilevel"/>
    <w:lvl w:ilvl="0">
      <w:lvlJc w:val="left"/>
      <w:lvlText w:val="(%1)"/>
      <w:numFmt w:val="lowerLetter"/>
      <w:start w:val="4"/>
    </w:lvl>
  </w:abstractNum>
  <w:abstractNum w:abstractNumId="41">
    <w:nsid w:val="5092CA79"/>
    <w:multiLevelType w:val="hybridMultilevel"/>
    <w:lvl w:ilvl="0">
      <w:lvlJc w:val="left"/>
      <w:lvlText w:val="%1"/>
      <w:numFmt w:val="lowerLetter"/>
      <w:start w:val="1"/>
    </w:lvl>
    <w:lvl w:ilvl="1">
      <w:lvlJc w:val="left"/>
      <w:lvlText w:val="(%2)"/>
      <w:numFmt w:val="decimal"/>
      <w:start w:val="415"/>
    </w:lvl>
  </w:abstractNum>
  <w:abstractNum w:abstractNumId="42">
    <w:nsid w:val="1D545C4D"/>
    <w:multiLevelType w:val="hybridMultilevel"/>
    <w:lvl w:ilvl="0">
      <w:lvlJc w:val="left"/>
      <w:lvlText w:val="(%1)"/>
      <w:numFmt w:val="lowerLetter"/>
      <w:start w:val="5"/>
    </w:lvl>
    <w:lvl w:ilvl="1">
      <w:lvlJc w:val="left"/>
      <w:lvlText w:val="%2"/>
      <w:numFmt w:val="decimal"/>
      <w:start w:val="1"/>
    </w:lvl>
  </w:abstractNum>
  <w:abstractNum w:abstractNumId="43">
    <w:nsid w:val="59ADEA3D"/>
    <w:multiLevelType w:val="hybridMultilevel"/>
    <w:lvl w:ilvl="0">
      <w:lvlJc w:val="left"/>
      <w:lvlText w:val="(%1)"/>
      <w:numFmt w:val="lowerLetter"/>
      <w:start w:val="1"/>
    </w:lvl>
    <w:lvl w:ilvl="1">
      <w:lvlJc w:val="left"/>
      <w:lvlText w:val="(%2)"/>
      <w:numFmt w:val="decimal"/>
      <w:start w:val="1"/>
    </w:lvl>
  </w:abstractNum>
  <w:abstractNum w:abstractNumId="44">
    <w:nsid w:val="288F1A34"/>
    <w:multiLevelType w:val="hybridMultilevel"/>
    <w:lvl w:ilvl="0">
      <w:lvlJc w:val="left"/>
      <w:lvlText w:val="(%1)"/>
      <w:numFmt w:val="lowerLetter"/>
      <w:start w:val="2"/>
    </w:lvl>
  </w:abstractNum>
  <w:abstractNum w:abstractNumId="45">
    <w:nsid w:val="2A155DBC"/>
    <w:multiLevelType w:val="hybridMultilevel"/>
    <w:lvl w:ilvl="0">
      <w:lvlJc w:val="left"/>
      <w:lvlText w:val="(%1)"/>
      <w:numFmt w:val="lowerLetter"/>
      <w:start w:val="4"/>
    </w:lvl>
  </w:abstractNum>
  <w:abstractNum w:abstractNumId="46">
    <w:nsid w:val="1D9F6E5F"/>
    <w:multiLevelType w:val="hybridMultilevel"/>
    <w:lvl w:ilvl="0">
      <w:lvlJc w:val="left"/>
      <w:lvlText w:val="(%1)"/>
      <w:numFmt w:val="lowerLetter"/>
      <w:start w:val="1"/>
    </w:lvl>
  </w:abstractNum>
  <w:abstractNum w:abstractNumId="47">
    <w:nsid w:val="97E1B4E"/>
    <w:multiLevelType w:val="hybridMultilevel"/>
    <w:lvl w:ilvl="0">
      <w:lvlJc w:val="left"/>
      <w:lvlText w:val="(%1)"/>
      <w:numFmt w:val="lowerLetter"/>
      <w:start w:val="1"/>
    </w:lvl>
  </w:abstractNum>
  <w:abstractNum w:abstractNumId="48">
    <w:nsid w:val="51088277"/>
    <w:multiLevelType w:val="hybridMultilevel"/>
    <w:lvl w:ilvl="0">
      <w:lvlJc w:val="left"/>
      <w:lvlText w:val="(%1)"/>
      <w:numFmt w:val="lowerLetter"/>
      <w:start w:val="1"/>
    </w:lvl>
  </w:abstractNum>
  <w:abstractNum w:abstractNumId="49">
    <w:nsid w:val="1CA0C5FA"/>
    <w:multiLevelType w:val="hybridMultilevel"/>
    <w:lvl w:ilvl="0">
      <w:lvlJc w:val="left"/>
      <w:lvlText w:val="(%1)"/>
      <w:numFmt w:val="lowerLetter"/>
      <w:start w:val="1"/>
    </w:lvl>
  </w:abstractNum>
  <w:abstractNum w:abstractNumId="50">
    <w:nsid w:val="53584BCB"/>
    <w:multiLevelType w:val="hybridMultilevel"/>
    <w:lvl w:ilvl="0">
      <w:lvlJc w:val="left"/>
      <w:lvlText w:val="(%1)"/>
      <w:numFmt w:val="lowerLetter"/>
      <w:start w:val="3"/>
    </w:lvl>
  </w:abstractNum>
  <w:abstractNum w:abstractNumId="51">
    <w:nsid w:val="415E286C"/>
    <w:multiLevelType w:val="hybridMultilevel"/>
    <w:lvl w:ilvl="0">
      <w:lvlJc w:val="left"/>
      <w:lvlText w:val="(%1)"/>
      <w:numFmt w:val="lowerLetter"/>
      <w:start w:val="1"/>
    </w:lvl>
  </w:abstractNum>
  <w:abstractNum w:abstractNumId="52">
    <w:nsid w:val="7C58FD05"/>
    <w:multiLevelType w:val="hybridMultilevel"/>
    <w:lvl w:ilvl="0">
      <w:lvlJc w:val="left"/>
      <w:lvlText w:val="(%1)"/>
      <w:numFmt w:val="lowerLetter"/>
      <w:start w:val="1"/>
    </w:lvl>
  </w:abstractNum>
  <w:abstractNum w:abstractNumId="53">
    <w:nsid w:val="23D86AAC"/>
    <w:multiLevelType w:val="hybridMultilevel"/>
    <w:lvl w:ilvl="0">
      <w:lvlJc w:val="left"/>
      <w:lvlText w:val="(%1)"/>
      <w:numFmt w:val="lowerLetter"/>
      <w:start w:val="1"/>
    </w:lvl>
  </w:abstractNum>
  <w:abstractNum w:abstractNumId="54">
    <w:nsid w:val="45E6D486"/>
    <w:multiLevelType w:val="hybridMultilevel"/>
    <w:lvl w:ilvl="0">
      <w:lvlJc w:val="left"/>
      <w:lvlText w:val="(%1)"/>
      <w:numFmt w:val="lowerLetter"/>
      <w:start w:val="1"/>
    </w:lvl>
  </w:abstractNum>
  <w:abstractNum w:abstractNumId="55">
    <w:nsid w:val="5C10FE21"/>
    <w:multiLevelType w:val="hybridMultilevel"/>
    <w:lvl w:ilvl="0">
      <w:lvlJc w:val="left"/>
      <w:lvlText w:val="(%1)"/>
      <w:numFmt w:val="lowerLetter"/>
      <w:start w:val="3"/>
    </w:lvl>
  </w:abstractNum>
  <w:abstractNum w:abstractNumId="56">
    <w:nsid w:val="E7FFA2B"/>
    <w:multiLevelType w:val="hybridMultilevel"/>
    <w:lvl w:ilvl="0">
      <w:lvlJc w:val="left"/>
      <w:lvlText w:val="(%1)"/>
      <w:numFmt w:val="lowerLetter"/>
      <w:start w:val="1"/>
    </w:lvl>
  </w:abstractNum>
  <w:abstractNum w:abstractNumId="57">
    <w:nsid w:val="3C5991AA"/>
    <w:multiLevelType w:val="hybridMultilevel"/>
    <w:lvl w:ilvl="0">
      <w:lvlJc w:val="left"/>
      <w:lvlText w:val="(%1)"/>
      <w:numFmt w:val="lowerLetter"/>
      <w:start w:val="3"/>
    </w:lvl>
  </w:abstractNum>
  <w:abstractNum w:abstractNumId="58">
    <w:nsid w:val="4BD8591A"/>
    <w:multiLevelType w:val="hybridMultilevel"/>
    <w:lvl w:ilvl="0">
      <w:lvlJc w:val="left"/>
      <w:lvlText w:val="(%1)"/>
      <w:numFmt w:val="lowerLetter"/>
      <w:start w:val="1"/>
    </w:lvl>
  </w:abstractNum>
  <w:abstractNum w:abstractNumId="59">
    <w:nsid w:val="78DF6A55"/>
    <w:multiLevelType w:val="hybridMultilevel"/>
    <w:lvl w:ilvl="0">
      <w:lvlJc w:val="left"/>
      <w:lvlText w:val="(%1)"/>
      <w:numFmt w:val="lowerLetter"/>
      <w:start w:val="1"/>
    </w:lvl>
  </w:abstractNum>
  <w:abstractNum w:abstractNumId="60">
    <w:nsid w:val="39B7AAA2"/>
    <w:multiLevelType w:val="hybridMultilevel"/>
    <w:lvl w:ilvl="0">
      <w:lvlJc w:val="left"/>
      <w:lvlText w:val="%1."/>
      <w:numFmt w:val="decimal"/>
      <w:start w:val="1"/>
    </w:lvl>
    <w:lvl w:ilvl="1">
      <w:lvlJc w:val="left"/>
      <w:lvlText w:val="(%2)"/>
      <w:numFmt w:val="lowerLetter"/>
      <w:start w:val="1"/>
    </w:lvl>
  </w:abstractNum>
  <w:abstractNum w:abstractNumId="61">
    <w:nsid w:val="2B0D8DBE"/>
    <w:multiLevelType w:val="hybridMultilevel"/>
    <w:lvl w:ilvl="0">
      <w:lvlJc w:val="left"/>
      <w:lvlText w:val="%1"/>
      <w:numFmt w:val="decimal"/>
      <w:start w:val="1"/>
    </w:lvl>
    <w:lvl w:ilvl="1">
      <w:lvlJc w:val="left"/>
      <w:lvlText w:val="(%2)"/>
      <w:numFmt w:val="lowerLetter"/>
      <w:start w:val="3"/>
    </w:lvl>
  </w:abstractNum>
  <w:abstractNum w:abstractNumId="62">
    <w:nsid w:val="6C80EC70"/>
    <w:multiLevelType w:val="hybridMultilevel"/>
    <w:lvl w:ilvl="0">
      <w:lvlJc w:val="left"/>
      <w:lvlText w:val="%1."/>
      <w:numFmt w:val="decimal"/>
      <w:start w:val="4"/>
    </w:lvl>
    <w:lvl w:ilvl="1">
      <w:lvlJc w:val="left"/>
      <w:lvlText w:val="(%2)"/>
      <w:numFmt w:val="lowerLetter"/>
      <w:start w:val="1"/>
    </w:lvl>
  </w:abstractNum>
  <w:abstractNum w:abstractNumId="63">
    <w:nsid w:val="379E21B5"/>
    <w:multiLevelType w:val="hybridMultilevel"/>
    <w:lvl w:ilvl="0">
      <w:lvlJc w:val="left"/>
      <w:lvlText w:val="(%1)"/>
      <w:numFmt w:val="lowerLetter"/>
      <w:start w:val="2"/>
    </w:lvl>
    <w:lvl w:ilvl="1">
      <w:lvlJc w:val="left"/>
      <w:lvlText w:val="(%2)"/>
      <w:numFmt w:val="lowerRoman"/>
      <w:start w:val="1"/>
    </w:lvl>
  </w:abstractNum>
  <w:abstractNum w:abstractNumId="64">
    <w:nsid w:val="69E37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5">
    <w:nsid w:val="2C27173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66">
    <w:nsid w:val="4C9B0904"/>
    <w:multiLevelType w:val="hybridMultilevel"/>
    <w:lvl w:ilvl="0">
      <w:lvlJc w:val="left"/>
      <w:lvlText w:val="(%1)"/>
      <w:numFmt w:val="lowerLetter"/>
      <w:start w:val="1"/>
    </w:lvl>
    <w:lvl w:ilvl="1">
      <w:lvlJc w:val="left"/>
      <w:lvlText w:val="(%2)"/>
      <w:numFmt w:val="lowerRoman"/>
      <w:start w:val="1"/>
    </w:lvl>
  </w:abstractNum>
  <w:abstractNum w:abstractNumId="67">
    <w:nsid w:val="6AA7B75C"/>
    <w:multiLevelType w:val="hybridMultilevel"/>
    <w:lvl w:ilvl="0">
      <w:lvlJc w:val="left"/>
      <w:lvlText w:val="%1."/>
      <w:numFmt w:val="decimal"/>
      <w:start w:val="8"/>
    </w:lvl>
    <w:lvl w:ilvl="1">
      <w:lvlJc w:val="left"/>
      <w:lvlText w:val="(%2)"/>
      <w:numFmt w:val="lowerLetter"/>
      <w:start w:val="1"/>
    </w:lvl>
  </w:abstractNum>
  <w:abstractNum w:abstractNumId="68">
    <w:nsid w:val="1DF029D3"/>
    <w:multiLevelType w:val="hybridMultilevel"/>
    <w:lvl w:ilvl="0">
      <w:lvlJc w:val="left"/>
      <w:lvlText w:val="%1."/>
      <w:numFmt w:val="decimal"/>
      <w:start w:val="10"/>
    </w:lvl>
  </w:abstractNum>
  <w:abstractNum w:abstractNumId="69">
    <w:nsid w:val="5675FF36"/>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lvl w:ilvl="3">
      <w:lvlJc w:val="left"/>
      <w:lvlText w:val="%4"/>
      <w:numFmt w:val="lowerRoman"/>
      <w:start w:val="1"/>
    </w:lvl>
  </w:abstractNum>
  <w:abstractNum w:abstractNumId="70">
    <w:nsid w:val="3DD1509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71">
    <w:nsid w:val="3DB012B3"/>
    <w:multiLevelType w:val="hybridMultilevel"/>
    <w:lvl w:ilvl="0">
      <w:lvlJc w:val="left"/>
      <w:lvlText w:val="(%1)"/>
      <w:numFmt w:val="lowerLetter"/>
      <w:start w:val="4"/>
    </w:lvl>
  </w:abstractNum>
  <w:abstractNum w:abstractNumId="72">
    <w:nsid w:val="2708C9AF"/>
    <w:multiLevelType w:val="hybridMultilevel"/>
    <w:lvl w:ilvl="0">
      <w:lvlJc w:val="left"/>
      <w:lvlText w:val="(%1)"/>
      <w:numFmt w:val="lowerLetter"/>
      <w:start w:val="5"/>
    </w:lvl>
  </w:abstractNum>
  <w:abstractNum w:abstractNumId="73">
    <w:nsid w:val="5B25ACE2"/>
    <w:multiLevelType w:val="hybridMultilevel"/>
    <w:lvl w:ilvl="0">
      <w:lvlJc w:val="left"/>
      <w:lvlText w:val="(%1)"/>
      <w:numFmt w:val="lowerLetter"/>
      <w:start w:val="7"/>
    </w:lvl>
  </w:abstractNum>
  <w:abstractNum w:abstractNumId="74">
    <w:nsid w:val="175DFCF0"/>
    <w:multiLevelType w:val="hybridMultilevel"/>
    <w:lvl w:ilvl="0">
      <w:lvlJc w:val="left"/>
      <w:lvlText w:val="%1"/>
      <w:numFmt w:val="decimal"/>
      <w:start w:val="1"/>
    </w:lvl>
    <w:lvl w:ilvl="1">
      <w:lvlJc w:val="left"/>
      <w:lvlText w:val="%2."/>
      <w:numFmt w:val="decimal"/>
      <w:start w:val="1"/>
    </w:lvl>
  </w:abstractNum>
  <w:abstractNum w:abstractNumId="75">
    <w:nsid w:val="4F97E3E4"/>
    <w:multiLevelType w:val="hybridMultilevel"/>
    <w:lvl w:ilvl="0">
      <w:lvlJc w:val="left"/>
      <w:lvlText w:val="(%1)"/>
      <w:numFmt w:val="decimal"/>
      <w:start w:val="30"/>
    </w:lvl>
    <w:lvl w:ilvl="1">
      <w:lvlJc w:val="left"/>
      <w:lvlText w:val="%2"/>
      <w:numFmt w:val="decimal"/>
      <w:start w:val="1"/>
    </w:lvl>
  </w:abstractNum>
  <w:abstractNum w:abstractNumId="76">
    <w:nsid w:val="53B0A9E"/>
    <w:multiLevelType w:val="hybridMultilevel"/>
    <w:lvl w:ilvl="0">
      <w:lvlJc w:val="left"/>
      <w:lvlText w:val="%1."/>
      <w:numFmt w:val="decimal"/>
      <w:start w:val="7"/>
    </w:lvl>
  </w:abstractNum>
  <w:abstractNum w:abstractNumId="77">
    <w:nsid w:val="34FD6B4F"/>
    <w:multiLevelType w:val="hybridMultilevel"/>
    <w:lvl w:ilvl="0">
      <w:lvlJc w:val="left"/>
      <w:lvlText w:val="%1."/>
      <w:numFmt w:val="decimal"/>
      <w:start w:val="1"/>
    </w:lvl>
    <w:lvl w:ilvl="1">
      <w:lvlJc w:val="left"/>
      <w:lvlText w:val="(%2)"/>
      <w:numFmt w:val="lowerLetter"/>
      <w:start w:val="1"/>
    </w:lvl>
  </w:abstractNum>
  <w:abstractNum w:abstractNumId="78">
    <w:nsid w:val="5915FF32"/>
    <w:multiLevelType w:val="hybridMultilevel"/>
    <w:lvl w:ilvl="0">
      <w:lvlJc w:val="left"/>
      <w:lvlText w:val="%1"/>
      <w:numFmt w:val="decimal"/>
      <w:start w:val="1"/>
    </w:lvl>
    <w:lvl w:ilvl="1">
      <w:lvlJc w:val="left"/>
      <w:lvlText w:val="(%2)"/>
      <w:numFmt w:val="lowerLetter"/>
      <w:start w:val="3"/>
    </w:lvl>
  </w:abstractNum>
  <w:abstractNum w:abstractNumId="79">
    <w:nsid w:val="56438D15"/>
    <w:multiLevelType w:val="hybridMultilevel"/>
    <w:lvl w:ilvl="0">
      <w:lvlJc w:val="left"/>
      <w:lvlText w:val="%1."/>
      <w:numFmt w:val="decimal"/>
      <w:start w:val="4"/>
    </w:lvl>
    <w:lvl w:ilvl="1">
      <w:lvlJc w:val="left"/>
      <w:lvlText w:val="(%2)"/>
      <w:numFmt w:val="lowerLetter"/>
      <w:start w:val="1"/>
    </w:lvl>
  </w:abstractNum>
  <w:abstractNum w:abstractNumId="80">
    <w:nsid w:val="519E3149"/>
    <w:multiLevelType w:val="hybridMultilevel"/>
    <w:lvl w:ilvl="0">
      <w:lvlJc w:val="left"/>
      <w:lvlText w:val="%1."/>
      <w:numFmt w:val="decimal"/>
      <w:start w:val="5"/>
    </w:lvl>
    <w:lvl w:ilvl="1">
      <w:lvlJc w:val="left"/>
      <w:lvlText w:val="(%2)"/>
      <w:numFmt w:val="lowerLetter"/>
      <w:start w:val="1"/>
    </w:lvl>
  </w:abstractNum>
  <w:abstractNum w:abstractNumId="81">
    <w:nsid w:val="2C6E4AFD"/>
    <w:multiLevelType w:val="hybridMultilevel"/>
    <w:lvl w:ilvl="0">
      <w:lvlJc w:val="left"/>
      <w:lvlText w:val="(%1)"/>
      <w:numFmt w:val="lowerLetter"/>
      <w:start w:val="3"/>
    </w:lvl>
    <w:lvl w:ilvl="1">
      <w:lvlJc w:val="left"/>
      <w:lvlText w:val="(%2)"/>
      <w:numFmt w:val="lowerRoman"/>
      <w:start w:val="1"/>
    </w:lvl>
  </w:abstractNum>
  <w:abstractNum w:abstractNumId="82">
    <w:nsid w:val="17A1B582"/>
    <w:multiLevelType w:val="hybridMultilevel"/>
    <w:lvl w:ilvl="0">
      <w:lvlJc w:val="left"/>
      <w:lvlText w:val="(%1)"/>
      <w:numFmt w:val="lowerLetter"/>
      <w:start w:val="61"/>
    </w:lvl>
    <w:lvl w:ilvl="1">
      <w:lvlJc w:val="left"/>
      <w:lvlText w:val="%2."/>
      <w:numFmt w:val="decimal"/>
      <w:start w:val="5"/>
    </w:lvl>
    <w:lvl w:ilvl="2">
      <w:lvlJc w:val="left"/>
      <w:lvlText w:val="(%3)"/>
      <w:numFmt w:val="lowerLetter"/>
      <w:start w:val="1"/>
    </w:lvl>
    <w:lvl w:ilvl="3">
      <w:lvlJc w:val="left"/>
      <w:lvlText w:val="(%4)"/>
      <w:numFmt w:val="lowerLetter"/>
      <w:start w:val="61"/>
    </w:lvl>
  </w:abstractNum>
  <w:abstractNum w:abstractNumId="83">
    <w:nsid w:val="4DF72E4E"/>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84">
    <w:nsid w:val="5046B5A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85">
    <w:nsid w:val="5D888A08"/>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86">
    <w:nsid w:val="2A082C7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87">
    <w:nsid w:val="5EC6AFD4"/>
    <w:multiLevelType w:val="hybridMultilevel"/>
    <w:lvl w:ilvl="0">
      <w:lvlJc w:val="left"/>
      <w:lvlText w:val="%1."/>
      <w:numFmt w:val="decimal"/>
      <w:start w:val="8"/>
    </w:lvl>
    <w:lvl w:ilvl="1">
      <w:lvlJc w:val="left"/>
      <w:lvlText w:val="(%2)"/>
      <w:numFmt w:val="lowerLetter"/>
      <w:start w:val="1"/>
    </w:lvl>
  </w:abstractNum>
  <w:abstractNum w:abstractNumId="88">
    <w:nsid w:val="19E21BB2"/>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89">
    <w:nsid w:val="75E0858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90">
    <w:nsid w:val="57A61A29"/>
    <w:multiLevelType w:val="hybridMultilevel"/>
    <w:lvl w:ilvl="0">
      <w:lvlJc w:val="left"/>
      <w:lvlText w:val="(%1)"/>
      <w:numFmt w:val="lowerLetter"/>
      <w:start w:val="3"/>
    </w:lvl>
    <w:lvl w:ilvl="1">
      <w:lvlJc w:val="left"/>
      <w:lvlText w:val="(%2)"/>
      <w:numFmt w:val="lowerRoman"/>
      <w:start w:val="1"/>
    </w:lvl>
  </w:abstractNum>
  <w:abstractNum w:abstractNumId="91">
    <w:nsid w:val="5399C654"/>
    <w:multiLevelType w:val="hybridMultilevel"/>
    <w:lvl w:ilvl="0">
      <w:lvlJc w:val="left"/>
      <w:lvlText w:val="(%1)"/>
      <w:numFmt w:val="lowerLetter"/>
      <w:start w:val="5"/>
    </w:lvl>
  </w:abstractNum>
  <w:abstractNum w:abstractNumId="92">
    <w:nsid w:val="20EE1348"/>
    <w:multiLevelType w:val="hybridMultilevel"/>
    <w:lvl w:ilvl="0">
      <w:lvlJc w:val="left"/>
      <w:lvlText w:val="(%1)"/>
      <w:numFmt w:val="lowerLetter"/>
      <w:start w:val="6"/>
    </w:lvl>
  </w:abstractNum>
  <w:abstractNum w:abstractNumId="93">
    <w:nsid w:val="4427069A"/>
    <w:multiLevelType w:val="hybridMultilevel"/>
    <w:lvl w:ilvl="0">
      <w:lvlJc w:val="left"/>
      <w:lvlText w:val="(%1)"/>
      <w:numFmt w:val="lowerLetter"/>
      <w:start w:val="13"/>
    </w:lvl>
  </w:abstractNum>
  <w:abstractNum w:abstractNumId="94">
    <w:nsid w:val="B37E80A"/>
    <w:multiLevelType w:val="hybridMultilevel"/>
    <w:lvl w:ilvl="0">
      <w:lvlJc w:val="left"/>
      <w:lvlText w:val="%1"/>
      <w:numFmt w:val="lowerRoman"/>
      <w:start w:val="1"/>
    </w:lvl>
    <w:lvl w:ilvl="1">
      <w:lvlJc w:val="left"/>
      <w:lvlText w:val="%2."/>
      <w:numFmt w:val="decimal"/>
      <w:start w:val="1"/>
    </w:lvl>
  </w:abstractNum>
  <w:abstractNum w:abstractNumId="95">
    <w:nsid w:val="2157F6BC"/>
    <w:multiLevelType w:val="hybridMultilevel"/>
    <w:lvl w:ilvl="0">
      <w:lvlJc w:val="left"/>
      <w:lvlText w:val="(%1)"/>
      <w:numFmt w:val="lowerRoman"/>
      <w:start w:val="5"/>
    </w:lvl>
    <w:lvl w:ilvl="1">
      <w:lvlJc w:val="left"/>
      <w:lvlText w:val="%2."/>
      <w:numFmt w:val="decimal"/>
      <w:start w:val="5"/>
    </w:lvl>
  </w:abstractNum>
  <w:abstractNum w:abstractNumId="96">
    <w:nsid w:val="704E1DD5"/>
    <w:multiLevelType w:val="hybridMultilevel"/>
    <w:lvl w:ilvl="0">
      <w:lvlJc w:val="left"/>
      <w:lvlText w:val="%1."/>
      <w:numFmt w:val="decimal"/>
      <w:start w:val="7"/>
    </w:lvl>
  </w:abstractNum>
  <w:abstractNum w:abstractNumId="97">
    <w:nsid w:val="57D2F10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98">
    <w:nsid w:val="BFFAE18"/>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99">
    <w:nsid w:val="E3E47A8"/>
    <w:multiLevelType w:val="hybridMultilevel"/>
    <w:lvl w:ilvl="0">
      <w:lvlJc w:val="left"/>
      <w:lvlText w:val="%1"/>
      <w:numFmt w:val="decimal"/>
      <w:start w:val="1"/>
    </w:lvl>
    <w:lvl w:ilvl="1">
      <w:lvlJc w:val="left"/>
      <w:lvlText w:val="(%2)"/>
      <w:numFmt w:val="lowerLetter"/>
      <w:start w:val="3"/>
    </w:lvl>
  </w:abstractNum>
  <w:abstractNum w:abstractNumId="100">
    <w:nsid w:val="2E48F044"/>
    <w:multiLevelType w:val="hybridMultilevel"/>
    <w:lvl w:ilvl="0">
      <w:lvlJc w:val="left"/>
      <w:lvlText w:val="%1."/>
      <w:numFmt w:val="decimal"/>
      <w:start w:val="4"/>
    </w:lvl>
    <w:lvl w:ilvl="1">
      <w:lvlJc w:val="left"/>
      <w:lvlText w:val="(%2)"/>
      <w:numFmt w:val="lowerLetter"/>
      <w:start w:val="1"/>
    </w:lvl>
  </w:abstractNum>
  <w:abstractNum w:abstractNumId="101">
    <w:nsid w:val="49D0FEAC"/>
    <w:multiLevelType w:val="hybridMultilevel"/>
    <w:lvl w:ilvl="0">
      <w:lvlJc w:val="left"/>
      <w:lvlText w:val="%1."/>
      <w:numFmt w:val="decimal"/>
      <w:start w:val="5"/>
    </w:lvl>
    <w:lvl w:ilvl="1">
      <w:lvlJc w:val="left"/>
      <w:lvlText w:val="(%2)"/>
      <w:numFmt w:val="lowerLetter"/>
    </w:lvl>
    <w:lvl w:ilvl="2">
      <w:lvlJc w:val="left"/>
      <w:lvlText w:val="(%3)"/>
      <w:numFmt w:val="lowerLetter"/>
      <w:start w:val="9"/>
    </w:lvl>
  </w:abstractNum>
  <w:abstractNum w:abstractNumId="102">
    <w:nsid w:val="4BEE5A5B"/>
    <w:multiLevelType w:val="hybridMultilevel"/>
    <w:lvl w:ilvl="0">
      <w:lvlJc w:val="left"/>
      <w:lvlText w:val="(%1)"/>
      <w:numFmt w:val="lowerRoman"/>
      <w:start w:val="2"/>
    </w:lvl>
  </w:abstractNum>
  <w:abstractNum w:abstractNumId="103">
    <w:nsid w:val="5551B9F3"/>
    <w:multiLevelType w:val="hybridMultilevel"/>
    <w:lvl w:ilvl="0">
      <w:lvlJc w:val="left"/>
      <w:lvlText w:val="%1"/>
      <w:numFmt w:val="decimal"/>
      <w:start w:val="1"/>
    </w:lvl>
    <w:lvl w:ilvl="1">
      <w:lvlJc w:val="left"/>
      <w:lvlText w:val="(%2)"/>
      <w:numFmt w:val="lowerLetter"/>
      <w:start w:val="2"/>
    </w:lvl>
  </w:abstractNum>
  <w:abstractNum w:abstractNumId="104">
    <w:nsid w:val="24F6AB8E"/>
    <w:multiLevelType w:val="hybridMultilevel"/>
    <w:lvl w:ilvl="0">
      <w:lvlJc w:val="left"/>
      <w:lvlText w:val="%1."/>
      <w:numFmt w:val="decimal"/>
      <w:start w:val="6"/>
    </w:lvl>
    <w:lvl w:ilvl="1">
      <w:lvlJc w:val="left"/>
      <w:lvlText w:val="(%2)"/>
      <w:numFmt w:val="lowerLetter"/>
      <w:start w:val="1"/>
    </w:lvl>
  </w:abstractNum>
  <w:abstractNum w:abstractNumId="105">
    <w:nsid w:val="634C574C"/>
    <w:multiLevelType w:val="hybridMultilevel"/>
    <w:lvl w:ilvl="0">
      <w:lvlJc w:val="left"/>
      <w:lvlText w:val="%1"/>
      <w:numFmt w:val="decimal"/>
      <w:start w:val="1"/>
    </w:lvl>
    <w:lvl w:ilvl="1">
      <w:lvlJc w:val="left"/>
      <w:lvlText w:val="(%2)"/>
      <w:numFmt w:val="lowerLetter"/>
      <w:start w:val="3"/>
    </w:lvl>
  </w:abstractNum>
  <w:abstractNum w:abstractNumId="106">
    <w:nsid w:val="24E99DD7"/>
    <w:multiLevelType w:val="hybridMultilevel"/>
    <w:lvl w:ilvl="0">
      <w:lvlJc w:val="left"/>
      <w:lvlText w:val="%1."/>
      <w:numFmt w:val="decimal"/>
      <w:start w:val="7"/>
    </w:lvl>
    <w:lvl w:ilvl="1">
      <w:lvlJc w:val="left"/>
      <w:lvlText w:val="(%2)"/>
      <w:numFmt w:val="lowerLetter"/>
      <w:start w:val="1"/>
    </w:lvl>
  </w:abstractNum>
  <w:abstractNum w:abstractNumId="107">
    <w:nsid w:val="2A31B62D"/>
    <w:multiLevelType w:val="hybridMultilevel"/>
    <w:lvl w:ilvl="0">
      <w:lvlJc w:val="left"/>
      <w:lvlText w:val="(%1)"/>
      <w:numFmt w:val="lowerLetter"/>
      <w:start w:val="2"/>
    </w:lvl>
    <w:lvl w:ilvl="1">
      <w:lvlJc w:val="left"/>
      <w:lvlText w:val="(%2)"/>
      <w:numFmt w:val="lowerRoman"/>
      <w:start w:val="1"/>
    </w:lvl>
  </w:abstractNum>
  <w:abstractNum w:abstractNumId="108">
    <w:nsid w:val="1849C29B"/>
    <w:multiLevelType w:val="hybridMultilevel"/>
    <w:lvl w:ilvl="0">
      <w:lvlJc w:val="left"/>
      <w:lvlText w:val="%1."/>
      <w:numFmt w:val="decimal"/>
      <w:start w:val="8"/>
    </w:lvl>
    <w:lvl w:ilvl="1">
      <w:lvlJc w:val="left"/>
      <w:lvlText w:val="(%2)"/>
      <w:numFmt w:val="lowerLetter"/>
      <w:start w:val="1"/>
    </w:lvl>
  </w:abstractNum>
  <w:abstractNum w:abstractNumId="109">
    <w:nsid w:val="7DFF9D09"/>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lvl w:ilvl="3">
      <w:lvlJc w:val="left"/>
      <w:lvlText w:val="%4"/>
      <w:numFmt w:val="lowerLetter"/>
      <w:start w:val="1"/>
    </w:lvl>
  </w:abstractNum>
  <w:abstractNum w:abstractNumId="110">
    <w:nsid w:val="75434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111">
    <w:nsid w:val="69E7F3E5"/>
    <w:multiLevelType w:val="hybridMultilevel"/>
    <w:lvl w:ilvl="0">
      <w:lvlJc w:val="left"/>
      <w:lvlText w:val="%1"/>
      <w:numFmt w:val="lowerLetter"/>
      <w:start w:val="1"/>
    </w:lvl>
    <w:lvl w:ilvl="1">
      <w:lvlJc w:val="left"/>
      <w:lvlText w:val="(%2)"/>
      <w:numFmt w:val="lowerRoman"/>
      <w:start w:val="2"/>
    </w:lvl>
  </w:abstractNum>
  <w:abstractNum w:abstractNumId="112">
    <w:nsid w:val="2A6DE806"/>
    <w:multiLevelType w:val="hybridMultilevel"/>
    <w:lvl w:ilvl="0">
      <w:lvlJc w:val="left"/>
      <w:lvlText w:val="(%1)"/>
      <w:numFmt w:val="lowerLetter"/>
      <w:start w:val="4"/>
    </w:lvl>
    <w:lvl w:ilvl="1">
      <w:lvlJc w:val="left"/>
      <w:lvlText w:val="%2"/>
      <w:numFmt w:val="lowerRoman"/>
      <w:start w:val="1"/>
    </w:lvl>
  </w:abstractNum>
  <w:abstractNum w:abstractNumId="113">
    <w:nsid w:val="1816F8C4"/>
    <w:multiLevelType w:val="hybridMultilevel"/>
    <w:lvl w:ilvl="0">
      <w:lvlJc w:val="left"/>
      <w:lvlText w:val="(%1)"/>
      <w:numFmt w:val="lowerLetter"/>
      <w:start w:val="5"/>
    </w:lvl>
  </w:abstractNum>
  <w:abstractNum w:abstractNumId="114">
    <w:nsid w:val="37DF2233"/>
    <w:multiLevelType w:val="hybridMultilevel"/>
    <w:lvl w:ilvl="0">
      <w:lvlJc w:val="left"/>
      <w:lvlText w:val="(%1)"/>
      <w:numFmt w:val="lowerLetter"/>
      <w:start w:val="6"/>
    </w:lvl>
  </w:abstractNum>
  <w:abstractNum w:abstractNumId="115">
    <w:nsid w:val="7AB49DAF"/>
    <w:multiLevelType w:val="hybridMultilevel"/>
    <w:lvl w:ilvl="0">
      <w:lvlJc w:val="left"/>
      <w:lvlText w:val="(%1)"/>
      <w:numFmt w:val="lowerLetter"/>
      <w:start w:val="14"/>
    </w:lvl>
  </w:abstractNum>
  <w:abstractNum w:abstractNumId="116">
    <w:nsid w:val="759F82CD"/>
    <w:multiLevelType w:val="hybridMultilevel"/>
    <w:lvl w:ilvl="0">
      <w:lvlJc w:val="left"/>
      <w:lvlText w:val="%1"/>
      <w:numFmt w:val="decimal"/>
      <w:start w:val="1"/>
    </w:lvl>
    <w:lvl w:ilvl="1">
      <w:lvlJc w:val="left"/>
      <w:lvlText w:val="%2."/>
      <w:numFmt w:val="decimal"/>
      <w:start w:val="1"/>
    </w:lvl>
  </w:abstractNum>
  <w:abstractNum w:abstractNumId="117">
    <w:nsid w:val="61E74EA3"/>
    <w:multiLevelType w:val="hybridMultilevel"/>
    <w:lvl w:ilvl="0">
      <w:lvlJc w:val="left"/>
      <w:lvlText w:val="(%1)"/>
      <w:numFmt w:val="decimal"/>
      <w:start w:val="30"/>
    </w:lvl>
    <w:lvl w:ilvl="1">
      <w:lvlJc w:val="left"/>
      <w:lvlText w:val="%2"/>
      <w:numFmt w:val="decimal"/>
      <w:start w:val="1"/>
    </w:lvl>
  </w:abstractNum>
  <w:abstractNum w:abstractNumId="118">
    <w:nsid w:val="597B4D84"/>
    <w:multiLevelType w:val="hybridMultilevel"/>
    <w:lvl w:ilvl="0">
      <w:lvlJc w:val="left"/>
      <w:lvlText w:val="%1."/>
      <w:numFmt w:val="decimal"/>
      <w:start w:val="7"/>
    </w:lvl>
  </w:abstractNum>
  <w:abstractNum w:abstractNumId="119">
    <w:nsid w:val="F819E7F"/>
    <w:multiLevelType w:val="hybridMultilevel"/>
    <w:lvl w:ilvl="0">
      <w:lvlJc w:val="left"/>
      <w:lvlText w:val="%1."/>
      <w:numFmt w:val="decimal"/>
      <w:start w:val="1"/>
    </w:lvl>
    <w:lvl w:ilvl="1">
      <w:lvlJc w:val="left"/>
      <w:lvlText w:val="(%2)"/>
      <w:numFmt w:val="lowerLetter"/>
      <w:start w:val="1"/>
    </w:lvl>
  </w:abstractNum>
  <w:abstractNum w:abstractNumId="120">
    <w:nsid w:val="57C7D42D"/>
    <w:multiLevelType w:val="hybridMultilevel"/>
    <w:lvl w:ilvl="0">
      <w:lvlJc w:val="left"/>
      <w:lvlText w:val="%1"/>
      <w:numFmt w:val="decimal"/>
      <w:start w:val="1"/>
    </w:lvl>
    <w:lvl w:ilvl="1">
      <w:lvlJc w:val="left"/>
      <w:lvlText w:val="(%2)"/>
      <w:numFmt w:val="lowerLetter"/>
      <w:start w:val="3"/>
    </w:lvl>
  </w:abstractNum>
  <w:abstractNum w:abstractNumId="121">
    <w:nsid w:val="312167AD"/>
    <w:multiLevelType w:val="hybridMultilevel"/>
    <w:lvl w:ilvl="0">
      <w:lvlJc w:val="left"/>
      <w:lvlText w:val="%1."/>
      <w:numFmt w:val="decimal"/>
      <w:start w:val="4"/>
    </w:lvl>
    <w:lvl w:ilvl="1">
      <w:lvlJc w:val="left"/>
      <w:lvlText w:val="(%2)"/>
      <w:numFmt w:val="lowerLetter"/>
      <w:start w:val="1"/>
    </w:lvl>
  </w:abstractNum>
  <w:abstractNum w:abstractNumId="122">
    <w:nsid w:val="631B64D4"/>
    <w:multiLevelType w:val="hybridMultilevel"/>
    <w:lvl w:ilvl="0">
      <w:lvlJc w:val="left"/>
      <w:lvlText w:val="%1"/>
      <w:numFmt w:val="decimal"/>
      <w:start w:val="1"/>
    </w:lvl>
    <w:lvl w:ilvl="1">
      <w:lvlJc w:val="left"/>
      <w:lvlText w:val="(%2)"/>
      <w:numFmt w:val="lowerLetter"/>
      <w:start w:val="2"/>
    </w:lvl>
  </w:abstractNum>
  <w:abstractNum w:abstractNumId="123">
    <w:nsid w:val="78B5E776"/>
    <w:multiLevelType w:val="hybridMultilevel"/>
    <w:lvl w:ilvl="0">
      <w:lvlJc w:val="left"/>
      <w:lvlText w:val="%1."/>
      <w:numFmt w:val="decimal"/>
      <w:start w:val="6"/>
    </w:lvl>
    <w:lvl w:ilvl="1">
      <w:lvlJc w:val="left"/>
      <w:lvlText w:val="(%2)"/>
      <w:numFmt w:val="lowerLetter"/>
      <w:start w:val="1"/>
    </w:lvl>
  </w:abstractNum>
  <w:abstractNum w:abstractNumId="124">
    <w:nsid w:val="75486E4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5">
    <w:nsid w:val="6E534CD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6">
    <w:nsid w:val="1A0DDE32"/>
    <w:multiLevelType w:val="hybridMultilevel"/>
    <w:lvl w:ilvl="0">
      <w:lvlJc w:val="left"/>
      <w:lvlText w:val="%1"/>
      <w:numFmt w:val="decimal"/>
      <w:start w:val="1"/>
    </w:lvl>
    <w:lvl w:ilvl="1">
      <w:lvlJc w:val="left"/>
      <w:lvlText w:val="(%2)"/>
      <w:numFmt w:val="lowerLetter"/>
      <w:start w:val="2"/>
    </w:lvl>
  </w:abstractNum>
  <w:abstractNum w:abstractNumId="127">
    <w:nsid w:val="65968C1C"/>
    <w:multiLevelType w:val="hybridMultilevel"/>
    <w:lvl w:ilvl="0">
      <w:lvlJc w:val="left"/>
      <w:lvlText w:val="%1."/>
      <w:numFmt w:val="decimal"/>
      <w:start w:val="10"/>
    </w:lvl>
    <w:lvl w:ilvl="1">
      <w:lvlJc w:val="left"/>
      <w:lvlText w:val="%2"/>
      <w:numFmt w:val="lowerLetter"/>
      <w:start w:val="1"/>
    </w:lvl>
  </w:abstractNum>
  <w:abstractNum w:abstractNumId="128">
    <w:nsid w:val="46263DEC"/>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lvl w:ilvl="3">
      <w:lvlJc w:val="left"/>
      <w:lvlText w:val="%4"/>
      <w:numFmt w:val="lowerRoman"/>
      <w:start w:val="1"/>
    </w:lvl>
  </w:abstractNum>
  <w:abstractNum w:abstractNumId="129">
    <w:nsid w:val="260D8C4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30">
    <w:nsid w:val="73D4D3C4"/>
    <w:multiLevelType w:val="hybridMultilevel"/>
    <w:lvl w:ilvl="0">
      <w:lvlJc w:val="left"/>
      <w:lvlText w:val="(%1)"/>
      <w:numFmt w:val="lowerLetter"/>
      <w:start w:val="4"/>
    </w:lvl>
  </w:abstractNum>
  <w:abstractNum w:abstractNumId="131">
    <w:nsid w:val="746F2E30"/>
    <w:multiLevelType w:val="hybridMultilevel"/>
    <w:lvl w:ilvl="0">
      <w:lvlJc w:val="left"/>
      <w:lvlText w:val="(%1)"/>
      <w:numFmt w:val="lowerLetter"/>
      <w:start w:val="5"/>
    </w:lvl>
  </w:abstractNum>
  <w:abstractNum w:abstractNumId="132">
    <w:nsid w:val="6FDE8AF6"/>
    <w:multiLevelType w:val="hybridMultilevel"/>
    <w:lvl w:ilvl="0">
      <w:lvlJc w:val="left"/>
      <w:lvlText w:val="(%1)"/>
      <w:numFmt w:val="lowerLetter"/>
      <w:start w:val="6"/>
    </w:lvl>
  </w:abstractNum>
  <w:abstractNum w:abstractNumId="133">
    <w:nsid w:val="3FC32E20"/>
    <w:multiLevelType w:val="hybridMultilevel"/>
    <w:lvl w:ilvl="0">
      <w:lvlJc w:val="left"/>
      <w:lvlText w:val="(%1)"/>
      <w:numFmt w:val="lowerLetter"/>
      <w:start w:val="15"/>
    </w:lvl>
  </w:abstractNum>
  <w:abstractNum w:abstractNumId="134">
    <w:nsid w:val="49C0E823"/>
    <w:multiLevelType w:val="hybridMultilevel"/>
    <w:lvl w:ilvl="0">
      <w:lvlJc w:val="left"/>
      <w:lvlText w:val="%1"/>
      <w:numFmt w:val="decimal"/>
      <w:start w:val="1"/>
    </w:lvl>
    <w:lvl w:ilvl="1">
      <w:lvlJc w:val="left"/>
      <w:lvlText w:val="%2."/>
      <w:numFmt w:val="decimal"/>
      <w:start w:val="1"/>
    </w:lvl>
  </w:abstractNum>
  <w:abstractNum w:abstractNumId="135">
    <w:nsid w:val="14D53685"/>
    <w:multiLevelType w:val="hybridMultilevel"/>
    <w:lvl w:ilvl="0">
      <w:lvlJc w:val="left"/>
      <w:lvlText w:val="(%1)"/>
      <w:numFmt w:val="decimal"/>
      <w:start w:val="30"/>
    </w:lvl>
    <w:lvl w:ilvl="1">
      <w:lvlJc w:val="left"/>
      <w:lvlText w:val="%2"/>
      <w:numFmt w:val="decimal"/>
      <w:start w:val="1"/>
    </w:lvl>
  </w:abstractNum>
  <w:abstractNum w:abstractNumId="136">
    <w:nsid w:val="230F856C"/>
    <w:multiLevelType w:val="hybridMultilevel"/>
    <w:lvl w:ilvl="0">
      <w:lvlJc w:val="left"/>
      <w:lvlText w:val="%1."/>
      <w:numFmt w:val="decimal"/>
      <w:start w:val="7"/>
    </w:lvl>
  </w:abstractNum>
  <w:abstractNum w:abstractNumId="137">
    <w:nsid w:val="6EAA85FB"/>
    <w:multiLevelType w:val="hybridMultilevel"/>
    <w:lvl w:ilvl="0">
      <w:lvlJc w:val="left"/>
      <w:lvlText w:val="%1."/>
      <w:numFmt w:val="upperLetter"/>
      <w:start w:val="9"/>
    </w:lvl>
  </w:abstractNum>
  <w:abstractNum w:abstractNumId="138">
    <w:nsid w:val="3F06ECB2"/>
    <w:multiLevelType w:val="hybridMultilevel"/>
    <w:lvl w:ilvl="0">
      <w:lvlJc w:val="left"/>
      <w:lvlText w:val="%1."/>
      <w:numFmt w:val="upperLetter"/>
      <w:start w:val="35"/>
    </w:lvl>
  </w:abstractNum>
  <w:abstractNum w:abstractNumId="139">
    <w:nsid w:val="3B594807"/>
    <w:multiLevelType w:val="hybridMultilevel"/>
    <w:lvl w:ilvl="0">
      <w:lvlJc w:val="left"/>
      <w:lvlText w:val="%1."/>
      <w:numFmt w:val="upperLetter"/>
      <w:start w:val="1"/>
    </w:lvl>
  </w:abstractNum>
  <w:abstractNum w:abstractNumId="140">
    <w:nsid w:val="6CAA2304"/>
    <w:multiLevelType w:val="hybridMultilevel"/>
    <w:lvl w:ilvl="0">
      <w:lvlJc w:val="left"/>
      <w:lvlText w:val="•"/>
      <w:numFmt w:val="bullet"/>
      <w:start w:val="1"/>
    </w:lvl>
  </w:abstractNum>
  <w:abstractNum w:abstractNumId="141">
    <w:nsid w:val="3F7C2FF4"/>
    <w:multiLevelType w:val="hybridMultilevel"/>
    <w:lvl w:ilvl="0">
      <w:lvlJc w:val="left"/>
      <w:lvlText w:val="%1."/>
      <w:numFmt w:val="upperLetter"/>
      <w:start w:val="2"/>
    </w:lvl>
  </w:abstractNum>
  <w:abstractNum w:abstractNumId="142">
    <w:nsid w:val="25413BEC"/>
    <w:multiLevelType w:val="hybridMultilevel"/>
    <w:lvl w:ilvl="0">
      <w:lvlJc w:val="left"/>
      <w:lvlText w:val="•"/>
      <w:numFmt w:val="bullet"/>
      <w:start w:val="1"/>
    </w:lvl>
  </w:abstractNum>
  <w:abstractNum w:abstractNumId="143">
    <w:nsid w:val="17180B0B"/>
    <w:multiLevelType w:val="hybridMultilevel"/>
    <w:lvl w:ilvl="0">
      <w:lvlJc w:val="left"/>
      <w:lvlText w:val="%1."/>
      <w:numFmt w:val="upperLetter"/>
      <w:start w:val="3"/>
    </w:lvl>
  </w:abstractNum>
  <w:abstractNum w:abstractNumId="144">
    <w:nsid w:val="579328B9"/>
    <w:multiLevelType w:val="hybridMultilevel"/>
    <w:lvl w:ilvl="0">
      <w:lvlJc w:val="left"/>
      <w:lvlText w:val="•"/>
      <w:numFmt w:val="bullet"/>
      <w:start w:val="1"/>
    </w:lvl>
  </w:abstractNum>
  <w:abstractNum w:abstractNumId="145">
    <w:nsid w:val="5D205E20"/>
    <w:multiLevelType w:val="hybridMultilevel"/>
    <w:lvl w:ilvl="0">
      <w:lvlJc w:val="left"/>
      <w:lvlText w:val="%1."/>
      <w:numFmt w:val="upperLetter"/>
      <w:start w:val="4"/>
    </w:lvl>
  </w:abstractNum>
  <w:abstractNum w:abstractNumId="146">
    <w:nsid w:val="11CCA8BA"/>
    <w:multiLevelType w:val="hybridMultilevel"/>
    <w:lvl w:ilvl="0">
      <w:lvlJc w:val="left"/>
      <w:lvlText w:val="•"/>
      <w:numFmt w:val="bullet"/>
      <w:start w:val="1"/>
    </w:lvl>
  </w:abstractNum>
  <w:abstractNum w:abstractNumId="147">
    <w:nsid w:val="4D32AB86"/>
    <w:multiLevelType w:val="hybridMultilevel"/>
    <w:lvl w:ilvl="0">
      <w:lvlJc w:val="left"/>
      <w:lvlText w:val="%1."/>
      <w:numFmt w:val="upperLetter"/>
      <w:start w:val="61"/>
    </w:lvl>
    <w:lvl w:ilvl="1">
      <w:lvlJc w:val="left"/>
      <w:lvlText w:val="%2."/>
      <w:numFmt w:val="upperLetter"/>
      <w:start w:val="1"/>
    </w:lvl>
  </w:abstractNum>
  <w:abstractNum w:abstractNumId="148">
    <w:nsid w:val="3F07ACC3"/>
    <w:multiLevelType w:val="hybridMultilevel"/>
    <w:lvl w:ilvl="0">
      <w:lvlJc w:val="left"/>
      <w:lvlText w:val="•"/>
      <w:numFmt w:val="bullet"/>
      <w:start w:val="1"/>
    </w:lvl>
  </w:abstractNum>
  <w:abstractNum w:abstractNumId="149">
    <w:nsid w:val="6B47F63E"/>
    <w:multiLevelType w:val="hybridMultilevel"/>
    <w:lvl w:ilvl="0">
      <w:lvlJc w:val="left"/>
      <w:lvlText w:val="%1."/>
      <w:numFmt w:val="upperLetter"/>
      <w:start w:val="1"/>
    </w:lvl>
  </w:abstractNum>
  <w:abstractNum w:abstractNumId="150">
    <w:nsid w:val="5CB44A05"/>
    <w:multiLevelType w:val="hybridMultilevel"/>
    <w:lvl w:ilvl="0">
      <w:lvlJc w:val="left"/>
      <w:lvlText w:val="%1."/>
      <w:numFmt w:val="upperLetter"/>
      <w:start w:val="21"/>
    </w:lvl>
    <w:lvl w:ilvl="1">
      <w:lvlJc w:val="left"/>
      <w:lvlText w:val="•"/>
      <w:numFmt w:val="bullet"/>
      <w:start w:val="1"/>
    </w:lvl>
  </w:abstractNum>
  <w:abstractNum w:abstractNumId="151">
    <w:nsid w:val="16CF80F1"/>
    <w:multiLevelType w:val="hybridMultilevel"/>
    <w:lvl w:ilvl="0">
      <w:lvlJc w:val="left"/>
      <w:lvlText w:val="%1."/>
      <w:numFmt w:val="upperLetter"/>
      <w:start w:val="1"/>
    </w:lvl>
  </w:abstractNum>
  <w:abstractNum w:abstractNumId="152">
    <w:nsid w:val="1C695DEC"/>
    <w:multiLevelType w:val="hybridMultilevel"/>
    <w:lvl w:ilvl="0">
      <w:lvlJc w:val="left"/>
      <w:lvlText w:val="•"/>
      <w:numFmt w:val="bullet"/>
      <w:start w:val="1"/>
    </w:lvl>
  </w:abstractNum>
  <w:abstractNum w:abstractNumId="153">
    <w:nsid w:val="3FCFAED9"/>
    <w:multiLevelType w:val="hybridMultilevel"/>
    <w:lvl w:ilvl="0">
      <w:lvlJc w:val="left"/>
      <w:lvlText w:val="%1."/>
      <w:numFmt w:val="upperLetter"/>
      <w:start w:val="1"/>
    </w:lvl>
  </w:abstractNum>
  <w:abstractNum w:abstractNumId="154">
    <w:nsid w:val="F856867"/>
    <w:multiLevelType w:val="hybridMultilevel"/>
    <w:lvl w:ilvl="0">
      <w:lvlJc w:val="left"/>
      <w:lvlText w:val="•"/>
      <w:numFmt w:val="bullet"/>
      <w:start w:val="1"/>
    </w:lvl>
  </w:abstractNum>
  <w:abstractNum w:abstractNumId="155">
    <w:nsid w:val="11B1CC33"/>
    <w:multiLevelType w:val="hybridMultilevel"/>
    <w:lvl w:ilvl="0">
      <w:lvlJc w:val="left"/>
      <w:lvlText w:val="%1."/>
      <w:numFmt w:val="upperLetter"/>
      <w:start w:val="2"/>
    </w:lvl>
  </w:abstractNum>
  <w:abstractNum w:abstractNumId="156">
    <w:nsid w:val="2E22FBB7"/>
    <w:multiLevelType w:val="hybridMultilevel"/>
    <w:lvl w:ilvl="0">
      <w:lvlJc w:val="left"/>
      <w:lvlText w:val="•"/>
      <w:numFmt w:val="bullet"/>
      <w:start w:val="1"/>
    </w:lvl>
  </w:abstractNum>
  <w:abstractNum w:abstractNumId="157">
    <w:nsid w:val="29934699"/>
    <w:multiLevelType w:val="hybridMultilevel"/>
    <w:lvl w:ilvl="0">
      <w:lvlJc w:val="left"/>
      <w:lvlText w:val="%1."/>
      <w:numFmt w:val="upperLetter"/>
      <w:start w:val="3"/>
    </w:lvl>
  </w:abstractNum>
  <w:abstractNum w:abstractNumId="158">
    <w:nsid w:val="77485850"/>
    <w:multiLevelType w:val="hybridMultilevel"/>
    <w:lvl w:ilvl="0">
      <w:lvlJc w:val="left"/>
      <w:lvlText w:val="•"/>
      <w:numFmt w:val="bullet"/>
      <w:start w:val="1"/>
    </w:lvl>
  </w:abstractNum>
  <w:abstractNum w:abstractNumId="159">
    <w:nsid w:val="744939A3"/>
    <w:multiLevelType w:val="hybridMultilevel"/>
    <w:lvl w:ilvl="0">
      <w:lvlJc w:val="left"/>
      <w:lvlText w:val="%1."/>
      <w:numFmt w:val="upperLetter"/>
      <w:start w:val="4"/>
    </w:lvl>
  </w:abstractNum>
  <w:abstractNum w:abstractNumId="160">
    <w:nsid w:val="4FA0D2E3"/>
    <w:multiLevelType w:val="hybridMultilevel"/>
    <w:lvl w:ilvl="0">
      <w:lvlJc w:val="left"/>
      <w:lvlText w:val="•"/>
      <w:numFmt w:val="bullet"/>
      <w:start w:val="1"/>
    </w:lvl>
  </w:abstractNum>
  <w:abstractNum w:abstractNumId="161">
    <w:nsid w:val="6B1D2C14"/>
    <w:multiLevelType w:val="hybridMultilevel"/>
    <w:lvl w:ilvl="0">
      <w:lvlJc w:val="left"/>
      <w:lvlText w:val="%1."/>
      <w:numFmt w:val="upperLetter"/>
      <w:start w:val="1"/>
    </w:lvl>
  </w:abstractNum>
  <w:abstractNum w:abstractNumId="162">
    <w:nsid w:val="68B867D3"/>
    <w:multiLevelType w:val="hybridMultilevel"/>
    <w:lvl w:ilvl="0">
      <w:lvlJc w:val="left"/>
      <w:lvlText w:val="•"/>
      <w:numFmt w:val="bullet"/>
      <w:start w:val="1"/>
    </w:lvl>
  </w:abstractNum>
  <w:abstractNum w:abstractNumId="163">
    <w:nsid w:val="3F7F5DD9"/>
    <w:multiLevelType w:val="hybridMultilevel"/>
    <w:lvl w:ilvl="0">
      <w:lvlJc w:val="left"/>
      <w:lvlText w:val="%1."/>
      <w:numFmt w:val="upperLetter"/>
      <w:start w:val="1"/>
    </w:lvl>
  </w:abstractNum>
  <w:abstractNum w:abstractNumId="164">
    <w:nsid w:val="2AE05A34"/>
    <w:multiLevelType w:val="hybridMultilevel"/>
    <w:lvl w:ilvl="0">
      <w:lvlJc w:val="left"/>
      <w:lvlText w:val="•"/>
      <w:numFmt w:val="bullet"/>
      <w:start w:val="1"/>
    </w:lvl>
  </w:abstractNum>
  <w:abstractNum w:abstractNumId="165">
    <w:nsid w:val="32794FF7"/>
    <w:multiLevelType w:val="hybridMultilevel"/>
    <w:lvl w:ilvl="0">
      <w:lvlJc w:val="left"/>
      <w:lvlText w:val="%1."/>
      <w:numFmt w:val="upperLetter"/>
      <w:start w:val="2"/>
    </w:lvl>
  </w:abstractNum>
  <w:abstractNum w:abstractNumId="166">
    <w:nsid w:val="5454945E"/>
    <w:multiLevelType w:val="hybridMultilevel"/>
    <w:lvl w:ilvl="0">
      <w:lvlJc w:val="left"/>
      <w:lvlText w:val="•"/>
      <w:numFmt w:val="bullet"/>
      <w:start w:val="1"/>
    </w:lvl>
  </w:abstractNum>
  <w:abstractNum w:abstractNumId="167">
    <w:nsid w:val="4DEFDFA0"/>
    <w:multiLevelType w:val="hybridMultilevel"/>
    <w:lvl w:ilvl="0">
      <w:lvlJc w:val="left"/>
      <w:lvlText w:val="%1."/>
      <w:numFmt w:val="decimal"/>
      <w:start w:val="1"/>
    </w:lvl>
    <w:lvl w:ilvl="1">
      <w:lvlJc w:val="left"/>
      <w:lvlText w:val="%2)"/>
      <w:numFmt w:val="lowerLetter"/>
      <w:start w:val="1"/>
    </w:lvl>
  </w:abstractNum>
  <w:abstractNum w:abstractNumId="168">
    <w:nsid w:val="2123D5F2"/>
    <w:multiLevelType w:val="hybridMultilevel"/>
    <w:lvl w:ilvl="0">
      <w:lvlJc w:val="left"/>
      <w:lvlText w:val="%1."/>
      <w:numFmt w:val="decimal"/>
      <w:start w:val="1"/>
    </w:lvl>
    <w:lvl w:ilvl="1">
      <w:lvlJc w:val="left"/>
      <w:lvlText w:val="%2)"/>
      <w:numFmt w:val="lowerLetter"/>
      <w:start w:val="1"/>
    </w:lvl>
  </w:abstractNum>
  <w:abstractNum w:abstractNumId="169">
    <w:nsid w:val="135B8110"/>
    <w:multiLevelType w:val="hybridMultilevel"/>
    <w:lvl w:ilvl="0">
      <w:lvlJc w:val="left"/>
      <w:lvlText w:val="(%1)"/>
      <w:numFmt w:val="decimal"/>
      <w:start w:val="1"/>
    </w:lvl>
  </w:abstractNum>
  <w:abstractNum w:abstractNumId="170">
    <w:nsid w:val="94927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39" Type="http://schemas.openxmlformats.org/officeDocument/2006/relationships/hyperlink" Target="https://www.sec.gov/Archives/edgar/data/1581760/000119312522120522/d328928dex31.htm" TargetMode="External"/><Relationship Id="rId140" Type="http://schemas.openxmlformats.org/officeDocument/2006/relationships/hyperlink" Target="https://www.sec.gov/Archives/edgar/data/1581760/000158176023000031/exhibit32-life360fy22x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2024-05-10T05:23:52Z</dcterms:created>
  <dcterms:modified xsi:type="dcterms:W3CDTF">2024-05-10T05:23:52Z</dcterms:modified>
</cp:coreProperties>
</file>