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960"/>
        <w:spacing w:after="0"/>
        <w:rPr>
          <w:sz w:val="20"/>
          <w:szCs w:val="20"/>
          <w:color w:val="auto"/>
        </w:rPr>
      </w:pPr>
      <w:r>
        <w:rPr>
          <w:rFonts w:ascii="Times New Roman" w:cs="Times New Roman" w:eastAsia="Times New Roman" w:hAnsi="Times New Roman"/>
          <w:sz w:val="19"/>
          <w:szCs w:val="19"/>
          <w:color w:val="auto"/>
        </w:rPr>
        <w:t>______________</w:t>
      </w: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32" w:lineRule="exact"/>
        <w:rPr>
          <w:sz w:val="24"/>
          <w:szCs w:val="24"/>
          <w:color w:val="auto"/>
        </w:rPr>
      </w:pPr>
    </w:p>
    <w:p>
      <w:pPr>
        <w:ind w:left="4120" w:right="1600" w:hanging="4094"/>
        <w:spacing w:after="0" w:line="348" w:lineRule="auto"/>
        <w:tabs>
          <w:tab w:leader="none" w:pos="491"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6" w:lineRule="exact"/>
        <w:rPr>
          <w:sz w:val="24"/>
          <w:szCs w:val="24"/>
          <w:color w:val="auto"/>
        </w:rPr>
      </w:pPr>
    </w:p>
    <w:p>
      <w:pPr>
        <w:ind w:left="3640" w:right="1600" w:hanging="3614"/>
        <w:spacing w:after="0" w:line="552" w:lineRule="auto"/>
        <w:tabs>
          <w:tab w:leader="none" w:pos="47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000-56424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Life360, Inc.</w:t>
      </w:r>
    </w:p>
    <w:p>
      <w:pPr>
        <w:sectPr>
          <w:pgSz w:w="11900" w:h="16838" w:orient="portrait"/>
          <w:cols w:equalWidth="0" w:num="1">
            <w:col w:w="11240"/>
          </w:cols>
          <w:pgMar w:left="320" w:top="225" w:right="339" w:bottom="0" w:gutter="0" w:footer="0" w:header="0"/>
        </w:sectPr>
      </w:pPr>
    </w:p>
    <w:p>
      <w:pPr>
        <w:spacing w:after="0" w:line="5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67"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311"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539 Bryant Street, Suite 402</w:t>
      </w:r>
    </w:p>
    <w:p>
      <w:pPr>
        <w:spacing w:after="0" w:line="31"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San Francisco, CA</w:t>
      </w:r>
    </w:p>
    <w:p>
      <w:pPr>
        <w:spacing w:after="0" w:line="45"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302" w:lineRule="exact"/>
        <w:rPr>
          <w:sz w:val="24"/>
          <w:szCs w:val="24"/>
          <w:color w:val="auto"/>
        </w:rPr>
      </w:pPr>
    </w:p>
    <w:p>
      <w:pPr>
        <w:jc w:val="center"/>
        <w:ind w:left="3720"/>
        <w:spacing w:after="0"/>
        <w:rPr>
          <w:sz w:val="20"/>
          <w:szCs w:val="20"/>
          <w:color w:val="auto"/>
        </w:rPr>
      </w:pPr>
      <w:r>
        <w:rPr>
          <w:rFonts w:ascii="Times New Roman" w:cs="Times New Roman" w:eastAsia="Times New Roman" w:hAnsi="Times New Roman"/>
          <w:sz w:val="18"/>
          <w:szCs w:val="18"/>
          <w:b w:val="1"/>
          <w:bCs w:val="1"/>
          <w:color w:val="auto"/>
        </w:rPr>
        <w:t>Tel: (415) 484-5244</w:t>
      </w:r>
    </w:p>
    <w:p>
      <w:pPr>
        <w:spacing w:after="0" w:line="31" w:lineRule="exact"/>
        <w:rPr>
          <w:sz w:val="24"/>
          <w:szCs w:val="24"/>
          <w:color w:val="auto"/>
        </w:rPr>
      </w:pPr>
    </w:p>
    <w:p>
      <w:pPr>
        <w:jc w:val="center"/>
        <w:ind w:left="37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2"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26-0197666</w:t>
      </w:r>
    </w:p>
    <w:p>
      <w:pPr>
        <w:spacing w:after="0" w:line="8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pacing w:after="0" w:line="365"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94107</w:t>
      </w:r>
    </w:p>
    <w:p>
      <w:pPr>
        <w:spacing w:after="0" w:line="31"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color w:val="auto"/>
        </w:rPr>
        <w:t>(Zip Code)</w:t>
      </w:r>
    </w:p>
    <w:p>
      <w:pPr>
        <w:spacing w:after="0" w:line="944" w:lineRule="exact"/>
        <w:rPr>
          <w:sz w:val="24"/>
          <w:szCs w:val="24"/>
          <w:color w:val="auto"/>
        </w:rPr>
      </w:pPr>
    </w:p>
    <w:p>
      <w:pPr>
        <w:sectPr>
          <w:pgSz w:w="11900" w:h="16838" w:orient="portrait"/>
          <w:cols w:equalWidth="0" w:num="2">
            <w:col w:w="7520" w:space="240"/>
            <w:col w:w="3480"/>
          </w:cols>
          <w:pgMar w:left="320" w:top="225" w:right="339" w:bottom="0" w:gutter="0" w:footer="0" w:header="0"/>
          <w:type w:val="continuous"/>
        </w:sectPr>
      </w:pP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 as amended (the “Exchange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None.</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52" w:lineRule="exact"/>
        <w:rPr>
          <w:sz w:val="24"/>
          <w:szCs w:val="24"/>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o</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143" w:lineRule="exact"/>
        <w:rPr>
          <w:sz w:val="24"/>
          <w:szCs w:val="24"/>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75" w:lineRule="exact"/>
        <w:rPr>
          <w:sz w:val="24"/>
          <w:szCs w:val="24"/>
          <w:color w:val="auto"/>
        </w:rPr>
      </w:pPr>
    </w:p>
    <w:p>
      <w:pPr>
        <w:ind w:left="1860"/>
        <w:spacing w:after="0"/>
        <w:tabs>
          <w:tab w:leader="none" w:pos="4260" w:val="left"/>
          <w:tab w:leader="none" w:pos="6380" w:val="left"/>
          <w:tab w:leader="none" w:pos="92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Arial" w:cs="Arial" w:eastAsia="Arial" w:hAnsi="Arial"/>
          <w:sz w:val="17"/>
          <w:szCs w:val="17"/>
          <w:color w:val="auto"/>
        </w:rPr>
        <w:t>o</w:t>
      </w:r>
    </w:p>
    <w:p>
      <w:pPr>
        <w:spacing w:after="0" w:line="32" w:lineRule="exact"/>
        <w:rPr>
          <w:sz w:val="24"/>
          <w:szCs w:val="24"/>
          <w:color w:val="auto"/>
        </w:rPr>
      </w:pPr>
    </w:p>
    <w:p>
      <w:pPr>
        <w:ind w:left="1860"/>
        <w:spacing w:after="0"/>
        <w:tabs>
          <w:tab w:leader="none" w:pos="3980" w:val="left"/>
          <w:tab w:leader="none" w:pos="6380" w:val="left"/>
          <w:tab w:leader="none" w:pos="926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Arial" w:cs="Arial" w:eastAsia="Arial" w:hAnsi="Arial"/>
          <w:sz w:val="17"/>
          <w:szCs w:val="17"/>
          <w:color w:val="auto"/>
        </w:rPr>
        <w:t>o</w:t>
      </w:r>
    </w:p>
    <w:p>
      <w:pPr>
        <w:spacing w:after="0" w:line="23" w:lineRule="exact"/>
        <w:rPr>
          <w:sz w:val="24"/>
          <w:szCs w:val="24"/>
          <w:color w:val="auto"/>
        </w:rPr>
      </w:pPr>
    </w:p>
    <w:p>
      <w:pPr>
        <w:ind w:left="1860"/>
        <w:spacing w:after="0"/>
        <w:tabs>
          <w:tab w:leader="none" w:pos="39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Arial" w:cs="Arial" w:eastAsia="Arial" w:hAnsi="Arial"/>
          <w:sz w:val="16"/>
          <w:szCs w:val="16"/>
          <w:color w:val="auto"/>
        </w:rPr>
        <w:t>x</w:t>
      </w:r>
    </w:p>
    <w:p>
      <w:pPr>
        <w:spacing w:after="0" w:line="270" w:lineRule="exact"/>
        <w:rPr>
          <w:sz w:val="24"/>
          <w:szCs w:val="24"/>
          <w:color w:val="auto"/>
        </w:rPr>
      </w:pPr>
    </w:p>
    <w:p>
      <w:pPr>
        <w:ind w:right="160"/>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28" w:lineRule="exact"/>
        <w:rPr>
          <w:sz w:val="24"/>
          <w:szCs w:val="24"/>
          <w:color w:val="auto"/>
        </w:rPr>
      </w:pPr>
    </w:p>
    <w:p>
      <w:pPr>
        <w:spacing w:after="0"/>
        <w:tabs>
          <w:tab w:leader="none" w:pos="8380" w:val="left"/>
          <w:tab w:leader="none" w:pos="91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Arial" w:cs="Arial" w:eastAsia="Arial" w:hAnsi="Arial"/>
          <w:sz w:val="18"/>
          <w:szCs w:val="18"/>
          <w:color w:val="auto"/>
        </w:rPr>
        <w:t>o</w:t>
      </w:r>
      <w:r>
        <w:rPr>
          <w:rFonts w:ascii="Times New Roman" w:cs="Times New Roman" w:eastAsia="Times New Roman" w:hAnsi="Times New Roman"/>
          <w:sz w:val="18"/>
          <w:szCs w:val="18"/>
          <w:color w:val="auto"/>
        </w:rPr>
        <w:tab/>
        <w:t xml:space="preserve">No </w:t>
      </w:r>
      <w:r>
        <w:rPr>
          <w:rFonts w:ascii="Arial" w:cs="Arial" w:eastAsia="Arial" w:hAnsi="Arial"/>
          <w:sz w:val="18"/>
          <w:szCs w:val="18"/>
          <w:color w:val="auto"/>
        </w:rPr>
        <w:t>x</w:t>
      </w:r>
    </w:p>
    <w:p>
      <w:pPr>
        <w:spacing w:after="0" w:line="18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of August 15, 2022, the registrant had 62,110,448 shares of common stock, par value $0.001 per share, including shares underlying all issued and outstanding Chess Depository Interests (“CDIs”), outstanding.</w:t>
      </w:r>
    </w:p>
    <w:p>
      <w:pPr>
        <w:sectPr>
          <w:pgSz w:w="11900" w:h="16838" w:orient="portrait"/>
          <w:cols w:equalWidth="0" w:num="1">
            <w:col w:w="11240"/>
          </w:cols>
          <w:pgMar w:left="320" w:top="225" w:right="339" w:bottom="0" w:gutter="0" w:footer="0" w:header="0"/>
          <w:type w:val="continuous"/>
        </w:sectPr>
      </w:pPr>
    </w:p>
    <w:bookmarkStart w:id="1" w:name="page2"/>
    <w:bookmarkEnd w:id="1"/>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Life360, Inc.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 for the Quarter Ended June 30, 2022</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34"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33655</wp:posOffset>
            </wp:positionV>
            <wp:extent cx="471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720" w:type="dxa"/>
            <w:vAlign w:val="bottom"/>
          </w:tcPr>
          <w:p>
            <w:pPr>
              <w:spacing w:after="0"/>
              <w:rPr>
                <w:sz w:val="18"/>
                <w:szCs w:val="18"/>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860" w:type="dxa"/>
            <w:vAlign w:val="bottom"/>
            <w:gridSpan w:val="2"/>
          </w:tcPr>
          <w:p>
            <w:pPr>
              <w:spacing w:after="0"/>
              <w:rPr>
                <w:sz w:val="18"/>
                <w:szCs w:val="18"/>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00" w:type="dxa"/>
            <w:vAlign w:val="bottom"/>
            <w:gridSpan w:val="2"/>
          </w:tcPr>
          <w:p>
            <w:pPr>
              <w:spacing w:after="0"/>
              <w:rPr>
                <w:sz w:val="24"/>
                <w:szCs w:val="24"/>
                <w:color w:val="auto"/>
              </w:rPr>
            </w:pP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00" w:type="dxa"/>
            <w:vAlign w:val="bottom"/>
            <w:gridSpan w:val="2"/>
          </w:tcPr>
          <w:p>
            <w:pPr>
              <w:spacing w:after="0"/>
              <w:rPr>
                <w:sz w:val="24"/>
                <w:szCs w:val="24"/>
                <w:color w:val="auto"/>
              </w:rPr>
            </w:pP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77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35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300" w:type="dxa"/>
            <w:vAlign w:val="bottom"/>
            <w:gridSpan w:val="2"/>
          </w:tcPr>
          <w:p>
            <w:pPr>
              <w:spacing w:after="0"/>
              <w:rPr>
                <w:sz w:val="24"/>
                <w:szCs w:val="24"/>
                <w:color w:val="auto"/>
              </w:rPr>
            </w:pP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00" w:type="dxa"/>
            <w:vAlign w:val="bottom"/>
            <w:gridSpan w:val="2"/>
          </w:tcPr>
          <w:p>
            <w:pPr>
              <w:spacing w:after="0"/>
              <w:rPr>
                <w:sz w:val="24"/>
                <w:szCs w:val="24"/>
                <w:color w:val="auto"/>
              </w:rPr>
            </w:pP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180" w:type="dxa"/>
            <w:vAlign w:val="bottom"/>
          </w:tcPr>
          <w:p>
            <w:pPr>
              <w:spacing w:after="0"/>
              <w:rPr>
                <w:sz w:val="24"/>
                <w:szCs w:val="24"/>
                <w:color w:val="auto"/>
              </w:rPr>
            </w:pP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8"/>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180" w:type="dxa"/>
            <w:vAlign w:val="bottom"/>
          </w:tcPr>
          <w:p>
            <w:pPr>
              <w:spacing w:after="0"/>
              <w:rPr>
                <w:sz w:val="24"/>
                <w:szCs w:val="24"/>
                <w:color w:val="auto"/>
              </w:rPr>
            </w:pP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Exhibits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1783"/>
        </w:trPr>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21E of the Exchange Act. These forward-looking statements involve risks and uncertainties regarding, among other things, (a) our projected sales, profitability, and cash flows, (b) our growth strategy, (c) anticipated trends in our industry, (d) our future financing plans, and (e) our anticipated needs for, and use of, working capital. They are generally identifiable by use of the words “may,” “will,” “should,” “anticipate,” “estimate,” “plan,” “potential,” “project,” “continuing,” “ongoing,” “expects,” “management believes,” “we believe,” “we intend,” or the negative of these words or other variations on these words or comparable terminology. We caution you the foregoing list may not contain all of the forward-looking statements made in this Quarterly Report on Form 10-Q. In light of these risks and uncertainties, there can be no assurance that the forward-looking statements contained in this filing will in fact occur. You should not place undue reliance on these forward-looking statements.</w:t>
      </w:r>
    </w:p>
    <w:p>
      <w:pPr>
        <w:spacing w:after="0" w:line="21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those discussed under “Item 1A. Risk Factors” and other sections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(Dollars in U.S. $, in thousands, except share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4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230,990</w:t>
            </w: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11,772</w:t>
            </w: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capitalized to obtain contracts, net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256,680</w:t>
            </w: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capitalized to obtain contracts, net of current portion</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 noncurrent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Right-of-use-asset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w:t>
            </w: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31,127</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302,376</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8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r>
      <w:tr>
        <w:trPr>
          <w:trHeight w:val="229"/>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10,547</w:t>
            </w:r>
          </w:p>
        </w:tc>
      </w:tr>
      <w:tr>
        <w:trPr>
          <w:trHeight w:val="23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Escrow liability</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3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current ($3,392 and $4,222 measured at fair value, respectively)</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r>
      <w:tr>
        <w:trPr>
          <w:trHeight w:val="229"/>
        </w:trPr>
        <w:tc>
          <w:tcPr>
            <w:tcW w:w="8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13,929</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41,446</w:t>
            </w:r>
          </w:p>
        </w:tc>
      </w:tr>
      <w:tr>
        <w:trPr>
          <w:trHeight w:val="229"/>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 noncurrent ($6,667 and $8,071 measured at fair value, respectively)</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r>
      <w:tr>
        <w:trPr>
          <w:trHeight w:val="23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liability, noncurrent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52,331</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8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5"/>
        </w:trPr>
        <w:tc>
          <w:tcPr>
            <w:tcW w:w="84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$0.001 par value; 100,000,000 shares authorized as of June 30, 2022 (unaudited) and</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4"/>
        </w:trPr>
        <w:tc>
          <w:tcPr>
            <w:tcW w:w="846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December 31, 2021; 62,087,105 and 60,221,799 issued and outstanding as of June 30, 2022 (unaudited)</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8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416,278</w:t>
            </w:r>
          </w:p>
        </w:tc>
      </w:tr>
      <w:tr>
        <w:trPr>
          <w:trHeight w:val="23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due from affiliates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(165,343)</w:t>
            </w: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229,653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250,045</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302,376</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 (unaudited).</w:t>
      </w:r>
    </w:p>
    <w:p>
      <w:pPr>
        <w:sectPr>
          <w:pgSz w:w="11900" w:h="16838" w:orient="portrait"/>
          <w:cols w:equalWidth="0" w:num="1">
            <w:col w:w="11120"/>
          </w:cols>
          <w:pgMar w:left="320" w:top="117"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U.S. $, 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36,369</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hardware revenue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38,752</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22,708</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49,411</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(10,659)</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61,883,022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50,405,267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61,540,024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50,298,528</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U.S. $, in thousands, except share and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06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218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440" w:type="dxa"/>
            <w:vAlign w:val="bottom"/>
          </w:tcPr>
          <w:p>
            <w:pPr>
              <w:spacing w:after="0"/>
              <w:rPr>
                <w:sz w:val="9"/>
                <w:szCs w:val="9"/>
                <w:color w:val="auto"/>
              </w:rPr>
            </w:pPr>
          </w:p>
        </w:tc>
        <w:tc>
          <w:tcPr>
            <w:tcW w:w="21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9"/>
                <w:szCs w:val="9"/>
                <w:color w:val="auto"/>
              </w:rPr>
            </w:pPr>
          </w:p>
        </w:tc>
        <w:tc>
          <w:tcPr>
            <w:tcW w:w="12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Notes Due</w:t>
            </w:r>
          </w:p>
        </w:tc>
        <w:tc>
          <w:tcPr>
            <w:tcW w:w="160" w:type="dxa"/>
            <w:vAlign w:val="bottom"/>
          </w:tcPr>
          <w:p>
            <w:pPr>
              <w:spacing w:after="0"/>
              <w:rPr>
                <w:sz w:val="9"/>
                <w:szCs w:val="9"/>
                <w:color w:val="auto"/>
              </w:rPr>
            </w:pPr>
          </w:p>
        </w:tc>
        <w:tc>
          <w:tcPr>
            <w:tcW w:w="1140" w:type="dxa"/>
            <w:vAlign w:val="bottom"/>
            <w:gridSpan w:val="2"/>
            <w:vMerge w:val="restart"/>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9"/>
                <w:szCs w:val="9"/>
                <w:color w:val="auto"/>
              </w:rPr>
            </w:pPr>
          </w:p>
        </w:tc>
        <w:tc>
          <w:tcPr>
            <w:tcW w:w="128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1060" w:type="dxa"/>
            <w:vAlign w:val="bottom"/>
            <w:vMerge w:val="restart"/>
          </w:tcPr>
          <w:p>
            <w:pPr>
              <w:jc w:val="center"/>
              <w:ind w:right="72"/>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2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440" w:type="dxa"/>
            <w:vAlign w:val="bottom"/>
          </w:tcPr>
          <w:p>
            <w:pPr>
              <w:spacing w:after="0"/>
              <w:rPr>
                <w:sz w:val="16"/>
                <w:szCs w:val="16"/>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from Affiliates</w:t>
            </w:r>
          </w:p>
        </w:tc>
        <w:tc>
          <w:tcPr>
            <w:tcW w:w="160" w:type="dxa"/>
            <w:vAlign w:val="bottom"/>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6"/>
                <w:szCs w:val="16"/>
                <w:color w:val="auto"/>
              </w:rPr>
            </w:pPr>
          </w:p>
        </w:tc>
        <w:tc>
          <w:tcPr>
            <w:tcW w:w="10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60,221,799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center"/>
              <w:ind w:left="77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250,045</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9"/>
        </w:trPr>
        <w:tc>
          <w:tcPr>
            <w:tcW w:w="24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related to net settlement of</w:t>
            </w: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awards</w:t>
            </w: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779,032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1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280" w:type="dxa"/>
            <w:vAlign w:val="bottom"/>
            <w:gridSpan w:val="2"/>
            <w:vMerge w:val="restart"/>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0" w:type="dxa"/>
            <w:vAlign w:val="bottom"/>
          </w:tcPr>
          <w:p>
            <w:pPr>
              <w:spacing w:after="0"/>
              <w:rPr>
                <w:sz w:val="1"/>
                <w:szCs w:val="1"/>
                <w:color w:val="auto"/>
              </w:rPr>
            </w:pPr>
          </w:p>
        </w:tc>
      </w:tr>
      <w:tr>
        <w:trPr>
          <w:trHeight w:val="198"/>
        </w:trPr>
        <w:tc>
          <w:tcPr>
            <w:tcW w:w="2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 an acquisition</w:t>
            </w: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139"/>
        </w:trPr>
        <w:tc>
          <w:tcPr>
            <w:tcW w:w="24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accrued relating to notes due</w:t>
            </w: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from affiliates</w:t>
            </w: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(25,222)</w:t>
            </w:r>
          </w:p>
        </w:tc>
        <w:tc>
          <w:tcPr>
            <w:tcW w:w="0" w:type="dxa"/>
            <w:vAlign w:val="bottom"/>
          </w:tcPr>
          <w:p>
            <w:pPr>
              <w:spacing w:after="0"/>
              <w:rPr>
                <w:sz w:val="1"/>
                <w:szCs w:val="1"/>
                <w:color w:val="auto"/>
              </w:rPr>
            </w:pPr>
          </w:p>
        </w:tc>
      </w:tr>
      <w:tr>
        <w:trPr>
          <w:trHeight w:val="139"/>
        </w:trPr>
        <w:tc>
          <w:tcPr>
            <w:tcW w:w="24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foreign currency translation</w:t>
            </w: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center"/>
              <w:ind w:left="773"/>
              <w:spacing w:after="0"/>
              <w:rPr>
                <w:sz w:val="20"/>
                <w:szCs w:val="20"/>
                <w:color w:val="auto"/>
              </w:rPr>
            </w:pPr>
            <w:r>
              <w:rPr>
                <w:rFonts w:ascii="Times New Roman" w:cs="Times New Roman" w:eastAsia="Times New Roman" w:hAnsi="Times New Roman"/>
                <w:sz w:val="18"/>
                <w:szCs w:val="18"/>
                <w:color w:val="auto"/>
                <w:w w:val="99"/>
              </w:rPr>
              <w:t>29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61,469,777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438,658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(190,565)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center"/>
              <w:ind w:left="773"/>
              <w:spacing w:after="0"/>
              <w:rPr>
                <w:sz w:val="20"/>
                <w:szCs w:val="20"/>
                <w:color w:val="auto"/>
              </w:rPr>
            </w:pPr>
            <w:r>
              <w:rPr>
                <w:rFonts w:ascii="Times New Roman" w:cs="Times New Roman" w:eastAsia="Times New Roman" w:hAnsi="Times New Roman"/>
                <w:sz w:val="18"/>
                <w:szCs w:val="18"/>
                <w:color w:val="auto"/>
                <w:w w:val="99"/>
              </w:rPr>
              <w:t>29</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247,228</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related to net settlement of</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1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280" w:type="dxa"/>
            <w:vAlign w:val="bottom"/>
            <w:gridSpan w:val="2"/>
            <w:vMerge w:val="restart"/>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198"/>
        </w:trPr>
        <w:tc>
          <w:tcPr>
            <w:tcW w:w="2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awards</w:t>
            </w: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accrued relating to notes due</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280" w:type="dxa"/>
            <w:vAlign w:val="bottom"/>
            <w:gridSpan w:val="2"/>
            <w:vMerge w:val="restart"/>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affiliates</w:t>
            </w: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notes due from affiliates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settlement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360,724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1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280" w:type="dxa"/>
            <w:vAlign w:val="bottom"/>
            <w:gridSpan w:val="2"/>
            <w:vMerge w:val="restart"/>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198"/>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contingent consideration</w:t>
            </w: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foreign currency translation</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1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200" w:type="dxa"/>
            <w:vAlign w:val="bottom"/>
            <w:vMerge w:val="restart"/>
          </w:tcPr>
          <w:p>
            <w:pPr>
              <w:jc w:val="center"/>
              <w:ind w:left="733"/>
              <w:spacing w:after="0"/>
              <w:rPr>
                <w:sz w:val="20"/>
                <w:szCs w:val="20"/>
                <w:color w:val="auto"/>
              </w:rPr>
            </w:pPr>
            <w:r>
              <w:rPr>
                <w:rFonts w:ascii="Times New Roman" w:cs="Times New Roman" w:eastAsia="Times New Roman" w:hAnsi="Times New Roman"/>
                <w:sz w:val="18"/>
                <w:szCs w:val="18"/>
                <w:color w:val="auto"/>
                <w:w w:val="99"/>
              </w:rPr>
              <w:t>(14)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8"/>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62,087,105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center"/>
              <w:ind w:left="773"/>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229,653</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U.S. $, in thousands, except share and per share data)</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224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9"/>
        </w:trPr>
        <w:tc>
          <w:tcPr>
            <w:tcW w:w="2540" w:type="dxa"/>
            <w:vAlign w:val="bottom"/>
          </w:tcPr>
          <w:p>
            <w:pPr>
              <w:spacing w:after="0"/>
              <w:rPr>
                <w:sz w:val="9"/>
                <w:szCs w:val="9"/>
                <w:color w:val="auto"/>
              </w:rPr>
            </w:pPr>
          </w:p>
        </w:tc>
        <w:tc>
          <w:tcPr>
            <w:tcW w:w="22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vMerge w:val="restart"/>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9"/>
                <w:szCs w:val="9"/>
                <w:color w:val="auto"/>
              </w:rPr>
            </w:pPr>
          </w:p>
        </w:tc>
        <w:tc>
          <w:tcPr>
            <w:tcW w:w="1400" w:type="dxa"/>
            <w:vAlign w:val="bottom"/>
            <w:gridSpan w:val="2"/>
            <w:vMerge w:val="restart"/>
          </w:tcPr>
          <w:p>
            <w:pPr>
              <w:ind w:left="220"/>
              <w:spacing w:after="0" w:line="127" w:lineRule="exact"/>
              <w:rPr>
                <w:sz w:val="20"/>
                <w:szCs w:val="20"/>
                <w:color w:val="auto"/>
              </w:rPr>
            </w:pPr>
            <w:r>
              <w:rPr>
                <w:rFonts w:ascii="Times New Roman" w:cs="Times New Roman" w:eastAsia="Times New Roman" w:hAnsi="Times New Roman"/>
                <w:sz w:val="14"/>
                <w:szCs w:val="14"/>
                <w:b w:val="1"/>
                <w:bCs w:val="1"/>
                <w:color w:val="auto"/>
              </w:rPr>
              <w:t>Notes Due</w:t>
            </w:r>
          </w:p>
        </w:tc>
        <w:tc>
          <w:tcPr>
            <w:tcW w:w="240" w:type="dxa"/>
            <w:vAlign w:val="bottom"/>
          </w:tcPr>
          <w:p>
            <w:pPr>
              <w:spacing w:after="0"/>
              <w:rPr>
                <w:sz w:val="9"/>
                <w:szCs w:val="9"/>
                <w:color w:val="auto"/>
              </w:rPr>
            </w:pPr>
          </w:p>
        </w:tc>
        <w:tc>
          <w:tcPr>
            <w:tcW w:w="1400" w:type="dxa"/>
            <w:vAlign w:val="bottom"/>
            <w:gridSpan w:val="2"/>
            <w:vMerge w:val="restart"/>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9"/>
                <w:szCs w:val="9"/>
                <w:color w:val="auto"/>
              </w:rPr>
            </w:pPr>
          </w:p>
        </w:tc>
        <w:tc>
          <w:tcPr>
            <w:tcW w:w="1320" w:type="dxa"/>
            <w:vAlign w:val="bottom"/>
            <w:vMerge w:val="restart"/>
          </w:tcPr>
          <w:p>
            <w:pPr>
              <w:jc w:val="center"/>
              <w:ind w:right="133"/>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54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from Affiliates</w:t>
            </w:r>
          </w:p>
        </w:tc>
        <w:tc>
          <w:tcPr>
            <w:tcW w:w="240" w:type="dxa"/>
            <w:vAlign w:val="bottom"/>
          </w:tcPr>
          <w:p>
            <w:pPr>
              <w:spacing w:after="0"/>
              <w:rPr>
                <w:sz w:val="16"/>
                <w:szCs w:val="16"/>
                <w:color w:val="auto"/>
              </w:rPr>
            </w:pP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13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50,035,408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64,189</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9"/>
        </w:trPr>
        <w:tc>
          <w:tcPr>
            <w:tcW w:w="2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related to net settlement of</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198"/>
        </w:trPr>
        <w:tc>
          <w:tcPr>
            <w:tcW w:w="2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awards</w:t>
            </w: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139"/>
        </w:trPr>
        <w:tc>
          <w:tcPr>
            <w:tcW w:w="2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accrued relating to notes due from</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2"/>
                <w:szCs w:val="12"/>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8"/>
        </w:trPr>
        <w:tc>
          <w:tcPr>
            <w:tcW w:w="2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affiliates</w:t>
            </w: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50,271,387</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198,963</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(135,638)</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62,439</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9"/>
        </w:trPr>
        <w:tc>
          <w:tcPr>
            <w:tcW w:w="25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related to net settlement of</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awards</w:t>
            </w: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0" w:type="dxa"/>
            <w:vAlign w:val="bottom"/>
          </w:tcPr>
          <w:p>
            <w:pPr>
              <w:spacing w:after="0"/>
              <w:rPr>
                <w:sz w:val="1"/>
                <w:szCs w:val="1"/>
                <w:color w:val="auto"/>
              </w:rPr>
            </w:pPr>
          </w:p>
        </w:tc>
      </w:tr>
      <w:tr>
        <w:trPr>
          <w:trHeight w:val="139"/>
        </w:trPr>
        <w:tc>
          <w:tcPr>
            <w:tcW w:w="25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accrued relating to notes due from</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affiliates</w:t>
            </w: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0" w:type="dxa"/>
            <w:vAlign w:val="bottom"/>
          </w:tcPr>
          <w:p>
            <w:pPr>
              <w:spacing w:after="0"/>
              <w:rPr>
                <w:sz w:val="1"/>
                <w:szCs w:val="1"/>
                <w:color w:val="auto"/>
              </w:rPr>
            </w:pPr>
          </w:p>
        </w:tc>
      </w:tr>
      <w:tr>
        <w:trPr>
          <w:trHeight w:val="248"/>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50,729,047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58,111</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U.S. $,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8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1"/>
                <w:szCs w:val="11"/>
                <w:color w:val="auto"/>
              </w:rPr>
            </w:pPr>
          </w:p>
        </w:tc>
        <w:tc>
          <w:tcPr>
            <w:tcW w:w="1180" w:type="dxa"/>
            <w:vAlign w:val="bottom"/>
          </w:tcPr>
          <w:p>
            <w:pPr>
              <w:jc w:val="right"/>
              <w:ind w:right="391"/>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costs capitalized to obtain contracts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expense in connection with revesting notes (Note 7)</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(income) expense,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revenue from affiliate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r>
      <w:tr>
        <w:trPr>
          <w:trHeight w:val="22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r>
      <w:tr>
        <w:trPr>
          <w:trHeight w:val="23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Costs capitalized to obtain contracts,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3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30"/>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3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acquisition, net of cash acquired</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advance on convertible note receivable</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options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deferred offering costs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repayment of notes due from affiliates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received in advance of the issuance of convertible notes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(152,025)</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stock issued in connection with an acquisition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warrants held as investment in affiliate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Fair value of stock issued in settlement of contingent consideration</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non-cash investing and financing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36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table of cash, cash equivalents, and restricted cash reported within the balance sheets totaling the same such amounts shown above: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3"/>
                <w:szCs w:val="13"/>
                <w:color w:val="auto"/>
              </w:rPr>
            </w:pPr>
          </w:p>
        </w:tc>
        <w:tc>
          <w:tcPr>
            <w:tcW w:w="11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50,558</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Life360, Inc. (the “Company”) is a leading technology platform, based on market share of the family safety and location sharing app market, to locate the people, pets and things that matter most to families. Refer to “Market and Industry Data” within our Registration Statement on Form 10 filed with the Securities and Exchange Commission on April 26, 2022, as amended by Amendment No. 1 filed on June 13, 2022 and Amendment No. 2 filed on July 5, 2022, and effective as of June 27, 2022 (“Form 10”), for more information on how we can calculate market share. The Company was incorporated in the State of Delaware in April 2007. The Company’s core offering, the Life360 mobile application, is now a market leading mobile application for families, with features that range from communications to driving safety and location sharing. The Company operates under a “freemium” model where its core offering is available to users at no charge, with three membership subscription options that are available but not required. The Company also generates revenue through monetization arrangements with certain commercial third parties (“Data Revenue Partners”) through Lead Gen and license agreements (including aggregated insights into the data collected from the Company’s user base). On September 1, 2021, the Company acquired all ownership interests of Jio, Inc (“Jiobit”). Jiobit is a provider of wearable location devices for young children, pets, and seniors. On January 5, 2022, the Company acquired all ownership interests of Tile, Inc. (“Tile”). Tile is a smart location company whose product is a Bluetooth enabled device that works in tandem with the Tile Application to enable its customers to locate lost or misplaced objects.</w:t>
      </w:r>
    </w:p>
    <w:p>
      <w:pPr>
        <w:spacing w:after="0" w:line="2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accompanying notes have been prepared in accordance with generally accepted accounting principles in the United States, or (“GAAP”), are presented in U.S. dollars unless otherwise stated, and include the accounts of Life360, Inc. and subsidiaries, Jio, Inc., Tile, Inc., Tile Europe Ltd and Tile Network Canada ULC. All inter-company transactions and balances have been eliminated.</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management’s opinion, the condensed consolidated financial statements include all adjustments necessary to fairly state the Company’s financial position. The information contained within the condensed consolidated financial statements should be read in conjunction with the Company's consolidated financial statements and notes thereto included in the Company’s annual financial statements for the year ended December 31,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 of revenue and expenses during the reporting period. Significant estimates made by management include, but are not limited to, the determination of revenue recognition, including the determination of selling prices for distinct performance obligations sold in multiple-performance obligation arrangements, the period over which revenue is recognized for certain arrangements, and estimated delivery dates for orders with title transfer upon delivery, accounts receivable allowance, product returns, promotional and marketing allowances, inventory valuation, average useful customer life, stock-based compensation, legal contingencies, assessment of possible impairment of long-lived assets and goodwill, valuation of contingent consideration, convertible notes and embedded derivatives, useful lives of long lived assets and income taxes including valuation allowances on deferred tax assets. The Company bases its estimates and judgments on historical experience and on various assumptions that it believes are reasonable under the circumstances. Actual results could differ significantly from those estimates.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Accounting for Contract Assets and Contract Liabilities from Contracts with Customers, which requires contract assets and contract liabilities (i.e., deferred revenue) acquired in a business combination to be recognized and measured by the acquirer on the acquisition date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guidance should be applied prospectively to acquisitions occurring on or after the effective date. The guidance is effective for the Company beginning January 1, 2024,</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and interim periods therein. Early adoption is permitted, including in interim periods, for any financial statements that have not yet been issued. The Company elected to early adopt ASU 2021-08 on September 1, 2021, and the Company has recorded the acquired deferred revenue based on historical carrying value rather than fair value in the condensed consolidated financial statements and related disclosures.</w:t>
      </w:r>
    </w:p>
    <w:p>
      <w:pPr>
        <w:spacing w:after="0" w:line="1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(“ASU 2019-12”), as part of its initiative to reduce complexity in accounting standards. ASU 2019-12 removes the following exceptions: exception to the incremental approach for intraperiod tax allocation; exception to accounting for basis differences when there are ownership changes in foreign investments; and exception to interim period tax accounting for year-to-date losses that exceed anticipated losses. ASU 2019-12 also improves financial reporting for franchise taxes that are partially based on income; transactions with a government that result in a step up in the tax basis of goodwill; separate financial statements of legal entities that are not subject to tax; and enacted changes in tax laws in interim periods. ASU 2019-12 is effective for public business entities in fiscal years beginning after December 15, 2020, including interim periods within those fiscal years. For all other entities, the standard is effective in fiscal years beginning after December 15, 2021, and interim periods within fiscal years beginning after December 15, 2022. Early adoption of the standard is permitted, including adoption in interim or annual periods for which financial statements have not yet been issued. On January 1, 2021, the Company adopted ASU 2019-12, and the standard did not have a material impact on its condensed consolidated financial statements and related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1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Measurement of Credit Losses on Financial Instruments,</w:t>
      </w:r>
      <w:r>
        <w:rPr>
          <w:rFonts w:ascii="Times New Roman" w:cs="Times New Roman" w:eastAsia="Times New Roman" w:hAnsi="Times New Roman"/>
          <w:sz w:val="18"/>
          <w:szCs w:val="18"/>
          <w:color w:val="auto"/>
        </w:rPr>
        <w:t xml:space="preserve"> which changes the existing incurred loss impairment model for financial assets held at amortized cost. The new model uses a forward-looking expected loss method to calculate credit loss estimates. These changes will result in earlier recognition of credit losses. In March 2022, the FASB issued ASU 2022-02, </w:t>
      </w:r>
      <w:r>
        <w:rPr>
          <w:rFonts w:ascii="Times New Roman" w:cs="Times New Roman" w:eastAsia="Times New Roman" w:hAnsi="Times New Roman"/>
          <w:sz w:val="18"/>
          <w:szCs w:val="18"/>
          <w:i w:val="1"/>
          <w:iCs w:val="1"/>
          <w:color w:val="auto"/>
        </w:rPr>
        <w:t xml:space="preserve">Financial Instruments – Credit Losses: Troubled Debt Restructurings and Vintage Disclosures, </w:t>
      </w:r>
      <w:r>
        <w:rPr>
          <w:rFonts w:ascii="Times New Roman" w:cs="Times New Roman" w:eastAsia="Times New Roman" w:hAnsi="Times New Roman"/>
          <w:sz w:val="18"/>
          <w:szCs w:val="18"/>
          <w:color w:val="auto"/>
        </w:rPr>
        <w:t>which updates accounting guidance for troubled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restructurings by creditors and enhances disclosure requirements for certain loan refinancing and restructurings by creditors when a borrower is experiencing financial difficulty. Additionally, the amendments require an entity to disclose gross write-offs by year of origination for financing receivables. The amendments included within ASU 2022-02 become effective after the adoption of ASU 2016-13, which becomes effective for the Company on January 1, 2023 with early adoption permitted. The Company is currently evaluating the impact of the adoption of ASU 2016-13 and ASU 2022-02 on its condensed consolidated financial statements and related disclosures and does not expect a material impact.</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Debt-Debt with Conversion and Other Options</w:t>
      </w:r>
      <w:r>
        <w:rPr>
          <w:rFonts w:ascii="Times New Roman" w:cs="Times New Roman" w:eastAsia="Times New Roman" w:hAnsi="Times New Roman"/>
          <w:sz w:val="18"/>
          <w:szCs w:val="18"/>
          <w:color w:val="auto"/>
        </w:rPr>
        <w:t xml:space="preserve"> (Subtopic 470-20) which simplifies the accounting for certain financial instruments with characteristics of liabilities and equity, including convertible instruments and contracts in an entity’s own equity. Among other changes, ASU 2020-06 removes from GAAP the liability and equity separation model for convertible instruments with a cash conversion feature, and as a result, after adoption, entities will no longer separately present in equity an embedded conversion feature for such debt. Similarly, the embedded conversion feature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or (2) a convertible debt instrument was issued at a substantial premium. Additionally, ASU 2020-06 requires the application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if-converted method to calculate the impact of convertible instruments on diluted earnings per share, which will result in increased dilutive securities as the assumption of cash settlement of the notes will not be available for the purpose of calculating earnings per share. The provisions of ASU 2020-06 are effective for reporting periods beginning after December 15, 2023, with early adoption permitted for reporting periods beginning after December 15, 2020 and can be adopted on either a fully retrospective or modified retrospective basis. The Company is currently evaluating the timing, method of adoption, and overall impact of this standard on its condensed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Company recognizes revenue upon transfer of control of promised goods or services to customers at transaction price, an amount that reflects the consideration the Company expects to receive in exchange for those goods or services. Transaction price is calculated as selling price net of variable consideration which may include estimates for future returns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and sales incentives related to current period revenue. The Company determines revenue recognition through the following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1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Some of the Company’s contracts with customers contain multiple performance obligations, primarily hardware and subscription services for the Tile and Jiobit hardware tracking devices. For these contracts, the Company accounts for individual performance obligations separately if they are distinct. The transaction price is allocated to the separate performance obligations on a relative stand-alone selling price (“SSP”) basis with the amounts allocated to ongoing services deferred and recognized over a period of time and amounts allocated to hardware tracking devices recognized at a point-in time with a portion of the consideration being allocated to application usage (maintenance) and support. The Company determines SSP based on observable, if available, prices for those related goods and services when sold separately. When such observable prices are not available, the Company determines SSP based on overarching pricing objectives and strategies, taking into consideration market conditions and other factors, including customer size, volume purchased, market and industry conditions, product-specific factors, and historical sales of the deliverables.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hardware products, the Company generally offers a limited warranty to end-users covering a period of twelve months for products and obligates the Company to repair or replace products for manufacturing defects or hardware component failures. The warranty is not sold separately and does not represent a separate performance obligation. Therefore, such warranties are accounted for under ASC 460, Guarantees, and the estimated costs of warranty claims are generally accrued as cost of revenue in the period the related revenue is recorded. See Note 11 “Commitments and Contingencies” for further details.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1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 recognizes hardware revenue at the net sales price, which includes certain estimates for variable consideration with our customers. The Company’s variable consideration is primarily in the form of promotional agreements and marketing development fund agreements in relation to the hardware tracking devices.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These agreements are designed to enhance the sale of the Company’s products and consist of incentives to the Company’s customers. The Company estimates variable considerations using the expected value method. All forms of variable consideration are recorded as contra-revenue and a corresponding liability in its condensed consolidated balance sheet. Certain agreements are estimates at period end due to the nature of the incentives or expected and yet-to-be announced incentive programs that apply to current period revenue transactions. These estimates are based on the Company’s incentive program experience, historical and projected sales data and current contractual terms. The remaining portion of this liability is based on contractual amounts and does not require estimation.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Revenue</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subscription revenue includes related support and is comprised of Life360 mobile application subscriptions as well as subscription service plans for the Tile and Jiobit hardware tracking devices. The Company’s subscription contracts with customers are established at the point of mobile application download and purchase as indicated through acceptance of the Company’s Standard Service Terms.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cloud-based subscriptions are considered single combined performance obligations, consisting of multiple features that can be purchased separately, but which are bundled together and delivered to the customer as a combined output. The Company provides its customers with technical support along with unspecified updates and upgrades to the platform on an if and when available basis.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subscription service plan for the Tile and Jiobit hardware tracking device is a distinct and separate performance obligation from the hardware. Subscription fees are fixed and recognized on a straight-line basis over the non-cancellable contractual term of the agreement, generally beginning on the date that the Company’s service is made available to the customer.</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Subscription revenue was $36.0 million and $19.2 million for the three months ended June 30, 2022 and 2021, respectively, and $69.1 million and $36.4 million for the six months ended June 30, 2022 and 2021,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Hardware Revenue</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derives hardware revenue from sale of the Tile and Jiobit hardware tracking devices and related accessories. For hardware and accessories, revenue is recognized at the time products are delivered. The Company offers limited rights of return and estimates reserves based on historical experience and records the reserves as a reduction of revenue and an accrued liability. Amounts billed to customers for shipping and handling are classified as revenue, and the Company’s related shipping and handling costs incurred are classified as cost of revenue. The customers are billed upon shipment of the hardware tracking devices. Sales taxes collected from customers and remitted to respective governmental authorities are recorded as liabilities and are not included in revenue.</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hardware and the embedded operating system are one distinct performance obligation and separate from the subscription service plans for the Tile and Jiobit hardware tracking device. The Company’s embedded operating system is a component of the hardware that is integral to the functionality of the hardware and only together produce the essential functionality of the hardware. The Company offers extended warranties and hardware protection plans that are recognized over the contractual service period (typically 1 to 2 years).</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Hardware revenue was $6.8 million and $0 for the three months ended June 30, 2022 and 2021, respectively, and $16.5 million and $0 for the six months ended June 30, 2022 and 2021,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Other revenue consists primarily of data revenue and partnership revenue. For the six months ended June 30, 2022, the Company’s data revenue is comprised of Life360 data monetization arrangements with certain third parties established through Data Master Service Agreements (collectively, “Data MSAs”), which outline specific terms governing the access and use of data and related fees. The Company determines a contract to exist upon the mutual execution of a Data MSA. Those customers historically had ability to access certain portions of the Company’s user data over the contract term, in which certain customers pay a fee based on average active monthly users. Most of the Company’s Data MSAs have been terminated as of June 30, 2022 as the Company has moved toward an aggregate data sales model.</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data to the customer. The Company estimates and includes variable consideration in the transaction price at contract inception to the extent it is probable that a significant reversal in the amount of cumulative revenue recognized will not occur when the uncertainty associated with the variable consideration is subsequently resolved. In estimating variable consideration in data arrangements, the Company considers historical experience and other external factors that may impact the expectation of future data usage. At each reporting period, the Company assesses actual and expected data usage that will be earned for the duration of the contract term. The payment terms for Data MSAs are monthly.</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recognizes fees for certain data arrangements over time based on the fee per average active monthly user as the customer simultaneously receives and consumes the benefit of the services that the Company provides over the term of the agreement.</w:t>
      </w:r>
    </w:p>
    <w:p>
      <w:pPr>
        <w:spacing w:after="0" w:line="16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In January 2022, Life360 announced a new partnership agreement with Placer.ai (“Placer”), a prominent provider of aggregated analytics for the retail ecosystem, in which executives of the Company have an immaterial ownership interest through a passive investment vehicle. As part of this partnership, Placer will provide data processing and analytics services to Life360 and will have the right to commercialize aggregated data related to place visits during the term of the agreement. This partnership marked the beginning of Life360’s exit from its legacy data sales model and transition to commercialize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solely aggregated data, while still providing members the option to opt out of even aggregated data sales. In keeping with the Company’s vision and consistent with that aggregated data sales model, the Company is exploring ways, in the future, to enable members to avail themselves of compelling offers and opportunities by enabling Company partners to use their data with members’ explicit, affirmative opt-in consent. The Placer agreement includes fixed monthly revenue amounts for access to aggregated data for the duration of the three-year agreement. The Company has a stand ready obligation to provide aggregated user data over the term of the agreement and recognizes revenue ratably based on the fixed monthly amounts. The Company estimates and includes variable consideration in the transaction price at contract inception to the extent it is probable that a significant reversal in the amount of cumulative revenue recognized will not occur when the uncertainty associated with the variable consideration is subsequently resolved.</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agreement, Placer issued the Company a warrant to purchase up to 5,100,167 shares of Series C Preferred Stock at an exercise price of $4.90 per share. The grant of the warrant is considered noncash consideration, which the Company measured at fair value on the date of issuance. The warrant was valued using an option pricing model, and the fair value of approximately $5.4 million, has been included as part of the transaction price of the Placer data partnership agreement, and will be included in prepaid expenses and other assets, noncurrent on the Company’s condensed consolidated balance sheets.</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Data revenue was $5.0 million and $4.3 million for the three months ended June 30, 2022 and 2021, respectively, and $12.2 million and $8.6 million for the six months ended June 30, 2022 and 2021, respectively.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Partnership revenue includes agreements with third parties to provide access to advertising on the Company’s mobile platform. The Company receives a percentage of the advertising spend as a fee, which is recognized as revenue on a net basis. The variable amounts earned under partnership revenue arrangements are allocable to the month in which the advertising is placed, which is reset on a monthly basis. As such, the Company will recognize revenue monthly based on the advertising placed.</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Partnership revenue was $1.0 million and $1.5 million for the three months ended June 30, 2022 and 2021, respectively, and $2.1 million and $3.0 million for the six months ended June 30, 2022 and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allocated to remaining performance obligations was $28.3 million as of June 30, 2022, of which the Company expects $24.8 million to be recognized over the next twelve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Cost of subscription revenue includes all direct costs to deliver the Company’s subscription services. These costs include personnel-related costs associated with our cloud-based infrastructure and our customer support organization, third-party hosting fees, software, and maintenance costs, outside services associated with the delivery of our subscription services, personnel-related expenses, travel-related costs,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Cost of hardware revenue consists of product costs, including hardware production, contract manufacturers for production, shipping and handling, packaging, fulfillment, personnel-related expenses, manufacturing and equipment depreciation, warehousing, tariff costs, hosting, app fees, customer support costs, warranty replacement, and write-downs of excess and obsolete inventory. Personnel-related expenses include salaries, bonuses, benefits, and stock-based compensation for operations personnel.</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Cost of other revenue consists of cloud-based hosting costs, as well as costs of product operations function and employee-related costs associated with our data platform.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Capitalized to Obtain Contracts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Costs capitalized to obtain contracts comprise of revenue-share payments to the Company’s Channel Partners in connection with annual subscription sales of the Company’s mobile application on each respective mobile application store platform as well as sales commissions paid to employees on hardware sales. Costs that are incremental and directly related to new customer sales contracts are accrued and capitalized upon execution of a non-cancelable customer contract, and subsequently expensed over the average life of the customer relationship, which is currently estimated to be two to three years depending on the subscription type. The Company has elected the practical expedient under ASC 340-40 to expense incremental costs of obtaining a contract if the amortization periods is one year or less.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makes judgments as to its ability to collect outstanding accounts receivable and provide allowances for accounts receivable when and if collection becomes doubtful. The Company evaluates the collectability of its accounts receivable based on review of its past-due balances, known collection risks and historical experience. In circumstances where the Company is aware of a specific customer’s potential inability to meet its financial obligations to the Company (e.g., bankruptcy filings or substantial downgrading of credit ratings), the Company records a specific reserve for bad debt against amounts due to reduce the net recognized receivable to the amount it reasonably believes will be collected. The allowance for doubtful accounts as of June 30, 2022 and December 31, 2021 and total bad debt expense for the three and six months ended June 30, 2022 and 2021 was immaterial.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and Contract Manufacturing</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Inventory is comprised of raw materials and finished goods related to the Tile and Jiobit hardware tracking devices and accessories. Inventory is stated at the lower of cost or net realizable value on a weighted average basis. The Company assesses the valuation of inventory and periodically writes down the value for estimated excess and obsolete inventory based upon estimates of future demand and market conditions. The Company’s inventory is held at third party warehouses and contract manufacturer premises.</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outsources a significant portion of its manufacturing to independent contract manufacturers in Asia. A significant portion of its cost of revenue consists of inventory purchased from these manufacturers. The Company’s manufacturers procure components and manufacture the Company’s products based on the demand forecasts provided. These forecasts are based on estimates of future demand for the Company’s products, which are in turn based on historical trends and an analysis from the Company’s sales and marketing organizations, adjusted for overall market conditions. Shipments of inventory from the contract manufacturer are recorded as finished goods inventory upon shipment when title and the significant risks and reward of ownership have passed to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business, operations, and financial results are subject to various risks and uncertainties including adverse global economic conditions, such as the coronavirus (COVID-19) pandemic, and competition in our industry that could adversely affect our business, financial conditions, results of operations and cash flows. These important factors, among others, could cause our actual results to differ materially from any future results.</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customers primarily consist of individual consumers, who subscribe to the Company’s product offerings through market exchanges operated by channel partners, data revenue customers and retail partners, who purchase hardware tracking devices from the Company and resell them directly to individual consumers. Any changes in customer preferences and trends or changes in terms of use of channel partners’ platforms could have an adverse impact on its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depends on the constant real-time performance, reliability and availability of our technology system and access to our partner’s networks. The Company primarily relies on a single technology partner for its cloud platform and a limited number of contract manufacturers to assemble components of the Jiobit and Tile hardware tracking devices. Any adverse impacts to the platform and the contract manufacturers could negatively impact our relationships with our partners or Users and may adversely impact our business, financial performance, and reputation.</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derives its accounts receivable from revenue earned from customers located in the United States and internationally. The Company does not perform ongoing credit evaluations of its customers’ financial condition and does not require collateral from its customers. Historically, credit losses have been insignificant. Channel and retail partners account for the majority of the Company’s revenue and accounts receivable for all periods presented.</w:t>
      </w:r>
    </w:p>
    <w:p>
      <w:pPr>
        <w:spacing w:after="0" w:line="176"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information about our channel and retail partners who represented greater than 10% of our revenue or accounts receivable,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131"/>
        </w:trPr>
        <w:tc>
          <w:tcPr>
            <w:tcW w:w="4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gridSpan w:val="3"/>
          </w:tcPr>
          <w:p>
            <w:pPr>
              <w:jc w:val="center"/>
              <w:ind w:right="32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20" w:type="dxa"/>
            <w:vAlign w:val="bottom"/>
            <w:gridSpan w:val="5"/>
          </w:tcPr>
          <w:p>
            <w:pPr>
              <w:jc w:val="right"/>
              <w:ind w:right="955"/>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4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right"/>
              <w:ind w:right="125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47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 Partner A</w:t>
            </w:r>
          </w:p>
        </w:tc>
        <w:tc>
          <w:tcPr>
            <w:tcW w:w="9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Channel Partner B</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Partner A</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Represents less than 10%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8"/>
        </w:trPr>
        <w:tc>
          <w:tcPr>
            <w:tcW w:w="4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Percentage of Gross Accounts</w:t>
            </w:r>
          </w:p>
        </w:tc>
      </w:tr>
      <w:tr>
        <w:trPr>
          <w:trHeight w:val="196"/>
        </w:trPr>
        <w:tc>
          <w:tcPr>
            <w:tcW w:w="4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Receivable</w:t>
            </w:r>
          </w:p>
        </w:tc>
      </w:tr>
      <w:tr>
        <w:trPr>
          <w:trHeight w:val="196"/>
        </w:trPr>
        <w:tc>
          <w:tcPr>
            <w:tcW w:w="4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6"/>
        </w:trPr>
        <w:tc>
          <w:tcPr>
            <w:tcW w:w="474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 Partner A</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Channel Partner B</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Partner A</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 Partner A</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5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Represents less than 10%</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charges costs related to research, design, and development of products to research and development expense as incurred. These costs consist of payroll related expenses, contractor fees, outside third-party vendors, and allocated facilities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Advertising expense was $4.6 million and $1.3 million for the three months ended June 30, 2022 and 2021, respectively, and $9.0 million and $2.4 million for the six months ended June 30, 2022 and 2021, respectively. Advertising expenses are recorded in the period in which cost is incurred and are presented within sales and marketing expense on the condensed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Cash and cash equivalents include deposit and money market funds.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Deposits of $15.1 million and $0.4 million were restricted from withdrawal as of June 30, 2022 and December 31, 2021, respectively. $13.1 million of the restricted balance as of June 30, 2022 relates to funds placed in an indemnity escrow fund to be held for fifteen months after the acquisition date of Tile, Inc. for general representations and warranties. $0.7 million of the restricted cash balance as of June 30, 2022 relates to cash deposits restricted under letters of credit issued on behalf of the Company in support of indebtedness to trade creditors incurred in the ordinary course of business. The remaining restricted balance of $1.3 million as of June 30, 2022 is related to securing the Company’s facility leases which will expire in 2022 and 2024 in accordance with the operating lease agreements, as amended. The $0.4 million balance restricted from withdrawal as of December 31, 2021 relates to facility lease agreements. These balances are included in restricted cash on the accompanying condensed consolidated balance sheets.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financial and non-financial assets and liabilities to determine fair value disclosures. The accounting standards define fair value, establish a framework for measuring fair value, and require disclosures about fair value measurements. Fair value is defined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principal or most advantageous market in which the Company would transact are considered along with assumptions that market participants would use when pricing the asset or liability, such as inherent risk, transfer restrictions, and risk of nonperformance. The accounting standard for fair value establishes a fair value hierarchy based on three levels of inputs, the first two of which are considered observable and the last unobservable,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117" w:lineRule="exact"/>
        <w:rPr>
          <w:sz w:val="20"/>
          <w:szCs w:val="20"/>
          <w:color w:val="auto"/>
        </w:rPr>
      </w:pPr>
    </w:p>
    <w:p>
      <w:pPr>
        <w:ind w:left="440" w:right="120"/>
        <w:spacing w:after="0" w:line="282"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54"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to the valuation methodology and including data about assumptions market participants would use in pricing the asset or liability based on the best information available under the circumstances.</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recorded carrying amounts of cash and cash equivalents, prepaid expenses, accounts payable, and accounts receivable as of June 30, 2022 and December 31, 2021 approximate fair value due to their short-term nature. Refer to Note 6 “Fair Value Measurements” for further details.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computed using the straight-line method over the estimated useful lives of the respective assets. Equipment, computer software, furniture, and product manufacturing equipment have estimated useful lives ranging from three to ten years. Leasehold improvements are amortized on a straight-line basis over the lesser of the estimated useful life or the term of the lease with expected renewals. As of June 30, 2022, all leasehold improvements are amortized over three years.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Costs of maintenance and repairs that do not improve or extend the lives of the respective assets are expensed as incurred. When assets are retired or otherwise disposed of, the cost and related accumulated depreciation are removed from the balance sheet and the resulting gain or loss is reported in other income (expense), net in the period realized.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development costs related to internal use software projects, the Company capitalizes costs incurred during the application development stage. Costs related to preliminary project activities and post implementation activities are expensed as incurred. Internal use software is amortized on a straight-line basis over its estimated useful life of three years. The Company capitalized $0.4 million during the six months ended June 30, 2022. Capitalized costs are included within intangible assets, net on the condensed consolidated balance sheet. The Company did not capitalize any internal use software costs during the six months ended June 30, 2021 as the capitalizable costs were not 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of the operating lease agreements contain rent concession, rent escalation, and option to renew provisions. Rent concession and rent escalation provisions are considered in determining the straight-line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non-cancellable, lease term when recognizing the lease assets and liabilities, unless it is reasonably certain that the renewal option will be exercised.</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certain of the Company’s operating lease agreements contain tenant improvement allowances from its landlords. These allowances are accounted for as lease incentives and decrease the Company’s right-of-use asset and reduce single lease cost over the lease term. Refer to Note 8 “Balance Sheet Components” for additional lease disclosures.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Goodwill amounts are not amortized but tested for impairment on an annual basis during the fourth quarter. There was no impairment of goodwill during the three and six months ended June 30, 2022 or the three and six months ended June 30,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Intangible assets, including acquired patents, trademarks, customer relationships, and acquired developed technology, and are carried at cost and amortized on a straight-line basis over their estimated useful lives. The Company determines the appropriate useful life of the Company’s intangible assets by measuring the expected cash flows of acquired assets. There was no impairment of intangible assets recorded during the three and six months ended June 30, 2022 or the three and six months ended June 30, 2021.</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assesses the impairment of long-lived assets, such as property and equipment subject to depreciation and acquired intangibles subject to amortization, when events or changes in circumstances indicate that their carrying amount may not be recoverable.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8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reviews long-lived assets for impairment at least annually, or more frequently if events or changes in circumstances would more likely than not reduce the fair value of its single reporting unit below its carrying value. There was no impairment of long-lived assets recognized during the three and six months ended June 30, 2022 or the three and six months ended June 30,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Deferred revenue consists primarily of payments received and accounts receivable recorded in advance of revenue recognition under the Company’s subscription arrangements. The Company primarily invoices its customers for its subscription services arrangements in advance. Amounts anticipated to be recognized within one year of the balance sheet date are recorded as deferred revenue, current; the remaining portion is recorded as deferred revenue, noncurrent in the condensed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Affiliate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Investment in affiliate relates to non-marketable equity securities held in a privately held company without a readily determinable market value. Non-marketable equity securities consist of warrants held to purchase shares of preferred stock of a Data Revenue Partner, refer to Note 2 “Summary of Significant Accounting Policies” for additional information regarding the Company’s Data Revenue Partner. Investments in non-public businesses that do not have readily determinable pricing, and for which the Company does not have control or does not exert significant influence, are carried at cost less impairments, if any, plus or minus changes in observable prices for those investments. Gains or losses resulting from changes in the carrying value of these investments are included as a non-operating expense to the Company’s condensed consolidated statements of operations and comprehensive loss. There have been no adjustments to the basis of the Company’s investment in affiliate to date. The carrying value of the Company’s investment in affiliate is included in prepaid expenses and other assets, noncurrent in the condensed consolidated balance sheets.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has issued freestanding warrants to purchase shares of common stock in connection with certain debt financing transactions. The warrants are recorded as equity instruments at the grant date fair value using the Black-Scholes option pricing model and are not subject to revaluation at each balance sheet date.</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the Company has issued warrants in connection with the convertible note agreements. The warrants are recorded as equity instruments at the grant date fair value using the Black-Scholes option pricing model. The fair value has been recorded as a debt discount that is being amortized to interest expense under the straight-line method over the term of respective convertible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has an equity incentive plan under which various types of equity-based awards including, but not limited to, incentive stock options, non-qualified stock options, restricted stock units, and restricted stock awards, may be granted to employees, nonemployee directors, and nonemployee consultants.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all equity awards granted to employees, nonemployees and directors, the Company recognizes compensation expense based on the grant-date estimated fair values. The fair value of stock options is determined using the Black-Scholes option pricing model. For restricted stock units and restricted stock awards, the fair value is based on the grant date fair value of the award. The Company recognizes compensation expense for stock option awards, restricted stock units, and restricted stock awards on a straight-line basis over the requisite service period of the award, generally three to four years. Forfeitures are recorded as they occur.</w:t>
      </w:r>
    </w:p>
    <w:p>
      <w:pPr>
        <w:spacing w:after="0" w:line="18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2020, the Company granted a market performance award to an executive that is subject to time-based vesting requirements in which vesting is contingent upon the Company’s achievement of certain market performance goals. The fair value of such performance awards was determined using a Monte Carlo simulation and is recognized under the accelerated attribution method over a four year period.</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2021, the Company issued stock options and restricted stock that have performance-based vesting conditions. For awards that include a performance condition, if the performance condition is determined to be probable of being satisfied, the Company recognizes compensation expense related to such awards using the accelerated attribution method over the required performance period. If a performance condition is not probable of being met, no compensation cost is recognized. Refer to Note 14 “Equity Incentive Plan” for further 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The Company estimates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the Company’s balance sheets. In general, deferred tax assets represent future tax benefits to be received when certain expenses previously recognized in the Company’s statements of operations and comprehensive loss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must assess the likelihood that the Company’s deferred tax assets will be recovered from future taxable income, and to the extent the Company believes that recovery is not likely, the Company establishes a valuation allowance. The assessment of whether a valuation allowance is required often requires significant judgment including current and historical operating results, the forecast of future taxable income and on-going prudent and feasible tax planning initiatives.</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in income tax expense. The Company did not accrue any interest or penalties related to income tax positions during the three and six months ended June 30, 2022 or the three and six months ended June 30,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 The Company estimates accruals for legal expenses when incurred as of each balance sheet date based on the facts and circumstances known to the Company at that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segment. The Company’s chief operating decision maker is its chief executive officer, who reviews financial information presented on a consolidated basis for purposes of making operating decisions, assessing financial performance, and allocating resources. All material long-lived assets are based in the United States.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computes basic and diluted net loss per share in conformity with ASC 260, “Earnings per Share.” Basic net loss per share is calculated by dividing the net loss by the weighted-average number of shares of common stock outstanding during the period without consideration for potentially dilutive securities as they do not share in losses. The diluted net loss per share is computed giving effect to all potential dilutive common stock equivalents outstanding for the period. For purposes of this calculation, options to purchase common stock, common stock warrants, common stock convertible notes, and unvested restricted stock units are considered common stock equivalents but have been excluded from the calculation of diluted net loss per share as the effect is antidilutive.</w:t>
      </w:r>
    </w:p>
    <w:p>
      <w:pPr>
        <w:spacing w:after="0" w:line="291"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Revenue by geography is generally based on the address of the customer as defined in the contract with the customer. The following table sets forth revenue by geographic area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5"/>
        </w:trPr>
        <w:tc>
          <w:tcPr>
            <w:tcW w:w="50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43,259</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44,597</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 regions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48,844</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25,009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99,814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48,001</w:t>
            </w:r>
          </w:p>
        </w:tc>
      </w:tr>
      <w:tr>
        <w:trPr>
          <w:trHeight w:val="21"/>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Deferred Revenue</w:t>
      </w:r>
    </w:p>
    <w:p>
      <w:pPr>
        <w:spacing w:after="0" w:line="12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Deferred revenue, which is a contract liability, consists primarily of payments received and accounts receivable recorded in advance of revenue recognition under the Company’s contracts with customers and is recognized as the revenue recognition criteria are met.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 forward of the Company’s deferred revenue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Hardware</w:t>
            </w:r>
          </w:p>
        </w:tc>
        <w:tc>
          <w:tcPr>
            <w:tcW w:w="340" w:type="dxa"/>
            <w:vAlign w:val="bottom"/>
          </w:tcPr>
          <w:p>
            <w:pPr>
              <w:spacing w:after="0"/>
              <w:rPr>
                <w:sz w:val="13"/>
                <w:szCs w:val="13"/>
                <w:color w:val="auto"/>
              </w:rPr>
            </w:pPr>
          </w:p>
        </w:tc>
        <w:tc>
          <w:tcPr>
            <w:tcW w:w="580" w:type="dxa"/>
            <w:vAlign w:val="bottom"/>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December 31, 2021</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56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deferred revenue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revenue in the period</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(68,517)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(29,720)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(2,898)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(101,135)</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as of June 30, 2022</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18,186</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December 31, 2020</w:t>
            </w: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11,686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6"/>
              </w:rPr>
              <w:t>11,855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36,696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center"/>
              <w:ind w:left="513"/>
              <w:spacing w:after="0"/>
              <w:rPr>
                <w:sz w:val="20"/>
                <w:szCs w:val="20"/>
                <w:color w:val="auto"/>
              </w:rPr>
            </w:pPr>
            <w:r>
              <w:rPr>
                <w:rFonts w:ascii="Times New Roman" w:cs="Times New Roman" w:eastAsia="Times New Roman" w:hAnsi="Times New Roman"/>
                <w:sz w:val="18"/>
                <w:szCs w:val="18"/>
                <w:color w:val="auto"/>
              </w:rPr>
              <w:t>36,696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revenue in the period</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4"/>
            <w:shd w:val="clear" w:color="auto" w:fill="CCEEFF"/>
          </w:tcPr>
          <w:p>
            <w:pPr>
              <w:jc w:val="center"/>
              <w:ind w:left="1037"/>
              <w:spacing w:after="0"/>
              <w:rPr>
                <w:sz w:val="20"/>
                <w:szCs w:val="20"/>
                <w:color w:val="auto"/>
              </w:rPr>
            </w:pPr>
            <w:r>
              <w:rPr>
                <w:rFonts w:ascii="Times New Roman" w:cs="Times New Roman" w:eastAsia="Times New Roman" w:hAnsi="Times New Roman"/>
                <w:sz w:val="18"/>
                <w:szCs w:val="18"/>
                <w:color w:val="auto"/>
              </w:rPr>
              <w:t>(36,369)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ind w:left="96"/>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auto"/>
                <w:w w:val="97"/>
              </w:rPr>
              <w:t>(36,538)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as of June 30, 2021</w:t>
            </w: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12,013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13"/>
              <w:spacing w:after="0"/>
              <w:rPr>
                <w:sz w:val="20"/>
                <w:szCs w:val="20"/>
                <w:color w:val="auto"/>
              </w:rPr>
            </w:pPr>
            <w:r>
              <w:rPr>
                <w:rFonts w:ascii="Times New Roman" w:cs="Times New Roman" w:eastAsia="Times New Roman" w:hAnsi="Times New Roman"/>
                <w:sz w:val="18"/>
                <w:szCs w:val="18"/>
                <w:color w:val="auto"/>
              </w:rPr>
              <w:t>12,013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Costs Capitalized to Obtain Contracts</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 recognizes as an asset the incremental costs of obtaining a contract with a customer if the entity expects to recover those costs. The Company determined that its costs to obtain contracts were both direct and incremental. These costs are attributable to the Company’s largest channel partners.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Renewal contracts are considered non-commensurate with new contracts as the Company pays a different commission rate for renewals. Accordingly, the guidance requires that specifically anticipated renewal periods should be taken into consideration in determining the required amortization period. Specifically, under the guidance of ASC 340-40, the Company is required to estimate the specifically anticipated renewals after the initial contract to which the initial commission asset relates. The total amortization period is then equal to the initial contractual term plus all specifically anticipated renewals that relate to the initial commission asset. Based upon its assessment of historical data and other factors, the Company concluded that its average customer life was approximately two to three years depending on the subscription type, which is used as the amortization period for all capitalized contract acquisition costs for that subscription type.</w:t>
      </w:r>
    </w:p>
    <w:p>
      <w:pPr>
        <w:sectPr>
          <w:pgSz w:w="11900" w:h="16838" w:orient="portrait"/>
          <w:cols w:equalWidth="0" w:num="1">
            <w:col w:w="11220"/>
          </w:cols>
          <w:pgMar w:left="320" w:top="225" w:right="35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 forward of the Company’s costs capitalized to obtain contracts, net (in thousands):</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Acquired costs capitalized to obtain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to costs capitalized to obtain contracts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deferred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Ending balance as of June 30, 2022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Costs capitalized to obtain contracts,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Costs capitalized to obtain contracts, net of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costs capitalized to obtain contracts as of June 30, 2022</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to costs capitalized to obtain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deferred commissions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Ending balance 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Costs capitalized to obtain contracts,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Costs capitalized to obtain contracts, net of current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costs capitalized to obtain contracts as of June 30, 2021</w:t>
      </w:r>
    </w:p>
    <w:p>
      <w:pPr>
        <w:spacing w:after="0" w:line="200" w:lineRule="exact"/>
        <w:rPr>
          <w:sz w:val="20"/>
          <w:szCs w:val="20"/>
          <w:color w:val="auto"/>
        </w:rPr>
      </w:pPr>
    </w:p>
    <w:p>
      <w:pPr>
        <w:spacing w:after="0" w:line="23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87" w:hanging="987"/>
        <w:spacing w:after="0"/>
        <w:tabs>
          <w:tab w:leader="none" w:pos="98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1,649</w:t>
      </w:r>
    </w:p>
    <w:p>
      <w:pPr>
        <w:spacing w:after="0" w:line="27" w:lineRule="exact"/>
        <w:rPr>
          <w:rFonts w:ascii="Times New Roman" w:cs="Times New Roman" w:eastAsia="Times New Roman" w:hAnsi="Times New Roman"/>
          <w:sz w:val="18"/>
          <w:szCs w:val="18"/>
          <w:color w:val="auto"/>
        </w:rPr>
      </w:pPr>
    </w:p>
    <w:p>
      <w:pPr>
        <w:ind w:left="11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849</w:t>
      </w:r>
    </w:p>
    <w:p>
      <w:pPr>
        <w:spacing w:after="0" w:line="22" w:lineRule="exact"/>
        <w:rPr>
          <w:rFonts w:ascii="Times New Roman" w:cs="Times New Roman" w:eastAsia="Times New Roman" w:hAnsi="Times New Roman"/>
          <w:sz w:val="18"/>
          <w:szCs w:val="18"/>
          <w:color w:val="auto"/>
        </w:rPr>
      </w:pPr>
    </w:p>
    <w:p>
      <w:pPr>
        <w:ind w:left="11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(1,671)</w:t>
      </w:r>
    </w:p>
    <w:p>
      <w:pPr>
        <w:spacing w:after="0" w:line="31" w:lineRule="exact"/>
        <w:rPr>
          <w:sz w:val="20"/>
          <w:szCs w:val="20"/>
          <w:color w:val="auto"/>
        </w:rPr>
      </w:pPr>
    </w:p>
    <w:p>
      <w:pPr>
        <w:ind w:left="987" w:hanging="987"/>
        <w:spacing w:after="0"/>
        <w:tabs>
          <w:tab w:leader="none" w:pos="9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429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86" w:lineRule="exact"/>
        <w:rPr>
          <w:sz w:val="20"/>
          <w:szCs w:val="20"/>
          <w:color w:val="auto"/>
        </w:rPr>
      </w:pPr>
    </w:p>
    <w:p>
      <w:pPr>
        <w:ind w:left="987" w:hanging="987"/>
        <w:spacing w:after="0"/>
        <w:tabs>
          <w:tab w:leader="none" w:pos="9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1,582</w:t>
      </w:r>
    </w:p>
    <w:p>
      <w:pPr>
        <w:spacing w:after="0" w:line="27" w:lineRule="exact"/>
        <w:rPr>
          <w:rFonts w:ascii="Times New Roman" w:cs="Times New Roman" w:eastAsia="Times New Roman" w:hAnsi="Times New Roman"/>
          <w:sz w:val="18"/>
          <w:szCs w:val="18"/>
          <w:color w:val="auto"/>
        </w:rPr>
      </w:pPr>
    </w:p>
    <w:p>
      <w:pPr>
        <w:ind w:left="11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196</w:t>
      </w:r>
    </w:p>
    <w:p>
      <w:pPr>
        <w:spacing w:after="0" w:line="31" w:lineRule="exact"/>
        <w:rPr>
          <w:sz w:val="20"/>
          <w:szCs w:val="20"/>
          <w:color w:val="auto"/>
        </w:rPr>
      </w:pPr>
    </w:p>
    <w:p>
      <w:pPr>
        <w:ind w:left="987" w:hanging="987"/>
        <w:spacing w:after="0"/>
        <w:tabs>
          <w:tab w:leader="none" w:pos="9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1,778</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9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3,950</w:t>
      </w:r>
    </w:p>
    <w:p>
      <w:pPr>
        <w:spacing w:after="0" w:line="27" w:lineRule="exact"/>
        <w:rPr>
          <w:rFonts w:ascii="Times New Roman" w:cs="Times New Roman" w:eastAsia="Times New Roman" w:hAnsi="Times New Roman"/>
          <w:sz w:val="18"/>
          <w:szCs w:val="18"/>
          <w:color w:val="auto"/>
        </w:rPr>
      </w:pPr>
    </w:p>
    <w:p>
      <w:pPr>
        <w:ind w:left="9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-499110</wp:posOffset>
            </wp:positionV>
            <wp:extent cx="9429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429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1" w:lineRule="exact"/>
        <w:rPr>
          <w:sz w:val="20"/>
          <w:szCs w:val="20"/>
          <w:color w:val="auto"/>
        </w:rPr>
      </w:pPr>
    </w:p>
    <w:p>
      <w:pPr>
        <w:ind w:left="987" w:hanging="987"/>
        <w:spacing w:after="0"/>
        <w:tabs>
          <w:tab w:leader="none" w:pos="9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2,743</w:t>
      </w:r>
    </w:p>
    <w:p>
      <w:pPr>
        <w:spacing w:after="0" w:line="306" w:lineRule="exact"/>
        <w:rPr>
          <w:rFonts w:ascii="Times New Roman" w:cs="Times New Roman" w:eastAsia="Times New Roman" w:hAnsi="Times New Roman"/>
          <w:sz w:val="18"/>
          <w:szCs w:val="18"/>
          <w:color w:val="auto"/>
        </w:rPr>
      </w:pPr>
    </w:p>
    <w:p>
      <w:pPr>
        <w:ind w:left="9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2,223</w:t>
      </w:r>
    </w:p>
    <w:p>
      <w:pPr>
        <w:spacing w:after="0" w:line="27" w:lineRule="exact"/>
        <w:rPr>
          <w:rFonts w:ascii="Times New Roman" w:cs="Times New Roman" w:eastAsia="Times New Roman" w:hAnsi="Times New Roman"/>
          <w:sz w:val="18"/>
          <w:szCs w:val="18"/>
          <w:color w:val="auto"/>
        </w:rPr>
      </w:pPr>
    </w:p>
    <w:p>
      <w:pPr>
        <w:ind w:left="11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429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-456565</wp:posOffset>
            </wp:positionV>
            <wp:extent cx="9429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1" w:lineRule="exact"/>
        <w:rPr>
          <w:sz w:val="20"/>
          <w:szCs w:val="20"/>
          <w:color w:val="auto"/>
        </w:rPr>
      </w:pPr>
    </w:p>
    <w:p>
      <w:pPr>
        <w:ind w:left="987" w:hanging="987"/>
        <w:spacing w:after="0"/>
        <w:tabs>
          <w:tab w:leader="none" w:pos="9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429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429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791" w:lineRule="exact"/>
        <w:rPr>
          <w:sz w:val="20"/>
          <w:szCs w:val="20"/>
          <w:color w:val="auto"/>
        </w:rPr>
      </w:pPr>
    </w:p>
    <w:p>
      <w:pPr>
        <w:sectPr>
          <w:pgSz w:w="11900" w:h="16838" w:orient="portrait"/>
          <w:cols w:equalWidth="0" w:num="2">
            <w:col w:w="9053" w:space="720"/>
            <w:col w:w="1447"/>
          </w:cols>
          <w:pgMar w:left="320" w:top="225" w:right="359" w:bottom="1440" w:gutter="0" w:footer="0" w:header="0"/>
          <w:type w:val="continuous"/>
        </w:sect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measures and reports certain financial instruments as assets and liabilities at fair value on a recurring basis. These liabilities are considered Level 3 instruments.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these instruments as of June 30, 2022 and December 31, 2021 are classified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(Note 9)</w:t>
            </w:r>
          </w:p>
        </w:tc>
        <w:tc>
          <w:tcPr>
            <w:tcW w:w="11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5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(Note 9)</w:t>
            </w:r>
          </w:p>
        </w:tc>
        <w:tc>
          <w:tcPr>
            <w:tcW w:w="11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100" w:type="dxa"/>
            <w:vAlign w:val="bottom"/>
          </w:tcPr>
          <w:p>
            <w:pPr>
              <w:spacing w:after="0"/>
              <w:rPr>
                <w:sz w:val="19"/>
                <w:szCs w:val="19"/>
                <w:color w:val="auto"/>
              </w:rPr>
            </w:pPr>
          </w:p>
        </w:tc>
        <w:tc>
          <w:tcPr>
            <w:tcW w:w="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 in fair value of the Level 3 instruments were as follows (in thousands):</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11"/>
                <w:szCs w:val="11"/>
                <w:color w:val="auto"/>
              </w:rPr>
            </w:pPr>
          </w:p>
        </w:tc>
        <w:tc>
          <w:tcPr>
            <w:tcW w:w="12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 9)</w:t>
            </w: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the year</w:t>
            </w:r>
          </w:p>
        </w:tc>
        <w:tc>
          <w:tcPr>
            <w:tcW w:w="1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revesting notes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 of revesting notes</w:t>
            </w: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in settlement of contingent consideration</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end of quarter</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5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11"/>
                <w:szCs w:val="11"/>
                <w:color w:val="auto"/>
              </w:rPr>
            </w:pPr>
          </w:p>
        </w:tc>
        <w:tc>
          <w:tcPr>
            <w:tcW w:w="12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 9)</w:t>
            </w:r>
          </w:p>
        </w:tc>
        <w:tc>
          <w:tcPr>
            <w:tcW w:w="220" w:type="dxa"/>
            <w:vAlign w:val="bottom"/>
          </w:tcPr>
          <w:p>
            <w:pPr>
              <w:spacing w:after="0"/>
              <w:rPr>
                <w:sz w:val="17"/>
                <w:szCs w:val="17"/>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the year</w:t>
            </w:r>
          </w:p>
        </w:tc>
        <w:tc>
          <w:tcPr>
            <w:tcW w:w="1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derivative liability</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of convertible notes</w:t>
            </w: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revesting notes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contingent consideration</w:t>
            </w: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end of year</w:t>
            </w: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2022, the Company recorded a gain associated with the change in fair value of the derivative liability of $0.4 million and $1.3 million, respectively. For the three and six months ended June 30, 2022, the Company recorded a gain associated with convertible notes of $0.5 million and $2.1 million, respectively. For the year ended December 31, 2021, the Company had recorded a loss associated with the change in fair value of the derivative liability and convertible notes of $0.7 million and $0.5 million, respectively. The amounts have been recorded in other income (expense), net in the condensed consolidated statement of operations and comprehensive loss.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has recorded a gain associated with the change in fair value of the contingent consideration of $1.3 million and $5.3 million for the three and six months ended June 30, 2022, in general and administrative expense in the condensed consolidated statement of operations and comprehensive loss. No gain or loss associated with changes in fair value of derivative liabilities, convertible notes, or contingent consideration were recorded for the three and six months ended June 30, 2021.</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Jio, Inc.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 2021, the Company completed the acquisition of Jiobit, a privately held consumer electronics company that specializes in the production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low powered sensors and wearables. The company is based in Chicago, Illinois with an additional development center in Silicon Valley, California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founded in 2015. Jiobit has developed a small and long-lasting tracking solution. The mobile app, which is run through a wireless subscription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offers a comprehensive set of monitoring and notification features. The addition of Jiobit is expected to strengthen and extend the Company’s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leadership position by leveraging Jiobit’s developed technology and customer relationships to accelerate the Company’s own product development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augment the Company with a critical mass of talent with strong tracking/wearables experience. The aggregate purchase consideration was $43.2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$7.3 million was paid in cash, $5.9 million of contingent consideration was payable upon reaching certain operational goals for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 million representing the fair value of convertible notes (the “September 2021 Convertible Notes”), $4.0 million representing forgiveness of Jiobit’s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debt held by the Company, $0.6 million comprised of 25,245 vested common stock options issued to Jiobit employees (“replacement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$13.8 million comprised of 674,516 shares of the Company’s common stock. Of the consideration transferred, $0.2 million in cash was placed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indemnity escrow fund to be held for fifteen months after the acquisition date for general representations and warranties.</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September 2021 Convertible Notes issued as part of the purchase consideration can be converted to common stock at any time subsequent to the acquisition at a fixed conversion price of $22.50 per share. On each of the first three annual anniversaries of the issuance date of the September 2021 Convertible Notes, the Company will repay 1/3rd of the unconverted principal plus accrued interest to the holders of such notes. Upon a change of control, the holder may elect to either convert at the fixed conversion price of $22.50 per share or be repaid in full. The Company has elected the fair value option and will remeasure the September 2021 Convertible Notes at their fair value on each reporting date and reflect the changes in fair value in earnings. The estimated fair value of the September 2021 Convertible Notes is determined using a combination of the present value of the cash flows and the Black-Scholes option pricing model using assumptions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As of September 1,</w:t>
            </w:r>
          </w:p>
        </w:tc>
        <w:tc>
          <w:tcPr>
            <w:tcW w:w="26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Pr>
          <w:p>
            <w:pPr>
              <w:spacing w:after="0"/>
              <w:rPr>
                <w:sz w:val="16"/>
                <w:szCs w:val="16"/>
                <w:color w:val="auto"/>
              </w:rPr>
            </w:pPr>
          </w:p>
        </w:tc>
        <w:tc>
          <w:tcPr>
            <w:tcW w:w="15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203"/>
        </w:trPr>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7"/>
                <w:szCs w:val="17"/>
                <w:color w:val="auto"/>
              </w:rPr>
            </w:pPr>
          </w:p>
        </w:tc>
        <w:tc>
          <w:tcPr>
            <w:tcW w:w="158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11,206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10,068</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fair value per share</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20.49</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5.88</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price per share</w:t>
            </w:r>
          </w:p>
        </w:tc>
        <w:tc>
          <w:tcPr>
            <w:tcW w:w="220" w:type="dxa"/>
            <w:vAlign w:val="bottom"/>
          </w:tcPr>
          <w:p>
            <w:pPr>
              <w:spacing w:after="0"/>
              <w:rPr>
                <w:sz w:val="19"/>
                <w:szCs w:val="19"/>
                <w:color w:val="auto"/>
              </w:rPr>
            </w:pPr>
          </w:p>
        </w:tc>
        <w:tc>
          <w:tcPr>
            <w:tcW w:w="16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22.50</w:t>
            </w:r>
          </w:p>
        </w:tc>
        <w:tc>
          <w:tcPr>
            <w:tcW w:w="260" w:type="dxa"/>
            <w:vAlign w:val="bottom"/>
          </w:tcPr>
          <w:p>
            <w:pPr>
              <w:spacing w:after="0"/>
              <w:rPr>
                <w:sz w:val="19"/>
                <w:szCs w:val="19"/>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22.50</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0.45 %</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to exercise (in years)</w:t>
            </w:r>
          </w:p>
        </w:tc>
        <w:tc>
          <w:tcPr>
            <w:tcW w:w="220" w:type="dxa"/>
            <w:vAlign w:val="bottom"/>
          </w:tcPr>
          <w:p>
            <w:pPr>
              <w:spacing w:after="0"/>
              <w:rPr>
                <w:sz w:val="19"/>
                <w:szCs w:val="19"/>
                <w:color w:val="auto"/>
              </w:rPr>
            </w:pPr>
          </w:p>
        </w:tc>
        <w:tc>
          <w:tcPr>
            <w:tcW w:w="16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19"/>
                <w:szCs w:val="19"/>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dividend yield</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87"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A total of $6.0 million was excluded from purchase consideration which consists of $1.9 million comprised of 91,217 shares of the Company’s common stock (“Revesting Stock” – Note 14) and $1.6 million comprised of convertible notes (“Revesting Notes”) issued to key employees, retention bonuses of $1.0 million, and $0.5 million comprised of 43,083 unvested common stock options issued to Jiobit employees (“Unvested Replacement Awards” – Note 14). The Company incurred transaction related expenses of $1.0 million, which were expensed as incurred and recorded under general and administrative expenses in the condensed consolidated statements of operations and comprehensive loss.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Revesting Stock and Revesting Notes are restricted and vest with continuous employment of certain key employees over a 3-year period subsequent to the acquisition. The Revesting Stock is recognized in general and administrative expense as the Revesting Stock vests. In April 2022, one of the key employees exited the Company, and so the entirety of their Revesting Notes and Revesting Stock was forfeited. The Company recorded $(0.3) million as stock-based compensation included in general and administrative expense related to the forfeiture of their Revesting Stock and $(0.3) million as compensation included in general and administrative expense related to the forfeiture of their Revesting Notes.</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recorded an immaterial amount and $0.2 million as stock-based compensation included in general and administrative expense related to the vesting of the Revesting Stock for the three and six months ended June 30, 2022.</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records the Revesting Notes at fair value and will remeasure the Revesting Notes at fair value on each reporting date. The Revesting Notes are recognized in general and administrative expense. As the Revesting Notes vest, the changes in fair value are recorded as general and administrative expense with a corresponding entry to convertibles notes. The estimated fair value of the Revesting Notes is determined using a combination of the present value of the Revesting Notes cash flows and the Black-Scholes option pricing model. The terms of the Revesting Notes are consistent with the terms of the September 2021 Convertible Notes. The Company recorded an immaterial amount and $0.1 million as general and administrative and expense related to the changes in fair value of Revesting Notes during the three and six months ended June 30, 2022, respectively.</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retention bonuses are recognized in prepaid expenses and other assets, noncurrent in the condensed consolidated balance sheet and vest monthly over a period of 24 months and require continuous employment. The expense associated with the Unvested Replacement Awards is recognized as stock-based compensation ratably over the remaining service period.</w:t>
      </w:r>
    </w:p>
    <w:p>
      <w:pPr>
        <w:spacing w:after="0" w:line="17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2021 and 2022 contingent consideration is based on the achievement of a Qualifying Units Sold Target for the period January 1, 2021 through December 31, 2021 (“2021 Contingent Consideration”) and for the period January 1, 2022 through December 31, 2022 (“2022 Contingent Consideration,” collectively, “Contingent Consideration”). The Contingent Consideration consists of 301,261 and 451,891 shares for 2021 and 2022, respectively, with the amount paid equal to the attainment relative to target in each year and settled in shares of the Company’s common stock. The Contingent Consideration shares payable is determined based on the percentage achievement relative to the target in each period, respectively, with greater than 100% attainment resulting in 100% payment, 90% to 100% attainment resulting in the number of shares equal to the percentage attainment, and less than 90% attainment equal to no consideration. The Contingent Consideration is held at fair value with changes in fair value recognized in general and administrative expense. The estimated fair value of the Contingent Consideration is determined by using a Monte Carlo Simulation scenario-based analysis that estimates the fair value of the Contingent Consideration based on the probability-weighted present value of the expected future cash flows, considering possible outcomes based on actual and forecasted results. The estimated fair value of the 2021 and 2022 Contingent Consideration upon issuance was $0.1 million and $5.8 million, respectively. The estimated fair value of the 2021 and 2022 Contingent Consideration as of December 31, 2021 was $6.3 million and $3.1 million, respectively. The Company recorded a $1.3 million and $5.3 million gain within general and administrative expense related to the change in the fair value of the Contingent Consideration during the three and six months ended June 30, 2022, respectively.</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April 2022, the Board of Directors and previous Jiobit shareholders approved an amendment to the 2021 Contingent Consideration. The 2021 Contingent Consideration was amended to 50% of the total potential amount of which 376,573 shares of the Company’s common stock were issued to shareholders. The fair value of the common stock of $4.2 million was recorded to additional paid-in capital and the contingent consideration liability was reversed.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The total purchase price of $43.2 million was allocated to the net tangible and intangible assets and liabilities based on their estimated fair values on the acquisition date and the excess was recorded to goodwill. The provisional values assigned to the assets acquired and liabilities assumed are based on preliminary estimates of fair value available as of the date of these financial statements and may be adjusted during the measurement period of up to 12 months from the date of acquisition. Any changes in the fair values of the assets acquired and liabilities assumed during the measurement period may result in adjustments to goodwill.</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assets acquired and liabilities assumed in connection with the acquisition were recorded at their fair value on the date of acquisition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tangible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30,363</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48"/>
        </w:trPr>
        <w:tc>
          <w:tcPr>
            <w:tcW w:w="9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acquisition consideration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(in thousands) and their estimated useful lives as of the date of acquisition: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37"/>
        </w:trPr>
        <w:tc>
          <w:tcPr>
            <w:tcW w:w="8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1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that could not be individually identified and separately recognized, such as the acquired assembled workforce of Jiobit. In addition, goodwill represents the future benefits as a result of the acquisition that will enhance the Company’s product available to both new and existing customers and increase the Company’s competitive position. The goodwill is not deductible for tax purposes.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estimated and recorded a net deferred tax liability of $0.1 million after offsetting the acquired available tax attributes with the intangible assets shown in the table above. Refer to Note 15 “Income Taxes” for discussion of the partial release of the Company’s valuation allowance relating to the deferred tax liability.</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results of operations of Jiobit are included in the accompanying condensed consolidated statements of operations and comprehensive loss from the date of acquisition.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Tile, Inc.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5, 2022, the Company completed the acquisition of Tile, Inc. (“Tile”), a privately held consumer electronics company. The company is based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 and was founded in 2012. Tile is a smart location company, with a Bluetooth enabled device that works in tandem with the Tile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 (the “Application”), to enable its customers to locate lost or misplaced objects. Tile offers a comprehensive list of products to use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 along with optional subscription services to enhance features offered for Tile products. The addition of Tile is expected to strengthen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 Life360’s market leadership position by leveraging Tile’s developed technology and customer relationships to accelerate the Company’s 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development and augment the Life360 team with a critical mass of talent. The aggregate purchase consideration was $173.6 million,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$158.0 million was paid in cash and $15.6 million paid in equity. The $15.6 million in equity was comprised of 780,593 shares of the Company’s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valued on the date of acquisition and 534,465 shares of common stock contingent consideration which was promised upon reaching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operational goals. Of the consideration transferred, $14.1 million in cash and 84,524 common shares were placed in an indemnity escrow fund to be 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fifteen months after the acquisition date for general representations and warranties.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 total of $35.0 million was excluded from purchase consideration which consists of retention consideration of 1,499,349 shares of retention restricted stock units valued at $29.6 million, $0.4 million related to 38,730 vested common stock options issued to Tile employees (“replacement awards”) as stock-based compensation on the acquisition date and change in control bonuses of $3.0 million which were recognized as compensation expense on the condensed consolidated statements of operations on the acquisition date. The Company incurred transaction related expenses of $1.7 million, which were recorded under general and administrative expenses in the condensed consolidated statements of operations. The remaining costs excluded from purchase consideration were a result of 1,561 shares granted to key employee and vested based continued employment and 4,784 shares of contingent consideration granted to a key employee and vested based on continued employment.</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Of the 1,499,349 shares of retention restricted stock units, 787,446 shares valued at $15.6 million contain performance vesting criteria based on the achievement of certain company milestones, and vest over a two year period. The remaining retention restricted stock units of 711,903 shares vest over a two to four year period.</w:t>
      </w:r>
    </w:p>
    <w:p>
      <w:pPr>
        <w:spacing w:after="0" w:line="176"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The contingent consideration is based on the achievement of the Company’s achievement certain targets for revenue and earnings before interest, taxes, depreciation, and amortization (“EBITDA”) for the fourth quarter of calendar year 2021 and the second quarter of calendar year 2022. The Company determined that the criteria to satisfy the contingent consideration was not met, and as such, no value was ascribed to the contingent consideration.</w:t>
      </w:r>
    </w:p>
    <w:p>
      <w:pPr>
        <w:spacing w:after="0" w:line="1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the total purchase consideration was allocated to the net tangible and intangible assets and liabilities based on their fair values on the acquisition date and the excess was recorded to goodwill. The provisional values assigned to the assets acquired and liabilities assumed are based on preliminary estimates of fair value available as of the date of these financial statements and certain assets and liabilities may be subject to adjustment during the measurement period of up to 12 months from the date of acquisition including, but not limited to, intangible assets, certain reserves and income taxes. Any changes in the fair values of the assets acquired and liabilities assumed during the measurement period may result in adjustments to goodwill.</w:t>
      </w:r>
    </w:p>
    <w:p>
      <w:pPr>
        <w:spacing w:after="0" w:line="18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assets acquired and liabilities assumed in connection with the acquisition were recorded at their fair value on the date of acquisition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42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3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32,997</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27,826</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5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 noncurrent</w:t>
            </w:r>
          </w:p>
        </w:tc>
        <w:tc>
          <w:tcPr>
            <w:tcW w:w="5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52,700</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102,117</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(23,197)</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(24,613)</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5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acquisition consideration</w:t>
            </w:r>
          </w:p>
        </w:tc>
        <w:tc>
          <w:tcPr>
            <w:tcW w:w="5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173,551</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bottom w:val="single" w:sz="8" w:color="CCEEFF"/>
            </w:tcBorders>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2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46"/>
        </w:trPr>
        <w:tc>
          <w:tcPr>
            <w:tcW w:w="8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8"/>
        </w:trPr>
        <w:tc>
          <w:tcPr>
            <w:tcW w:w="8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that could not be individually identified and separately recognized, such as the acquired assembled workforce of Tile. In addition, goodwill represents the future benefits as a result of the acquisition that will enhance the Company’s product available to both new and existing customers and increase the Company’s competitive position. The goodwill is not deductible for tax purposes.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results of operations of Tile are included in the accompanying condensed consolidated statements of operations and comprehensive loss from the date of acquisition.</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16"/>
                <w:szCs w:val="16"/>
                <w:color w:val="auto"/>
              </w:rPr>
            </w:pPr>
          </w:p>
        </w:tc>
        <w:tc>
          <w:tcPr>
            <w:tcW w:w="15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24"/>
                <w:szCs w:val="24"/>
                <w:color w:val="auto"/>
              </w:rPr>
            </w:pPr>
          </w:p>
        </w:tc>
        <w:tc>
          <w:tcPr>
            <w:tcW w:w="15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inventory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7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24"/>
                <w:szCs w:val="24"/>
                <w:color w:val="auto"/>
              </w:rPr>
            </w:pPr>
          </w:p>
        </w:tc>
        <w:tc>
          <w:tcPr>
            <w:tcW w:w="15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Prepaid expenses primarily consist of certain cloud platform and customer service program costs. Other receivables primarily consist of future tax refunds and deposits held by retail partners.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16"/>
                <w:szCs w:val="16"/>
                <w:color w:val="auto"/>
              </w:rPr>
            </w:pPr>
          </w:p>
        </w:tc>
        <w:tc>
          <w:tcPr>
            <w:tcW w:w="15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manufacturing equipment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48"/>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Depreciation expense was $0.1 million and $0.2 million for the three and six months ended June 30, 2022 and $0.1 million and $0.2 million for the three and six months ended June 30,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 noncurrent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noncurrent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16"/>
                <w:szCs w:val="16"/>
                <w:color w:val="auto"/>
              </w:rPr>
            </w:pP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affiliate</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assets, noncurrent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r>
      <w:tr>
        <w:trPr>
          <w:trHeight w:val="21"/>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Prepaid expenses primarily consist of cloud platform costs. Investment in affiliate relates to warrants to purchase shares of common stock of a current Data Revenue Partner. Refer to Note 3 “Revenue”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currently leases real estate space under non-cancelable operating lease agreements for its corporate headquarters in San Francisco, San Mateo and San Diego, California and Chicago, Illinois. The operating leases have remaining lease terms ranging from 1 to 4 years, some of which include the option to extend the lease.</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recognized a right-of-use (ROU) asset, short term and long-term lease liabilities of $2.0 million, $1.7 million, and $0.4 million in “Right-of-use-asset,” “Accrued expenses and other liabilities,” and “Other noncurrent liabilities,” respectively, on the Company’s condensed consolidated balance sheet as of June 30, 2022.</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recognized operating ROU assets, short term and long-term lease liabilities of $1.6 million, $1.6 million, and $0.3 million in “Right-of-use-asset,” “Accrued expenses and other liabilities,” and “Other noncurrent liabilities,” respectively, on the Company’s condensed consolidated balance sheet as of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finance leases as of June 30, 2022 or December 31, 2021.</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5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0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0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bl>
    <w:p>
      <w:pPr>
        <w:spacing w:after="0" w:line="262"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 short-term leases, which are immaterial.</w:t>
      </w:r>
    </w:p>
    <w:p>
      <w:pPr>
        <w:spacing w:after="0" w:line="198"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The weighted-average remaining term of the Company’s operating leases was 1.1 years and 1.3 years as of June 30, 2022 and December 31, 2021, respectively, and the weighted-average discount rate used to measure the present value of the operating lease liabilities was 5.0% and 4.8%,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Company’s operating lease liabilities, which do not include short-term leases, as of June 30, 2022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0"/>
        </w:trPr>
        <w:tc>
          <w:tcPr>
            <w:tcW w:w="9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Payments for operating leases included in cash from operating activities were $0.6 million and $1.2 million for the three and six months ended June 30, 2022 and $0.4 million and $0.7 million for the three and six months ended June 30,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16"/>
                <w:szCs w:val="16"/>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gross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48"/>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Amortization expense was $2.2 million and $4.3 million for the three and six months ended June 30, 2022. No amortization expense was recorded for the three and six months ended June 30, 2021.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$0.3 million of internal use software which had not been released and was therefore not subject to amortization. As of June 30, 2022, estimated remaining amortization expense for intangible assets by fiscal year is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Beyond</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17,502</w:t>
            </w:r>
          </w:p>
        </w:tc>
      </w:tr>
      <w:tr>
        <w:trPr>
          <w:trHeight w:val="248"/>
        </w:trPr>
        <w:tc>
          <w:tcPr>
            <w:tcW w:w="9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56,506</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useful lives of the Company’s acquired intangible assets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80" w:type="dxa"/>
            <w:vAlign w:val="bottom"/>
            <w:gridSpan w:val="1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 Remaining Useful Life</w:t>
            </w: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center"/>
              <w:ind w:right="353"/>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9.5 years</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8"/>
              </w:rPr>
              <w:t>9.7 years</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w w:val="98"/>
              </w:rPr>
              <w:t>4.4 years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color w:val="auto"/>
                <w:w w:val="98"/>
              </w:rPr>
              <w:t>4.5 years</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7.6 years</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8"/>
              </w:rPr>
              <w:t>9.7 years</w:t>
            </w:r>
          </w:p>
        </w:tc>
        <w:tc>
          <w:tcPr>
            <w:tcW w:w="0" w:type="dxa"/>
            <w:vAlign w:val="bottom"/>
          </w:tcPr>
          <w:p>
            <w:pPr>
              <w:spacing w:after="0"/>
              <w:rPr>
                <w:sz w:val="1"/>
                <w:szCs w:val="1"/>
                <w:color w:val="auto"/>
              </w:rPr>
            </w:pPr>
          </w:p>
        </w:tc>
      </w:tr>
      <w:tr>
        <w:trPr>
          <w:trHeight w:val="513"/>
        </w:trPr>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detail of intangible assets, net is as follows (in thousands):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Intellectual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w w:val="98"/>
              </w:rPr>
              <w:t>Licenses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Trade</w:t>
            </w:r>
          </w:p>
        </w:tc>
        <w:tc>
          <w:tcPr>
            <w:tcW w:w="20" w:type="dxa"/>
            <w:vAlign w:val="bottom"/>
          </w:tcPr>
          <w:p>
            <w:pPr>
              <w:spacing w:after="0"/>
              <w:rPr>
                <w:sz w:val="11"/>
                <w:szCs w:val="11"/>
                <w:color w:val="auto"/>
              </w:rPr>
            </w:pPr>
          </w:p>
        </w:tc>
        <w:tc>
          <w:tcPr>
            <w:tcW w:w="12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140" w:type="dxa"/>
            <w:vAlign w:val="bottom"/>
          </w:tcPr>
          <w:p>
            <w:pPr>
              <w:spacing w:after="0"/>
              <w:rPr>
                <w:sz w:val="11"/>
                <w:szCs w:val="11"/>
                <w:color w:val="auto"/>
              </w:rPr>
            </w:pPr>
          </w:p>
        </w:tc>
        <w:tc>
          <w:tcPr>
            <w:tcW w:w="960" w:type="dxa"/>
            <w:vAlign w:val="bottom"/>
            <w:gridSpan w:val="7"/>
          </w:tcPr>
          <w:p>
            <w:pPr>
              <w:jc w:val="center"/>
              <w:ind w:right="50"/>
              <w:spacing w:after="0" w:line="131" w:lineRule="exact"/>
              <w:rPr>
                <w:sz w:val="20"/>
                <w:szCs w:val="20"/>
                <w:color w:val="auto"/>
              </w:rPr>
            </w:pPr>
            <w:r>
              <w:rPr>
                <w:rFonts w:ascii="Times New Roman" w:cs="Times New Roman" w:eastAsia="Times New Roman" w:hAnsi="Times New Roman"/>
                <w:sz w:val="14"/>
                <w:szCs w:val="14"/>
                <w:b w:val="1"/>
                <w:bCs w:val="1"/>
                <w:color w:val="auto"/>
              </w:rPr>
              <w:t>Internal use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 w:type="dxa"/>
            <w:vAlign w:val="bottom"/>
          </w:tcPr>
          <w:p>
            <w:pPr>
              <w:spacing w:after="0"/>
              <w:rPr>
                <w:sz w:val="16"/>
                <w:szCs w:val="16"/>
                <w:color w:val="auto"/>
              </w:rPr>
            </w:pPr>
          </w:p>
        </w:tc>
        <w:tc>
          <w:tcPr>
            <w:tcW w:w="120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40" w:type="dxa"/>
            <w:vAlign w:val="bottom"/>
          </w:tcPr>
          <w:p>
            <w:pPr>
              <w:spacing w:after="0"/>
              <w:rPr>
                <w:sz w:val="16"/>
                <w:szCs w:val="16"/>
                <w:color w:val="auto"/>
              </w:rPr>
            </w:pPr>
          </w:p>
        </w:tc>
        <w:tc>
          <w:tcPr>
            <w:tcW w:w="960" w:type="dxa"/>
            <w:vAlign w:val="bottom"/>
            <w:gridSpan w:val="7"/>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23,380</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22,685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15,290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396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62,213</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(1,255)</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8"/>
              </w:rPr>
              <w:t>(2,717)</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(5,391)</w:t>
            </w: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22,125</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19,968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14,338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391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56,822</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bottom w:val="single" w:sz="8" w:color="auto"/>
            </w:tcBorders>
            <w:gridSpan w:val="2"/>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9"/>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Intellectual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4"/>
          </w:tcPr>
          <w:p>
            <w:pPr>
              <w:ind w:left="460"/>
              <w:spacing w:after="0" w:line="131" w:lineRule="exact"/>
              <w:rPr>
                <w:sz w:val="20"/>
                <w:szCs w:val="20"/>
                <w:color w:val="auto"/>
              </w:rPr>
            </w:pPr>
            <w:r>
              <w:rPr>
                <w:rFonts w:ascii="Times New Roman" w:cs="Times New Roman" w:eastAsia="Times New Roman" w:hAnsi="Times New Roman"/>
                <w:sz w:val="14"/>
                <w:szCs w:val="14"/>
                <w:b w:val="1"/>
                <w:bCs w:val="1"/>
                <w:color w:val="auto"/>
              </w:rPr>
              <w:t>Trade</w:t>
            </w:r>
          </w:p>
        </w:tc>
        <w:tc>
          <w:tcPr>
            <w:tcW w:w="100" w:type="dxa"/>
            <w:vAlign w:val="bottom"/>
          </w:tcPr>
          <w:p>
            <w:pPr>
              <w:spacing w:after="0"/>
              <w:rPr>
                <w:sz w:val="11"/>
                <w:szCs w:val="11"/>
                <w:color w:val="auto"/>
              </w:rPr>
            </w:pPr>
          </w:p>
        </w:tc>
        <w:tc>
          <w:tcPr>
            <w:tcW w:w="130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00" w:type="dxa"/>
            <w:vAlign w:val="bottom"/>
          </w:tcPr>
          <w:p>
            <w:pPr>
              <w:spacing w:after="0"/>
              <w:rPr>
                <w:sz w:val="11"/>
                <w:szCs w:val="11"/>
                <w:color w:val="auto"/>
              </w:rPr>
            </w:pPr>
          </w:p>
        </w:tc>
        <w:tc>
          <w:tcPr>
            <w:tcW w:w="1240" w:type="dxa"/>
            <w:vAlign w:val="bottom"/>
            <w:gridSpan w:val="7"/>
          </w:tcPr>
          <w:p>
            <w:pPr>
              <w:jc w:val="right"/>
              <w:ind w:right="190"/>
              <w:spacing w:after="0" w:line="131"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w w:val="91"/>
              </w:rPr>
              <w:t>name</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7"/>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3,380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6"/>
              </w:rPr>
              <w:t>990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color w:val="auto"/>
                <w:w w:val="98"/>
              </w:rPr>
              <w:t>9,117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8"/>
                <w:szCs w:val="18"/>
                <w:color w:val="auto"/>
                <w:w w:val="98"/>
              </w:rPr>
              <w:t>(1,131)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6"/>
              </w:rPr>
              <w:t>957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rPr>
              <w:t>7,986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8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Goodwill consists of the following (in thousands):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gridSpan w:val="3"/>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102,117</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133,244</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4"/>
            <w:vMerge w:val="restart"/>
          </w:tcPr>
          <w:p>
            <w:pPr>
              <w:jc w:val="right"/>
              <w:ind w:right="639"/>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16"/>
                <w:szCs w:val="16"/>
                <w:color w:val="auto"/>
              </w:rPr>
            </w:pPr>
          </w:p>
        </w:tc>
        <w:tc>
          <w:tcPr>
            <w:tcW w:w="15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vendor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related promotions and discounts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10,547</w:t>
            </w:r>
          </w:p>
        </w:tc>
      </w:tr>
      <w:tr>
        <w:trPr>
          <w:trHeight w:val="21"/>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primarily relate to warranty liabilities and return accruals related to the Company’s hardware tracking devices.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Escrow Liability</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escrow liability relates to restricted cash associated with the Tile, Inc. acquisition placed in an indemnity escrow fund to be held for fifteen months after the acquisition date for general representations and warranties. The initial balance was included within total consideration transferred.</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June 30, 2022 the total escrow liability remaining was $13.1 million and is included within current liabilities. No escrow liability was recorded as of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16"/>
                <w:szCs w:val="16"/>
                <w:color w:val="auto"/>
              </w:rPr>
            </w:pP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 liabilities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Convertible Notes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July 2021, the Company issued convertible notes (“July 2021 Convertible Notes”) to investors with an underlying principal amount of $2.1 million. The July 2021 Convertible Notes accrue simple interest at an annual rate of 4% and mature on July 1, 2026. The July 2021 Convertible Notes may be settled under the following scenarios at the option of the holder: (i) at any time into common shares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settlement in cash at the outstanding accrued interest and principal amount.</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conversion and redemption features of the July 2021 Convertible Notes were determined to not be clearly and closely associated with the risk of the debt-type host instrument and were required to be separately accounted for as derivative financial instruments. The Company bifurcated these embedded conversion and redemption (“embedded derivatives”) features and classified these as liabilities measured at fair value. The fair value of the derivative liability of</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$0.7 million was recorded separate from the July 2021 Convertible Notes with an offsetting amount recorded as a debt discount. The debt discount is amortized over the estimated life of the debt using the straight-line method, as the value attributable to the July 2021 Convertible Notes was zero upon issuance.</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June 30, 2022 the unamortized amount and net carrying value of the July 2021 Convertible Notes is $1.7 million and $0.4 million, respectively. The amount by which July 2021 Convertible Notes if-converted value does not exceed its principal is $(1.1) million as of June 30,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the unamortized amount and net carrying value of the July 2021 Convertible Notes is $1.9 million and $0.2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by which July 2021 Convertible Notes if-converted value exceeds its principal is $1.6 million as of December 31, 2021.</w:t>
      </w:r>
    </w:p>
    <w:p>
      <w:pPr>
        <w:spacing w:after="0" w:line="20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connection with the July 2021 Convertible Notes, the Company issued warrants to purchase 88,213 shares of the Company’s common stock with an exercise price of $0.01 per share and a term of one year (Warrant Tranche 1), 44,106 shares of the Company’s common stock with an exercise price of $11.96 per share and a term of 5 years (Warrant Tranche 2), and 44,106 shares of the Company’s common stock which is exercisable starting twelve months from the issuance date with an exercise price of $11.96 per share and a term of 5 years (Warrant Tranche 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warrants was determined using the Black-Scholes option-pricing method, with the following assumptions: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8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300" w:type="dxa"/>
            <w:vAlign w:val="bottom"/>
          </w:tcPr>
          <w:p>
            <w:pPr>
              <w:spacing w:after="0"/>
              <w:rPr>
                <w:sz w:val="13"/>
                <w:szCs w:val="13"/>
                <w:color w:val="auto"/>
              </w:rPr>
            </w:pPr>
          </w:p>
        </w:tc>
        <w:tc>
          <w:tcPr>
            <w:tcW w:w="13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195"/>
        </w:trPr>
        <w:tc>
          <w:tcPr>
            <w:tcW w:w="6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Tranche 1</w:t>
            </w: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Tranche 2</w:t>
            </w:r>
          </w:p>
        </w:tc>
        <w:tc>
          <w:tcPr>
            <w:tcW w:w="300" w:type="dxa"/>
            <w:vAlign w:val="bottom"/>
          </w:tcPr>
          <w:p>
            <w:pPr>
              <w:spacing w:after="0"/>
              <w:rPr>
                <w:sz w:val="16"/>
                <w:szCs w:val="16"/>
                <w:color w:val="auto"/>
              </w:rPr>
            </w:pPr>
          </w:p>
        </w:tc>
        <w:tc>
          <w:tcPr>
            <w:tcW w:w="13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Tranche 3</w:t>
            </w:r>
          </w:p>
        </w:tc>
      </w:tr>
      <w:tr>
        <w:trPr>
          <w:trHeight w:val="228"/>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market value of common stock</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15.36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15.36</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0.89 %</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47.40 %</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warrants were recorded to additional paid-in capital during the year ended December 31, 2021. The relative fair value of the warrants issued in connection with the July 2021 Convertible Notes was $0.8 million and was recorded as a debt discount that is being amortized to interest expense under the straight-line method over the term of respective convertible notes.</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a result of the beneficial conversion feature associated with the July 2021 Convertible Notes, $0.6 million was added to additional paid-in capital during the year ended December 31, 2021. The beneficial conversion feature was recorded as a debt discount and is being amortized to interest expense under the straight-line method over the term of the respective notes.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recognized a total of $0.1 million and $0.2 million in non-cash interest expense related to the July 2021 Convertible Notes for the three and six months ended June 30, 2022, respectively.</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Company has also issued convertible notes, September 2021 Convertible Notes, in connection with an acquisition. Refer to Note 7 “Business Combinations” for further details.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current and noncurrent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200" w:type="dxa"/>
            <w:vAlign w:val="bottom"/>
          </w:tcPr>
          <w:p>
            <w:pPr>
              <w:spacing w:after="0"/>
              <w:rPr>
                <w:sz w:val="16"/>
                <w:szCs w:val="16"/>
                <w:color w:val="auto"/>
              </w:rPr>
            </w:pPr>
          </w:p>
        </w:tc>
        <w:tc>
          <w:tcPr>
            <w:tcW w:w="16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notes, current:</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2021 Convertible Notes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Revesting Notes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notes, noncurrent:</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2021 Convertible Notes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2021 Convertible Notes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Revesting Notes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convertible notes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12,506</w:t>
            </w:r>
          </w:p>
        </w:tc>
      </w:tr>
      <w:tr>
        <w:trPr>
          <w:trHeight w:val="21"/>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Derivative Liability</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derivative liability represents embedded share-settled redemption features bifurcated from its July 2021 Convertible Notes and is carried at fair value. The changes in the fair value of the derivative liability are recorded in other income (expense), net of the Company’s condensed consolidated statements of operations and comprehensive loss.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Estimating fair values of derivative financial instruments requires the development of significant and subjective estimates that may, and are likely to, change over the duration of the instrument with related changes in internal and external market factors. Since derivative financial instruments are initially and subsequently carried at fair value, the Company’s income will reflect the volatility in these estimate and assumption changes.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features embedded in the July 2021 Convertible Notes are combined into one compound embedded derivative. The fair value of the embedded derivative was estimated based on the present value of the redemption discount applied to the principal amount of the July 2021 Convertible Notes adjusted to reflect the weighted probability of exercise. The discount rate was based on the risk-free interest rate.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Upon the issuance of the convertible notes, the Company recorded a derivative liability of $0.7 million at fair value using inputs classified as Level 3 in the fair value hierarchy. Refer to Note 6 “Fair Value Measurements” for further details.</w:t>
      </w:r>
    </w:p>
    <w:p>
      <w:pPr>
        <w:spacing w:after="0" w:line="266"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has certain commitments from outstanding purchase orders primarily related to technology support, facilities, marketing and branding and professional services. These agreements, which total $24.6 million as of June 30, 2022 and $11.0 million as of December 31, 2021, are cancellable at any time with the Company required to pay all costs incurred through the cancellation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would have a material adverse effect on its financial position, results of operations or cash flows.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enters into standard indemnification agreements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after the execution of the agreement. The maximum potential amount of future payments the Company could be required to make under these agreements is not determinable because it involves claims that may be made against the Company in the future but have not yet been made. The Company has not incurred costs to defend lawsuits or settle claims related to these indemnification agreements.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 No amounts associated with such indemnifications have been recorded to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12, 2019, a former alleged competitor of Tile, Cellwitch, Inc, filed a patent infringement claim against the Company in the US District Court,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Northern District of California (“Court”). On May 2, 2019, the Company filed a motion to dismiss the case. The plaintiff amended its complaint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16, 2019, and the Company filed a renewed motion to dismiss the amended complaint on May 30, 2019. On November 21, 2019, the Court issued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denying Tile’s motion to dismiss the case but finding the underlying patent to be directed to an abstract idea. On December 18, 2019, Tile filed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 partes review petition with the Patent Trial and Appeal Board (“PTAB”) challenging the validity of the patent. Both parties appealed the PTAB’s Final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Decision on Tile’s inter partes review petition, which was affirmed on May 13, 2022. The case is currently in the trial court with discovery stayed,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Tile files a motion for reconsideration of its original motion to dismiss.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Separately, another alleged former competitor of Tile, Linquet Technologies, sued Tile for patent infringement. In July 2021, the Court granted Tile’s motion to dismiss in its entirety without leave to amend. Meanwhile, on November 17, 2021, the US Patent and Trademark Office granted Tile’s institution of inter partes review as to all claims of the Linquet patent which is currently pending.</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is unable to predict the outcome of the above matters or estimate the range of possible loss, if any. Although the proceedings are subject to uncertainties inherent in the litigation process and the ultimate disposition of these proceedings is not presently determinable, the Company intends to vigorously defend the matters.</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the Company was authorized to issue up to 100,000,000 shares of par value $0.001 per share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the Company had 108,592 shares of common stock subject to the Company’s right to repurchase.</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has also issued shares of common stock as a result of stock option exercises throughout its existence. Common stockholders are entitled to dividends when and if declared by the Board of Directors subject to the prior rights of the preferred stockholders. The holder of each share of common stock is entitled to one vote. The common stockholders voting as a class are entitled to elect three members to the Company’s Board of Directors. No dividends have been declared in the Company’s existence.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reserved shares of common stock, on an as if converted basis, for issuance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19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5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0"/>
        </w:trPr>
        <w:tc>
          <w:tcPr>
            <w:tcW w:w="75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under stock incentive plan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8,315,495</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6,972,376</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upon exercise of common stock warrants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138,076</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272,001</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upon vesting of restricted stock units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6,519,538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2,523,122</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of convertible notes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686,926</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686,926</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shares available to be granted but not granted yet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1,105,201</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4,071,403</w:t>
            </w:r>
          </w:p>
        </w:tc>
      </w:tr>
      <w:tr>
        <w:trPr>
          <w:trHeight w:val="223"/>
        </w:trPr>
        <w:tc>
          <w:tcPr>
            <w:tcW w:w="75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16,765,236</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14,525,828</w:t>
            </w:r>
          </w:p>
        </w:tc>
      </w:tr>
      <w:tr>
        <w:trPr>
          <w:trHeight w:val="20"/>
        </w:trPr>
        <w:tc>
          <w:tcPr>
            <w:tcW w:w="75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Warrants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the Company had outstanding warrants to purchase 138,076 and 272,001 shares of Company common stock, respectively with exercise prices ranging from $0.01 to $11.96 and expiry dates ranging from 2022 to 2028. Refer to Note 9 “Convertible Notes” for further details.</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Equity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2011 Stock Plan was originally adopted by our Board of Directors on July 27, 2011 and our stockholders on October 11, 2011, and most recently amended by our Board on September 7, 2018 and our stockholders (as restated, the “Plan”). The Plan allows us to grant restricted stock units, restricted stock and stock options to employees and consultants of the Company and any of the Company’s parent, subsidiaries, or affiliates, and to the members of our Board of Directors. Options granted under the Plan may be either incentive stock options or nonqualified stock options. Incentive stock options, or ISOs, may be granted only to employees of the Company or any of the Company’s parent or subsidiaries (including officers and directors who are also employees). Nonqualified stock options, or NSOs, may be granted to any person eligible for grants under our Plan.</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Plan, the Board of Directors determines the per share exercise price of each stock option, which for ISOs shall not be less than 100% of the fair market value of a share on the date of grant; provided that the exercise price of an ISO granted to a stockholder who at the time of grant owns stock representing more than 10% of the voting power of all classes of stock (a “10% stockholder”) shall not be less than 110% of the fair market value of a share on the date of grant.</w:t>
      </w:r>
    </w:p>
    <w:p>
      <w:pPr>
        <w:spacing w:after="0" w:line="18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Board of Directors determines the period over which options vest and become exercisable. Options granted to new employees generally vest over a 4-year period: 25% of the shares vest on the first anniversary from the vesting commencement date of the option and an additional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shares vest on each monthly anniversary thereafter, subject to the employee’s continuous service through each vesting date. Options granted to continuing employees generally vest monthly over a 4-year period.</w:t>
      </w:r>
    </w:p>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Board of Directors also determines the term of options, provided the maximum term for ISOs granted to a 10% stockholder must be no longer than 5 years from date of grant and the maximum term for all other options must be no longer than 10 years from date of grant. If an option holder’s service terminates, options generally terminate 3 months from the date of termination except under certain circumstances such as death or disability.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of stock option activity for the periods presented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128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2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8"/>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6,972,376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108,426</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1,908,934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8,315,495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June 30, 2022</w:t>
            </w: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0" w:type="dxa"/>
            <w:vAlign w:val="bottom"/>
          </w:tcPr>
          <w:p>
            <w:pPr>
              <w:spacing w:after="0" w:line="20" w:lineRule="exact"/>
              <w:rPr>
                <w:sz w:val="1"/>
                <w:szCs w:val="1"/>
                <w:color w:val="auto"/>
              </w:rPr>
            </w:pPr>
          </w:p>
        </w:tc>
      </w:tr>
      <w:tr>
        <w:trPr>
          <w:trHeight w:val="203"/>
        </w:trPr>
        <w:tc>
          <w:tcPr>
            <w:tcW w:w="4680" w:type="dxa"/>
            <w:vAlign w:val="bottom"/>
            <w:vMerge w:val="continue"/>
          </w:tcPr>
          <w:p>
            <w:pPr>
              <w:spacing w:after="0"/>
              <w:rPr>
                <w:sz w:val="17"/>
                <w:szCs w:val="17"/>
                <w:color w:val="auto"/>
              </w:rPr>
            </w:pPr>
          </w:p>
        </w:tc>
        <w:tc>
          <w:tcPr>
            <w:tcW w:w="1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5,023,833</w:t>
            </w:r>
          </w:p>
        </w:tc>
        <w:tc>
          <w:tcPr>
            <w:tcW w:w="30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27,294,447 shares authorized for issuance and 1,125,625 shares available for issuance under the Plan. Stock options granted during the six months ended June 30, 2022 had a weighted average grant date fair value of $8.33 per share.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intrinsic values of outstanding, vested, and exercisable options were determined by multiplying the number of shares by the difference in exercise price of the options and the fair value of the common stock as of June 30, 2022 of $5.88 per share, respectively. The intrinsic value of the options exercised represents the difference between the exercise price and the fair market value on the date of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of Restricted Stock Units (RSU) activity for the periods presented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7960" w:type="dxa"/>
            <w:vAlign w:val="bottom"/>
          </w:tcPr>
          <w:p>
            <w:pPr>
              <w:spacing w:after="0"/>
              <w:rPr>
                <w:sz w:val="11"/>
                <w:szCs w:val="11"/>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1"/>
                <w:szCs w:val="11"/>
                <w:color w:val="auto"/>
              </w:rPr>
            </w:pPr>
          </w:p>
        </w:tc>
        <w:tc>
          <w:tcPr>
            <w:tcW w:w="1360" w:type="dxa"/>
            <w:vAlign w:val="bottom"/>
          </w:tcPr>
          <w:p>
            <w:pPr>
              <w:jc w:val="center"/>
              <w:ind w:right="157"/>
              <w:spacing w:after="0" w:line="137"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90"/>
        </w:trPr>
        <w:tc>
          <w:tcPr>
            <w:tcW w:w="796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 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5,808,843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vested and settled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 cancelled/forfeited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(1,326,458)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6,519,538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number of RSUs vested and settled includes shares of common stock that the Company withheld on behalf of employees to satisfy the minimum statutory tax withholding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Granted to Employees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employee stock options granted is estimated using the Black-Scholes option-pricing model, based on the following assumptions: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160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7940" w:type="dxa"/>
            <w:vAlign w:val="bottom"/>
          </w:tcPr>
          <w:p>
            <w:pPr>
              <w:spacing w:after="0"/>
              <w:rPr>
                <w:sz w:val="16"/>
                <w:szCs w:val="16"/>
                <w:color w:val="auto"/>
              </w:rPr>
            </w:pPr>
          </w:p>
        </w:tc>
        <w:tc>
          <w:tcPr>
            <w:tcW w:w="160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95"/>
        </w:trPr>
        <w:tc>
          <w:tcPr>
            <w:tcW w:w="794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terms (in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0.68 %</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As the Company’s stock is traded on the public market, the fair value on the date of the grant is used.</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for employees is based on the simplified method, as the Company’s stock options have the following characteristics:</w:t>
      </w:r>
    </w:p>
    <w:p>
      <w:pPr>
        <w:spacing w:after="0" w:line="29" w:lineRule="exact"/>
        <w:rPr>
          <w:sz w:val="20"/>
          <w:szCs w:val="20"/>
          <w:color w:val="auto"/>
        </w:rPr>
      </w:pPr>
    </w:p>
    <w:p>
      <w:pPr>
        <w:ind w:right="80" w:firstLine="8"/>
        <w:spacing w:after="0" w:line="255"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at-the-money; (ii) exercisability is conditional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The expected term for non-employees is based on the remaining contractual term.</w:t>
      </w:r>
    </w:p>
    <w:p>
      <w:pPr>
        <w:spacing w:after="0" w:line="184"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As the Company has limited historical trading data regarding the volatility of its common stock, the expected volatility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of a Company of similar entities and the Company’s trading data since IPO. In evaluating similarity, the Company considered factors such as industry, stage of life cycle and size. The Company will continue to analyze the historical stock price volatility and expected term assumptions as more historical data for the Company’s common stock becomes available.</w:t>
      </w:r>
    </w:p>
    <w:p>
      <w:pPr>
        <w:spacing w:after="0" w:line="180"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U.S. Treasury constant maturity rates with remaining terms similar to the expected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options.</w:t>
      </w:r>
    </w:p>
    <w:p>
      <w:pPr>
        <w:spacing w:after="0" w:line="158"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Rate</w:t>
      </w:r>
      <w:r>
        <w:rPr>
          <w:rFonts w:ascii="Times New Roman" w:cs="Times New Roman" w:eastAsia="Times New Roman" w:hAnsi="Times New Roman"/>
          <w:sz w:val="18"/>
          <w:szCs w:val="18"/>
          <w:color w:val="auto"/>
        </w:rPr>
        <w:t>: The Company has never paid any dividends and does not plan to pay dividends in the foreseeable future, and, therefore,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dividend rate of zero is used in the valuation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The Company accounts for forfeitures as they occur.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 Issued in Connection with 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Jio, Inc.</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Jiobit transaction in September 2021, the Company issued 91,217 shares of restricted common stock with an aggregate fair value of $1.9 million to be recognized as post combination stock-based compensation ratably with continuous employment of certain employees over a 3 year period.</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June 30, 2022, there was $0.2 million of unrecognized compensation expense related to the restricted common stock which is expected to be recognized over the remaining weighted average life of 2.2 years. As of December 31, 2021, there was $1.7 million of unrecognized compensation expense related to this restricted common stock which is expected to be recognized over the remaining weighted average life of 2.7 years.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the Company granted 43,083 service-based stock options under the Plan to certain Jiobit employees with an aggregate fair value of $0.5 million which vests ratably over the requisite service period. As of June 30, 2022, there was $0.3 million of unrecognized compensation expense related to unvested assumed stock options, which is expected to be recognized over the remaining weighted average life of 2.3 years. As of December 31, 2021, there was $0.5 million of unrecognized compensation expense related to unvested assumed stock options, which is expected to be recognized over the remaining weighted average life of 2.0 years.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Tile, Inc.</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Tile transaction in January 2022, the Company issued 1,499,349 shares of retention restricted stock units with an aggregate fair value of $29.6 million. Of the 1,499,349 shares of retention restricted stock units, 787,446 shares valued at $15.6 million contained performance vesting criteria based on the achievement of certain company milestones during the second quarter of 2022, and vest over a two year period. As of March 31, 2022, the vesting criteria had not been met and all 787,446 restricted stock units were forfeited. The remaining 711,903 retention restricted stock units vest over a two to four year period. As of June 30, 2022, there was $9.4 million of unrecognized compensation expense related to the retention restricted stock units which is expected to be recognized over the remaining weighted average life of 2.0 years.</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also issued 38,730 vested common stock options to Tile employees as stock-based compensation on the acquisition date. The aggregate fair value of $0.4 million was recognized as compensation expense on the date of acquisition.</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694,672 shares of common stock with an aggregate fair value of $13.7 million were issued to Tile shareholders as part of purchase consideration.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$13.7 million was expensed on the date of acquisition.</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total of 1,561 shares of common stock with an aggregate fair value of $0.03 million were issued to a key employee the vesting of which is subject to continued employment over a 30-month period. As of June 30, 2022, there was $0.09 million of unrecognized compensation expense related to unvested restricted stock units which is expected to be recognized over the remaining 2.1 years.</w:t>
      </w:r>
    </w:p>
    <w:p>
      <w:pPr>
        <w:spacing w:after="0" w:line="17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 total of 84,360 shares of common stock were issued as part of consideration transferred and were placed in an indemnity escrow fund to be held for fifteen months after the acquisition date for general representations and warranties. The aggregate fair value of $1.7 million was recognized as compensation expense on the date of the acquisition.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3"/>
        </w:trPr>
        <w:tc>
          <w:tcPr>
            <w:tcW w:w="50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costs</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 costs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costs</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88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of June 30, 2022, there was total unrecognized compensation cost for outstanding stock options of $12.2 million to be recognized over a period of approximately 3.2 years. As of December 31, 2021, there was total unrecognized compensation cost for outstanding stock options of $7.0 million to be recognized over a period of approximately 2.6 years.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June 30, 2022, there was unrecognized compensation cost for outstanding restricted stock units of $56.8 million to be recognized over a period of approximately 2.8 years. As of December 31, 2021, there was unrecognized compensation cost for outstanding restricted stock units of $26.6 million to be recognized over a period of approximately 3.2 years.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were no capitalized stock-based compensation costs or recognized stock-based compensation tax benefits during the year ended December 31, 2021 or the three and six months ended June 30, 2022.</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interim periods is determined using an estimated annual effective tax rate in accordance with ASC 740-270, Income Taxes, Interim Reporting. The effective tax rate may be subject to fluctuations during the year as new information is obtained, which may affect the assumptions used to estimate the annual effective tax rate, including factors such as valuation allowances against deferred tax assets, the recognition or de-recognition of tax benefits related to uncertain tax positions, if any, and changes in or the interpretation of tax laws in jurisdictions where the Company conducts business.</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recorded a provision (benefit) for incomes taxes of $(47.0) thousand and $11.0 thousand for the three and six months ended June 30, 2022, respectively. No provision (benefit) for income taxes was recorded for the three and six months ended June 30, 2021. In accordance with ASC 805, a change in the acquirer’s valuation allowance that stems from a business combination should be recognized as an element of the acquirer’s income tax expense or benefit in the period of</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acquisition. Accordingly, in the three and six months ended June 30, 2022, the Company recorded a provisional $0 thousand and $96.0 thousand partial release of its valuation allowance and a corresponding income tax benefit stemming from the Tile acquisition, respectively. The benefit was offset by a $107.0 thousand income tax expense for state and foreign income taxes.</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did not record any provision or benefit for income taxes for the three and six months ended June 30, 2021, as the Company had a full valuation allowance for the period presented. In addition, the net deferred tax assets generated from net operating losses are fully offset by a valuation allowance as the Company believes it is not more likely than not that the benefit will be realized.</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entered into secondary financing transactions and other transactions with certain executive officers and Board members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transactions is detailed below:</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Due From Affiliates (Contra Equity)</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February 2016, the Company issued an aggregate of $0.6 million in secured partial recourse promissory notes (“partially secured loan”) to the Chief Executive Officer, Non-Executive Director (Previously President), Chief Operating Officer and an officer of the Company.</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accounted for the 2016 partially secured loan as consideration received for the exercise of the related equity award, because even after the original options are exercised or the shares are purchased, an employee could decide not to repay the loan if the value of the shares declines below the outstanding loan amount and could instead choose to return the shares in satisfaction of the loan. The result would be similar to an employee electing not to exercise an option whose exercise price exceeds the current share price. When shares are exchanged for a partially secured loan, the principal and interest are viewed as part of the exercise price of the “option” and no interest income is recognized. Additionally, compensation cost is recognized over any requisite service period, with an offsetting credit to additional paid-in capital. Periodic principal and interest payments, if any, are treated as deposit liabilities until the note is paid off, at which time, the note balance is settled and the deposit liability balance is transferred to additional paid-in capital. During the three months ended June 30, 2022, the Company received proceeds from the repayment of the partially secured loans of $0.6 million. As of June 30, 2022 and December 31, 2021, the Company had deposit liability balances of $0.3 million and $0.7 million, respectively, in connection with the 2016 partially secured loan and other early exercises of equity awards. Principal amounts due under the 2016 partially secured loan are included in Notes Due From Affiliates as a reduction in stockholders’ equity on the condensed consolidated balance sheets.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24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Non-executive director, James Synge, is a Principal and Partner of Carthona Capital. During the year ended December 31, 2021, the Company entered into a consultancy agreement with non-executive director, James Synge. Under this agreement, Mr. Synge agreed to provide consultancy services to the Company in relation to capital raising matters. During the three months ended March 31, 2022, Mr. Synge received consideration of $100,000.</w:t>
      </w:r>
    </w:p>
    <w:p>
      <w:pPr>
        <w:spacing w:after="0" w:line="1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Annika Hulls is the spouse of the CEO and Executive Director, Chris Hulls. During the three months ended March 31, 2022, a cash payment of $6,500 was paid to Annika Hulls for services relating to a marketing campaign.</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Defined Contribution Plan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sponsors a defined contribution plan under Section 401(k) of the Internal Revenue Code covering substantially all employees over the age of 21 years. Contributions made by the Company are voluntary and are determined annually by the Board of Directors on an individual basis subject to the maximum allowable amount under federal tax regulations. The Company has made no contributions to the plan since its inception.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June 30, 2022 and for the three and six months ended June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r>
      <w:tr>
        <w:trPr>
          <w:trHeight w:val="176"/>
        </w:trPr>
        <w:tc>
          <w:tcPr>
            <w:tcW w:w="5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50,299</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for the periods presented because including them would have been antidilutive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8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7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under stock incentive plan</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8,315,495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6,972,376</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upon exercise of common stock warrants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138,076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272,001</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upon vesting of restricted stock units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6,519,538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2,523,122</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of convertible notes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686,926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686,926</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shares available to be granted but not granted yet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1,105,201</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4,071,403</w:t>
            </w:r>
          </w:p>
        </w:tc>
      </w:tr>
      <w:tr>
        <w:trPr>
          <w:trHeight w:val="223"/>
        </w:trPr>
        <w:tc>
          <w:tcPr>
            <w:tcW w:w="774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16,765,236</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14,525,828</w:t>
            </w:r>
          </w:p>
        </w:tc>
      </w:tr>
      <w:tr>
        <w:trPr>
          <w:trHeight w:val="20"/>
        </w:trPr>
        <w:tc>
          <w:tcPr>
            <w:tcW w:w="7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Resolution</w:t>
      </w:r>
    </w:p>
    <w:p>
      <w:pPr>
        <w:spacing w:after="0" w:line="2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monitors unauthorized resellers of hardware products and occasionally files litigation against those who fail to respond substantively to cease and desist letters. In July 2022, the Company fully resolved an unauthorized reseller matter and recorded a gain of $0.8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(MD&amp;A) is provided in addition to the accompanying condensed consolidated financial statements and accompanying notes to assist readers in understanding our results of operations, financial condition and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Life360 is a leading technology platform, according to market share of the family safety and location sharing app market based on revenue, to locate the people, pets and things that matter most to families. Refer to “Market and Industry Data” within our registration statement on Form 10 filed with the Securities and Exchange Commission (the “SEC”) on April 26, 2022, as amended by Amendment No. 1 filed on June 13, 2022 and Amendment No. 2 filed on July 5, 2022, and effective as of June 27, 2022 (“Form 10”) for more information on how we calculate market share. Life360 is creating a new category at the intersection of family, technology, and safety to help keep families connected and safe. We provide safety services delivered through a mobile-native, subscription-based offering built around location-sharing, mobility, driving, and coordination. In 2021, we estimated 1 in 10 families in the United States used the Life360 Platform and, on average, our U.S. active users and members who have enabled push notifications used the service over 15 times a day to coordinate and communicate. We also provide coverage for the “what ifs” that families worry about most, ranging from driving safety, personal SOS, identity theft protection and more. Nothing is more important than family, and we help provide peace of mind in life’s unpredictable moments for families around the world.</w:t>
      </w:r>
    </w:p>
    <w:p>
      <w:pPr>
        <w:spacing w:after="0" w:line="194"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Our platform recently entered a new era of location tracking services with the successful acquisitions of Jiobit and Tile. By offering devices and integrated software to members, we have expanded our addressable market to provide members of all ages with a vertically integrated, cross-platform solution of scale. Our core competencies in engineering, data analytics, product design, personalization and assessment are applicable not only to location sharing but also other adjacent verticals and use cases. Life360 has a unique opportunity to further entrench its service by expanding offerings across our core and complementary verticals, such as location sharing, item tracking, crash and roadside assistance, identity theft protection, pet and children location sharing devices, and many more.</w:t>
      </w: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three months ended June 30, 2022 and 2021, Life360 generated:</w:t>
      </w:r>
    </w:p>
    <w:p>
      <w:pPr>
        <w:spacing w:after="0" w:line="117" w:lineRule="exact"/>
        <w:rPr>
          <w:sz w:val="20"/>
          <w:szCs w:val="20"/>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of $48.8 million and $25.0 million, respectively, representing year-over-year growth of 95%;</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revenues of $36.0 million and $19.2 million, respectively, representing year-over-year growth of 87%;</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revenues of $6.8 million and $0 million, respectively, representing year-over-year growth of 100%;</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revenues of $6.0 million and $5.8 million, respectively, representing year-over-year growth of 4%;</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$29.3 million and $20.2 million, respectively, representing year-over-year growth of 45%;</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$33.0 million and $6.8 million, respectively; and</w:t>
      </w:r>
    </w:p>
    <w:p>
      <w:pPr>
        <w:spacing w:after="0" w:line="117"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of $18.7 million and $3.3 million, respectively. For a reconciliation of Adjusted EBITDA to net loss, the most directly comparable GAAP measure, see “Non-GAAP Financial Measures.”</w:t>
      </w:r>
    </w:p>
    <w:p>
      <w:pPr>
        <w:spacing w:after="0" w:line="2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 the six months ended June 30, 2022 and 2021, Life360 generated:</w:t>
      </w:r>
    </w:p>
    <w:p>
      <w:pPr>
        <w:spacing w:after="0" w:line="117" w:lineRule="exact"/>
        <w:rPr>
          <w:sz w:val="20"/>
          <w:szCs w:val="20"/>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of $99.8 million and $48.0 million, respectively, representing year-over-year growth of 108%;</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revenues of $69.1 million and $36.4 million, respectively, representing year-over-year growth of 90%;</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revenues of $16.5 million and $0 million, respectively, representing year-over-year growth of 100%;</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revenues of $14.3 million and $11.6 million, respectively, representing year-over-year growth of 23%;</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$64.4 million and $38.8 million, respectively, representing year-over-year growth of 66%;</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$58.2 million and $10.7 million, respectively; and</w:t>
      </w:r>
    </w:p>
    <w:p>
      <w:pPr>
        <w:spacing w:after="0" w:line="117"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of $32.3 million and $4.8 million, respectively. For a reconciliation of Adjusted EBITDA to net loss, the most directly comparable GAAP measure, see “Non-GAAP Financial Measures.”</w:t>
      </w:r>
    </w:p>
    <w:p>
      <w:pPr>
        <w:sectPr>
          <w:pgSz w:w="11900" w:h="16838" w:orient="portrait"/>
          <w:cols w:equalWidth="0" w:num="1">
            <w:col w:w="11220"/>
          </w:cols>
          <w:pgMar w:left="320" w:top="225"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COVID-19 pandemic had an initial impact on our operations and financial performance, as we saw decreased engagement and member growth in the early phase of the pandemic. To adapt to the COVID-19 impact, the Company paused the majority of paid user acquisition spend and implemented other expense management initiatives. Once past the immediate early phase of COVID-19, we saw a resumption of rapid growth and we experienced two successive quarters of record Paying Circle additions in the second half of 2021. The extent of the impact of the COVID-19 pandemic on our operational and financial performance going forward will depend on future developments, including the duration and spread of the outbreak, new information about additional variants, the availability and efficacy of vaccine distributions, additional or renewed actions by government authorities and private businesses to contain the pandemic or respond to its impact and altered consumer behavior, the pace of reopening, impact on our customers and our sales cycles, impact on our business operations, impact on our customer, employee or industry events, and effect on our vendors and other business partners, all of which are uncertain and cannot be predicted. Any such developments may have adverse impacts on global economic conditions, including disruptions of the supply chain globally, labor shortages and consumer confidence and spending, and could materially adversely affect demand, or subscribers’ ability to pay, for our products and services. We considered the impact of COVID-19 on the assumptions and estimates used and determined there were no material adverse impacts on our condensed consolidated financial statements for the six months ended June 30, 2022. As events related to COVID-19 continue to evolve, our assumptions and estimates may change materially in future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Russian Invasion of Ukraine</w:t>
      </w:r>
    </w:p>
    <w:p>
      <w:pPr>
        <w:spacing w:after="0" w:line="121" w:lineRule="exact"/>
        <w:rPr>
          <w:sz w:val="20"/>
          <w:szCs w:val="20"/>
          <w:color w:val="auto"/>
        </w:rPr>
      </w:pPr>
    </w:p>
    <w:p>
      <w:pPr>
        <w:ind w:right="160" w:firstLine="405"/>
        <w:spacing w:after="0" w:line="254" w:lineRule="auto"/>
        <w:rPr>
          <w:sz w:val="20"/>
          <w:szCs w:val="20"/>
          <w:color w:val="auto"/>
        </w:rPr>
      </w:pPr>
      <w:r>
        <w:rPr>
          <w:rFonts w:ascii="Times New Roman" w:cs="Times New Roman" w:eastAsia="Times New Roman" w:hAnsi="Times New Roman"/>
          <w:sz w:val="18"/>
          <w:szCs w:val="18"/>
          <w:color w:val="auto"/>
        </w:rPr>
        <w:t>The credit and financial markets have experienced extreme volatility and disruptions due to the current conflict between Ukraine and Russia. The conflict is expected to have further global economic consequences, including but not limited to the possibility of severely diminished liquidity and credit availability, declines in consumer confidence, declines in economic growth, increases in inflation rates and uncertainty about economic and political stability. In addition, the United States and other countries have imposed sanctions on Russia which increases the risk that Russia, as a retaliatory action, may launch cyberattacks against the United States, its government, infrastructure and businesses. Consequences of the conflict, including the aforementioned and those we cannot yet predict, may cause our business, financial condition, results of operations and the price of our shares of common stock to be adversely affected. We considered the impact of the Russian invasion of Ukraine on the assumptions and estimates used and determined there were no material adverse impacts on our condensed consolidated financial statements for the six months ended June 30, 2022. As events related to the Russian invasion of Ukraine continue to evolve, our assumptions and estimates may change materially in future periods.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As we focus on growing our customers and revenue, and achieving profitability while investing for the future and managing risk, expenses and capital, the following factors and others identified in the section of this Quarterly Report on Form 10-Q titled “Risk Factors” have been important to our business and we expect them to impact our operations in future periods:</w:t>
      </w:r>
    </w:p>
    <w:p>
      <w:pPr>
        <w:spacing w:after="0" w:line="17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Ability to Retain Trusted Brand</w:t>
      </w:r>
      <w:r>
        <w:rPr>
          <w:rFonts w:ascii="Times New Roman" w:cs="Times New Roman" w:eastAsia="Times New Roman" w:hAnsi="Times New Roman"/>
          <w:sz w:val="18"/>
          <w:szCs w:val="18"/>
          <w:color w:val="auto"/>
        </w:rPr>
        <w:t>. We strongly believe in our vision to become the indispensable safety membership for families, with a suite of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that span every life stage of the family. Our business model and future success are dependent on the value and reputation of the Life360, Jiobit and Tile brands. Our brand is trusted by over 42 million members as of June 30, 2022, and because we know the value of trust is immeasurable, we will continue to work tirelessly to ensure that we provide useful, reliable, trustworthy and innovative products and services.</w:t>
      </w:r>
    </w:p>
    <w:p>
      <w:pPr>
        <w:spacing w:after="0" w:line="180"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Attract, Retain and Convert Members</w:t>
      </w:r>
      <w:r>
        <w:rPr>
          <w:rFonts w:ascii="Times New Roman" w:cs="Times New Roman" w:eastAsia="Times New Roman" w:hAnsi="Times New Roman"/>
          <w:sz w:val="18"/>
          <w:szCs w:val="18"/>
          <w:color w:val="auto"/>
        </w:rPr>
        <w:t>. Our business model is based on attracting new members to our platform, converting free members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subscribers, and retaining and expanding subscriptions over time. Our continued success depends in part on our ability to offer compelling new products and features to our members, and to continue providing a quality user experience to retain paying subscribers. We will also seek to increase brand awareness and customer adoption of our platform through various programs and digital and broad-scale advertising.</w:t>
      </w:r>
    </w:p>
    <w:p>
      <w:pPr>
        <w:spacing w:after="0" w:line="18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Maintaining Efficient Member Acquisition</w:t>
      </w:r>
      <w:r>
        <w:rPr>
          <w:rFonts w:ascii="Times New Roman" w:cs="Times New Roman" w:eastAsia="Times New Roman" w:hAnsi="Times New Roman"/>
          <w:sz w:val="18"/>
          <w:szCs w:val="18"/>
          <w:color w:val="auto"/>
        </w:rPr>
        <w:t>. Our investment in developing effective services and devices creates an efficient member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which drives strong unit economics. The organic member acquisition is complemented with our word-of-mouth and freemium model. We accelerate our organic member acquisition with strategic and targeted paid marketing spend. We expect to continue to invest in product and marketing, while balancing growth with strong unit economics. As we continue to expand internationally, we may increase our targeted marketing investments.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Growth in Average Revenue Per Paying Circle (“ARPPC”)</w:t>
      </w:r>
      <w:r>
        <w:rPr>
          <w:rFonts w:ascii="Times New Roman" w:cs="Times New Roman" w:eastAsia="Times New Roman" w:hAnsi="Times New Roman"/>
          <w:sz w:val="18"/>
          <w:szCs w:val="18"/>
          <w:color w:val="auto"/>
        </w:rPr>
        <w:t>. Our business model is dependent upon our ability to grow and maintain a large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including growing the number of Paying Circles. We have a sophisticated understanding of our members, and as a result, the services we provide are core to families and hard to switch out of. We continue to develop new monetization features leveraging our core technologies to offer additional services, expand into more stages of families and enter new verticals to increase adoption. Many factors will affect the ARPPC including the number of Paying Circles, mix of monetization offerings on our platform, as well as demographic shifts and geographic differences across these variables.</w:t>
      </w:r>
    </w:p>
    <w:p>
      <w:pPr>
        <w:spacing w:after="0" w:line="18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Expanding the Offerings on Our Platform</w:t>
      </w:r>
      <w:r>
        <w:rPr>
          <w:rFonts w:ascii="Times New Roman" w:cs="Times New Roman" w:eastAsia="Times New Roman" w:hAnsi="Times New Roman"/>
          <w:sz w:val="18"/>
          <w:szCs w:val="18"/>
          <w:color w:val="auto"/>
        </w:rPr>
        <w:t>. We are continually evaluating new product offerings that are aligned with our core competencies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needs of families across the life stage continuum. For example, our acquisition of Tile gives our members the ability to seamlessly leverage Bluetooth-enabled smart trackers, which can equip nearly any item—such as wallets, keys or remotes—with location-based finding technology. Likewise, our acquisition of Jiobit will allow our subscribers to track family members and pets wearing Jiobit devices via a single unified family map. We will continue to invest in and launch products where we see opportunities to grow our platform.</w:t>
      </w:r>
    </w:p>
    <w:p>
      <w:pPr>
        <w:spacing w:after="0" w:line="183"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Attracting and Retaining Talent</w:t>
      </w:r>
      <w:r>
        <w:rPr>
          <w:rFonts w:ascii="Times New Roman" w:cs="Times New Roman" w:eastAsia="Times New Roman" w:hAnsi="Times New Roman"/>
          <w:sz w:val="18"/>
          <w:szCs w:val="18"/>
          <w:color w:val="auto"/>
        </w:rPr>
        <w:t>. We compete for talent in the technology industry. Our business relies on the ability to attract and retain talent,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engineers, data scientists, designers and software developers. As of June 30, 2022, we had approximately 600 employees and contractors. Our core values are aimed at simplifying safety for families and we believe there are people who want to work at a values-driven company like Life360. We believe that our ability to recruit talent is aided by our reputation.</w:t>
      </w:r>
    </w:p>
    <w:p>
      <w:pPr>
        <w:spacing w:after="0" w:line="18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Seasonality</w:t>
      </w:r>
      <w:r>
        <w:rPr>
          <w:rFonts w:ascii="Times New Roman" w:cs="Times New Roman" w:eastAsia="Times New Roman" w:hAnsi="Times New Roman"/>
          <w:sz w:val="18"/>
          <w:szCs w:val="18"/>
          <w:color w:val="auto"/>
        </w:rPr>
        <w:t>. We experience seasonality in our user growth, engagement, Paying Circles growth and monetization on our platform. Life360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historically experienced member and subscription growth seasonality in the third quarter of each calendar year, which includes the return to school for many of our members. Hardware sales have historically experienced revenue seasonality in the fourth quarter of each calendar year, which includes the important selling periods in November (Black Friday and Cyber Monday) and December (Christmas and Hanukkah) in large part due to seasonal holiday demand. As the majority of revenue is generated within the United States, our seasonality primarily relates to U.S. events. Accordingly, an unexpected decrease in sales over those traditionally high-volume selling periods may impact our revenue, result in surplus inventory and could have a disproportionate effect on our operating results for the entire fiscal year. Seasonality in our business can also be affected by introductions of new or enhanced products and services, including the costs associated with such introductions.</w:t>
      </w:r>
    </w:p>
    <w:p>
      <w:pPr>
        <w:spacing w:after="0" w:line="185"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Continued Investment in Growth</w:t>
      </w:r>
      <w:r>
        <w:rPr>
          <w:rFonts w:ascii="Times New Roman" w:cs="Times New Roman" w:eastAsia="Times New Roman" w:hAnsi="Times New Roman"/>
          <w:sz w:val="18"/>
          <w:szCs w:val="18"/>
          <w:color w:val="auto"/>
        </w:rPr>
        <w:t>. We expect expenses to increase as we intend to continue to make focused investments to increase revenue and scale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to support the growth of our business. We plan to further invest in research and development as we hire employees in engineering, product, and design to enhance our platform and support the needs of our growing member base. We also plan to invest in sales and marketing activities to drive our subscriptions and increase our brand awareness. We expect to incur additional general and administrative expenses to support our growth and our transition to being a U.S. reporting company. Further, we continue to make investments in our technical infrastructure to support user and employee growth which will increase expenses and capital expenditures. As cost of revenue, operating expenses, and capital expenditures fluctuate over time, we may experience short-term, negative impacts to our results of operations and cash flows, but we are undertaking such investments in the belief that they will contribute to long-term growth.</w:t>
      </w:r>
    </w:p>
    <w:p>
      <w:pPr>
        <w:spacing w:after="0" w:line="185"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International Expansion</w:t>
      </w:r>
      <w:r>
        <w:rPr>
          <w:rFonts w:ascii="Times New Roman" w:cs="Times New Roman" w:eastAsia="Times New Roman" w:hAnsi="Times New Roman"/>
          <w:sz w:val="18"/>
          <w:szCs w:val="18"/>
          <w:color w:val="auto"/>
        </w:rPr>
        <w:t>. Our international active member base of 14.9 million increased 23% for the six months ended June 30,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2021. We believe our global opportunity is significant, and to address this opportunity, we intend to continue to invest in sales and marketing efforts and infrastructure and personnel to support our international expansion, including undertaking initiatives such as the first international launch of our subscription offering in Canada during the fourth quarter of 2021. Our growth will depend in part on the adoption and sales of our products and services in international markets.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review several operating metrics, including the following key performance indicators, to evaluate our business, measure our performance, identify trends affecting our business, formulate financial projections and make strategic decisions. We believe these key performance indicators are useful to investors because they allow for greater transparency with respect to key metrics used by management in its financial and operational decision-making, and they may be used by investors to help analyze the health of our business. Key operating metrics are presented in millions, except ARPPC,</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however percentage changes are calculated based on actual results. As a result, percentage changes may not recalculate based on figures presented due to rounding.</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Key Operating Metrics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060" w:type="dxa"/>
            <w:vAlign w:val="bottom"/>
          </w:tcPr>
          <w:p>
            <w:pPr>
              <w:spacing w:after="0"/>
              <w:rPr>
                <w:sz w:val="16"/>
                <w:szCs w:val="16"/>
                <w:color w:val="auto"/>
              </w:rPr>
            </w:pPr>
          </w:p>
        </w:tc>
      </w:tr>
      <w:tr>
        <w:trPr>
          <w:trHeight w:val="23"/>
        </w:trPr>
        <w:tc>
          <w:tcPr>
            <w:tcW w:w="75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5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6"/>
        </w:trPr>
        <w:tc>
          <w:tcPr>
            <w:tcW w:w="7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 except ARPPC)</w:t>
            </w:r>
          </w:p>
        </w:tc>
        <w:tc>
          <w:tcPr>
            <w:tcW w:w="1060" w:type="dxa"/>
            <w:vAlign w:val="bottom"/>
          </w:tcPr>
          <w:p>
            <w:pPr>
              <w:spacing w:after="0"/>
              <w:rPr>
                <w:sz w:val="17"/>
                <w:szCs w:val="17"/>
                <w:color w:val="auto"/>
              </w:rPr>
            </w:pPr>
          </w:p>
        </w:tc>
      </w:tr>
      <w:tr>
        <w:trPr>
          <w:trHeight w:val="23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AMR</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174.4</w:t>
            </w:r>
          </w:p>
        </w:tc>
        <w:tc>
          <w:tcPr>
            <w:tcW w:w="8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w:t>
            </w:r>
          </w:p>
        </w:tc>
        <w:tc>
          <w:tcPr>
            <w:tcW w:w="10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Paying Circles</w:t>
            </w:r>
          </w:p>
        </w:tc>
        <w:tc>
          <w:tcPr>
            <w:tcW w:w="10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ARPPC</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89.34</w:t>
            </w:r>
          </w:p>
        </w:tc>
        <w:tc>
          <w:tcPr>
            <w:tcW w:w="8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w:t>
            </w:r>
          </w:p>
        </w:tc>
      </w:tr>
    </w:tbl>
    <w:p>
      <w:pPr>
        <w:spacing w:after="0" w:line="3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Annualized Monthly Revenue</w:t>
      </w:r>
    </w:p>
    <w:p>
      <w:pPr>
        <w:spacing w:after="0" w:line="119" w:lineRule="exact"/>
        <w:rPr>
          <w:sz w:val="20"/>
          <w:szCs w:val="20"/>
          <w:color w:val="auto"/>
        </w:rPr>
      </w:pPr>
    </w:p>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We use Annualized Monthly Revenue (“AMR”) to identify the annualized monthly value of active customer agreements at the end of a reporting period. AMR includes the annualized monthly value of subscription, data and partnership agreements. All components of these agreements that are not expected to recur are excluded. AMR as of June 30, 2022 and 2021 was $174.4 million and $105.9 million, respectively.</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Members</w:t>
      </w:r>
    </w:p>
    <w:p>
      <w:pPr>
        <w:spacing w:after="0" w:line="119" w:lineRule="exact"/>
        <w:rPr>
          <w:sz w:val="20"/>
          <w:szCs w:val="20"/>
          <w:color w:val="auto"/>
        </w:rPr>
      </w:pPr>
    </w:p>
    <w:p>
      <w:pPr>
        <w:jc w:val="both"/>
        <w:ind w:right="160" w:firstLine="405"/>
        <w:spacing w:after="0" w:line="258" w:lineRule="auto"/>
        <w:rPr>
          <w:sz w:val="20"/>
          <w:szCs w:val="20"/>
          <w:color w:val="auto"/>
        </w:rPr>
      </w:pPr>
      <w:r>
        <w:rPr>
          <w:rFonts w:ascii="Times New Roman" w:cs="Times New Roman" w:eastAsia="Times New Roman" w:hAnsi="Times New Roman"/>
          <w:sz w:val="18"/>
          <w:szCs w:val="18"/>
          <w:color w:val="auto"/>
        </w:rPr>
        <w:t>We have a large and growing member base located in over 150 countries as of June 30, 2022, comprised primarily of safety-conscious families who have a high propensity to pay for premium offerings. A Life360 monthly active user (“MAU”) is defined as a unique user who engages with our Life360 branded services each month, which includes both paying and non-paying members. As of June 30, 2022 and 2021, we had over 42 million and over 32.4 million MAUs on the Life360 Platform, respectively, representing a year-over-year increase of 29% and a compounded annual growth rate (“CAGR”) of 21% from June 2019 to June 2022. This has been driven by continued strong organic member growth and the introduction of paid member acquisition.</w:t>
      </w: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Paying Circles</w:t>
      </w:r>
    </w:p>
    <w:p>
      <w:pPr>
        <w:spacing w:after="0" w:line="11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Each subscription covers all members in the payor’s Circle so that everyone in the Circle can utilize the benefits of a Life360 Premium Membership, including access to premium location, driving, digital and emergency safety insights and services.</w:t>
      </w:r>
    </w:p>
    <w:p>
      <w:pPr>
        <w:spacing w:after="0" w:line="16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June 30, 2022 and 2021, we had approximately 1.42 million and 1.01 million paid subscribers to services under our Life360 brand, respectively, representing an increase of 41% year-over-year and a CAGR of 26% from June 2019 to June 2022.</w:t>
      </w:r>
    </w:p>
    <w:p>
      <w:pPr>
        <w:spacing w:after="0" w:line="162" w:lineRule="exact"/>
        <w:rPr>
          <w:sz w:val="20"/>
          <w:szCs w:val="20"/>
          <w:color w:val="auto"/>
        </w:rPr>
      </w:pPr>
    </w:p>
    <w:p>
      <w:pPr>
        <w:ind w:right="40" w:firstLine="405"/>
        <w:spacing w:after="0" w:line="289" w:lineRule="auto"/>
        <w:rPr>
          <w:sz w:val="20"/>
          <w:szCs w:val="20"/>
          <w:color w:val="auto"/>
        </w:rPr>
      </w:pPr>
      <w:r>
        <w:rPr>
          <w:rFonts w:ascii="Times New Roman" w:cs="Times New Roman" w:eastAsia="Times New Roman" w:hAnsi="Times New Roman"/>
          <w:sz w:val="17"/>
          <w:szCs w:val="17"/>
          <w:color w:val="auto"/>
        </w:rPr>
        <w:t>We grow the number of Paying Circles by growing our free member base, converting a greater number of members to subscribers, and retaining them over time with the provision of high-quality family and safety services. We have experienced strong recent growth in the number of paying subscribers, benefiting from a full year of the new family membership offering which was launched during the third quarter of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5657850" cy="1714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Retention by Member Cohorts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Due to the essential service provided by the Life360 Platform, we retain over 50% of U.S. organic members after three months, on average.</w:t>
      </w:r>
    </w:p>
    <w:p>
      <w:pPr>
        <w:spacing w:after="0" w:line="22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Following an expected initial churn of members post-download, the remaining member cohorts illustrate high retention with the churn rate significantly decreasing and largely stabilizing after six months. Ultimately, the strong retention of our member cohorts presents a constant opportunity to monetize and generate revenue growth from existing and new members, with approximately 30% of U.S. organic members remaining on the platform after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657850" cy="20142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New Paying Circles are primarily sourced from the conversion of existing free members, which typically occurs when they are seeking greater utility or features from the Life360 Platform, beyond our free offering. This characteristic of Life360 member behavior highlights how members are “pulled” rather than “pushed” towards the Life360 Paying Circle. Net growth in Paying Circles is also affected by our ability to retain existing Paying Circles. We have maintained high retention over time while also increasing our conversion rates as a result of new features and functionality, a theme we believe will only strengthen over time as the Life360 Service expands its product suite for Paying Circles. Our paid conversion reflects subscribers converting to paid subscriptions within the first month following their initial registration with the Life360 Platform.</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5657850" cy="2057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Total Average Revenue per Paying Circle</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define ARPPC as our revenue for the period presented divided by the Average Paying Circles during the same period. Average Paying Circles are calculated based on adding the number of Paying Circles as of the beginning of the period to the number of Paying Circles as of the end of the period, and then dividing by two.</w:t>
      </w:r>
    </w:p>
    <w:p>
      <w:pPr>
        <w:spacing w:after="0" w:line="176"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As a result of an increase in Paying Circles combined with an increased mix of sales towards higher-priced subscription plans, we experienced an increase in our ARPPC for the six months ended June 30, 2022 compared to the six months ended June 30, 2021.</w:t>
      </w:r>
    </w:p>
    <w:p>
      <w:pPr>
        <w:spacing w:after="0" w:line="162" w:lineRule="exact"/>
        <w:rPr>
          <w:sz w:val="20"/>
          <w:szCs w:val="20"/>
          <w:color w:val="auto"/>
        </w:rPr>
      </w:pPr>
    </w:p>
    <w:p>
      <w:pPr>
        <w:ind w:firstLine="405"/>
        <w:spacing w:after="0" w:line="289" w:lineRule="auto"/>
        <w:rPr>
          <w:sz w:val="20"/>
          <w:szCs w:val="20"/>
          <w:color w:val="auto"/>
        </w:rPr>
      </w:pPr>
      <w:r>
        <w:rPr>
          <w:rFonts w:ascii="Times New Roman" w:cs="Times New Roman" w:eastAsia="Times New Roman" w:hAnsi="Times New Roman"/>
          <w:sz w:val="17"/>
          <w:szCs w:val="17"/>
          <w:color w:val="auto"/>
        </w:rPr>
        <w:t>ARPPC is a key indicator utilized by Life360 to determine the effective penetration of our tiered product offering for Paying Circles. The implementation of various tiers of paying account offerings (i.e., Silver, Gold and Platinum in 2020) is evident as Life360’s share of wallet has consistently expanded. We believe these dynamics illustrate the potential upside in our key strategic focus of expanding the offering to international Paying Circles.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657850" cy="22199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collect and analyze operating and financial data to evaluate the health of our business, allocate our resources and assess our performance.</w:t>
      </w:r>
    </w:p>
    <w:p>
      <w:pPr>
        <w:spacing w:after="0" w:line="2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11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In addition to total revenue, net loss and other results under GAAP, we utilize non-GAAP calculations of earnings before interest, taxes, depreciation and amortization (“EBITDA”) and adjusted earnings before interest, taxes, depreciation and amortization (“Adjusted EBITDA”). Adjusted EBITDA is defined as net loss, excluding (i) convertible notes and derivative liability fair value adjustments, (ii) provision (benefit) for income taxes, (iii) depreciation and amortization, (iv) other income (expense), (v) stock-based compensation, (vi) Form 10 transaction costs, (vii) acquisition and integration costs, and (viii) gain on revaluation of contingent consideration.</w:t>
      </w:r>
    </w:p>
    <w:p>
      <w:pPr>
        <w:spacing w:after="0" w:line="183"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The above items are excluded from Adjusted EBITDA because these items are non-cash in nature, or because the amount and timing of these items are unpredictable, are not driven by core results of operations and render comparisons with prior periods and competitors less meaningful. We believe EBITDA and Adjusted EBITDA provide useful information to investors and others in understanding and evaluating our results of operations, as well as providing a useful measure for period-to-period comparisons of our business performance. Moreover, we have included EBITDA and Adjusted EBITDA in this Quarterly Report on Form 10-Q because they are key measurements used by our management team internally to make operating decisions, including those related to operating expenses, evaluate performance, and perform strategic planning and annual budgeting. However, these non-GAAP financial measures are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these non-GAAP financial measures in addition to other financial performance measures presented in accordance with GAAP, including various cash flow metrics, net loss and our other GAAP results.</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the most directly comparable GAAP measure, to EBITDA and Adjusted EBITDA.</w:t>
      </w:r>
    </w:p>
    <w:p>
      <w:pPr>
        <w:sectPr>
          <w:pgSz w:w="11900" w:h="16838" w:orient="portrait"/>
          <w:cols w:equalWidth="0" w:num="1">
            <w:col w:w="11240"/>
          </w:cols>
          <w:pgMar w:left="320" w:top="225" w:right="339" w:bottom="1440" w:gutter="0" w:footer="0" w:header="0"/>
        </w:sectPr>
      </w:pPr>
    </w:p>
    <w:p>
      <w:pPr>
        <w:spacing w:after="0" w:line="25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33655</wp:posOffset>
            </wp:positionV>
            <wp:extent cx="20656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5" w:lineRule="exact"/>
        <w:rPr>
          <w:sz w:val="20"/>
          <w:szCs w:val="20"/>
          <w:color w:val="auto"/>
        </w:rPr>
      </w:pPr>
    </w:p>
    <w:p>
      <w:pPr>
        <w:ind w:left="5280"/>
        <w:spacing w:after="0"/>
        <w:tabs>
          <w:tab w:leader="none" w:pos="69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33655</wp:posOffset>
            </wp:positionV>
            <wp:extent cx="20656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5"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7920" w:space="720"/>
            <w:col w:w="260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(58,207)</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Derivative liability fair value adjustment </w:t>
            </w:r>
            <w:r>
              <w:rPr>
                <w:rFonts w:ascii="Times New Roman" w:cs="Times New Roman" w:eastAsia="Times New Roman" w:hAnsi="Times New Roman"/>
                <w:sz w:val="23"/>
                <w:szCs w:val="23"/>
                <w:color w:val="auto"/>
                <w:vertAlign w:val="superscript"/>
              </w:rPr>
              <w:t>(1)</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(2)</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10,429</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2,941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16,524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5,140</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 10 transaction costs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(18,743)</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(32,296)</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spacing w:after="0" w:line="18"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change in value of the derivative liability associated with the July 2021 Convertible Notes (defined below).</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on fixed assets and amortization of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Adjusted loss from ordinary activities after tax</w:t>
      </w:r>
    </w:p>
    <w:p>
      <w:pPr>
        <w:spacing w:after="0" w:line="119"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Adjusted loss from ordinary activities after tax is defined as net loss, excluding (i) stock-based compensation, (ii) Form 10 transaction costs, (iii) acquisition and integration costs, (iv) gain on revaluation of contingent consideration, and (v) amortization attributable to intangible assets in connection with acquisitions.</w:t>
      </w:r>
    </w:p>
    <w:p>
      <w:pPr>
        <w:spacing w:after="0" w:line="176"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The above items are excluded from net loss because these items are non-cash in nature, or because the amount and timing of these items are unpredictable, are not driven by core results of operations and render comparisons with prior periods and competitors less meaningful. This non-GAAP financial measure is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this non-GAAP financial measure in addition to other financial performance measures presented in accordance with GAAP, including various cash flow metrics, net loss and our other GAAP results.</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presents a reconciliation of net loss, the most directly comparable GAAP measure, to Adjusted loss from ordinary activities after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w:t>
      </w:r>
    </w:p>
    <w:p>
      <w:pPr>
        <w:sectPr>
          <w:pgSz w:w="11900" w:h="16838" w:orient="portrait"/>
          <w:cols w:equalWidth="0" w:num="1">
            <w:col w:w="11240"/>
          </w:cols>
          <w:pgMar w:left="320" w:top="225" w:right="339" w:bottom="1440" w:gutter="0" w:footer="0" w:header="0"/>
        </w:sectPr>
      </w:pPr>
    </w:p>
    <w:p>
      <w:pPr>
        <w:spacing w:after="0" w:line="26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33655</wp:posOffset>
            </wp:positionV>
            <wp:extent cx="20656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35" w:lineRule="exact"/>
        <w:rPr>
          <w:sz w:val="20"/>
          <w:szCs w:val="20"/>
          <w:color w:val="auto"/>
        </w:rPr>
      </w:pPr>
    </w:p>
    <w:p>
      <w:pPr>
        <w:ind w:left="5280"/>
        <w:spacing w:after="0"/>
        <w:tabs>
          <w:tab w:leader="none" w:pos="69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33655</wp:posOffset>
            </wp:positionV>
            <wp:extent cx="20656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35"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7920" w:space="720"/>
            <w:col w:w="260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top w:val="single" w:sz="8" w:color="auto"/>
            </w:tcBorders>
          </w:tcPr>
          <w:p>
            <w:pPr>
              <w:spacing w:after="0"/>
              <w:rPr>
                <w:sz w:val="18"/>
                <w:szCs w:val="18"/>
                <w:color w:val="auto"/>
              </w:rPr>
            </w:pPr>
          </w:p>
        </w:tc>
      </w:tr>
      <w:tr>
        <w:trPr>
          <w:trHeight w:val="23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(58,207)</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10 transaction costs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attributable to intangible assets in connection</w:t>
            </w: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acquisitions</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loss from ordinary activities after tax</w:t>
            </w:r>
          </w:p>
        </w:tc>
        <w:tc>
          <w:tcPr>
            <w:tcW w:w="5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(18,383)</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(30,176)</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w:t>
            </w:r>
          </w:p>
        </w:tc>
      </w:tr>
      <w:tr>
        <w:trPr>
          <w:trHeight w:val="20"/>
        </w:trPr>
        <w:tc>
          <w:tcPr>
            <w:tcW w:w="4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discussion describes certain line items in our Condensed Consolidated Statements of Operations and Comprehensive Loss (unaudited).</w:t>
      </w:r>
    </w:p>
    <w:p>
      <w:pPr>
        <w:spacing w:after="0" w:line="225" w:lineRule="exact"/>
        <w:rPr>
          <w:sz w:val="20"/>
          <w:szCs w:val="20"/>
          <w:color w:val="auto"/>
        </w:rPr>
      </w:pPr>
    </w:p>
    <w:p>
      <w:pPr>
        <w:jc w:val="both"/>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currently operates as one reportable and operating segment because its chief operating decision maker (“CODM”), which is its Chief Executive Officer, reviews its financial information on a consolidated basis for purposes of making decisions regarding allocating resources and assessing performance. The Company has no segment managers who are held accountable by the CODM for operations, operating results, and planning for levels of components below the consolidated unit level. In the future, the Company plans to integrate Life360, Tile and Jiobit into one platform.</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Subscription Revenue</w:t>
      </w:r>
    </w:p>
    <w:p>
      <w:pPr>
        <w:spacing w:after="0" w:line="119"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We generate revenue from sales of subscriptions on our platforms.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spacing w:after="0" w:line="2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Hardware Revenue</w:t>
      </w:r>
    </w:p>
    <w:p>
      <w:pPr>
        <w:spacing w:after="0" w:line="119"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We generate a majority of our hardware revenue from the sale of the Tile and Jiobit hardware tracking devices and related accessories. For hardware and accessories, revenue is recognized at the time products are delivered. We sell hardware tracking devices and accessories through a number of channels including our website, brick and mortar retail and online retail.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Other Revenue</w:t>
      </w:r>
    </w:p>
    <w:p>
      <w:pPr>
        <w:spacing w:after="0" w:line="11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also generate revenue through data monetization arrangements with certain third parties through data acquisition and license agreements for data collected from our member base for purposes of targeted advertising, research, analytics, attribution, and other commercial purposes. In January 2022, Life360 began to exit the traditional data sales business and transition to solely sales of aggregated data insights. In order to accomplish this, we executed a new partnership agreement with Placer, a prominent provider of aggregated analytics for the retail ecosystem. As part of this partnership, Placer will provide valuable data processing and analytics data to Life360 and will have the right to commercialize aggregated data related to place visits during the term of the agreement, while still providing members the option to opt out of even aggregated data sales. In keeping with our vision and consistent with that aggregated data sales model, we are exploring ways, in the future, to enable members to avail themselves of compelling offers and opportunities by enabling our partners to use their data with members’ explicit, affirmative opt-in consent. The Company is finalizing the termination of existing relationships with certain legacy data sales partners. The Placer agreement includes fixed monthly revenue amounts for unlimited access to aggregated data for the duration of the three-year agreement. Other revenue also includes partnership revenue.</w:t>
      </w:r>
    </w:p>
    <w:p>
      <w:pPr>
        <w:spacing w:after="0" w:line="3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Cost of Subscription</w:t>
      </w:r>
    </w:p>
    <w:p>
      <w:pPr>
        <w:spacing w:after="0" w:line="119"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Cost of subscription primarily consists of expenses related to hosting our services and providing support. These expenses include employee-related costs associated with our cloud-based infrastructure and our customer support organization, third-party hosting fees, software, and maintenance costs, outside services associated with the delivery of our subscription services, personnel-related expenses, travel-related costs,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spacing w:after="0" w:line="187"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2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Cost of Hardware Revenue</w:t>
      </w:r>
    </w:p>
    <w:p>
      <w:pPr>
        <w:spacing w:after="0" w:line="11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Cost of hardware revenue consists of product costs, including hardware production, contract manufacturers for production, shipping and handling, packaging, fulfillment, personnel-related expenses, manufacturing and equipment depreciation, warehousing, tariff costs, hosting, app fees, customer support costs, warranty replacement, and write-downs of excess and obsolete inventory. Personnel-related expenses include salaries, bonuses, benefits, and stock-based compensation for operations personnel.</w:t>
      </w:r>
    </w:p>
    <w:p>
      <w:pPr>
        <w:spacing w:after="0" w:line="2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Cost of Other Revenue</w:t>
      </w:r>
    </w:p>
    <w:p>
      <w:pPr>
        <w:spacing w:after="0" w:line="119"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Cost of other revenue includes cloud-based hosting costs, as well as costs of product operations functions and employee-related costs associated with our data platform. Personnel-related expenses include salaries, bonuses, benefits, and stock-based compensation for operations personnel.</w:t>
      </w:r>
    </w:p>
    <w:p>
      <w:pPr>
        <w:spacing w:after="0" w:line="2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Gross Profit and Gross Profit Margin</w:t>
      </w:r>
    </w:p>
    <w:p>
      <w:pPr>
        <w:spacing w:after="0" w:line="11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Our gross profit has been, and may in the future be, influenced by several factors, including geographical revenue mix, timing of capital expenditures and related depreciation expense, increases in infrastructure costs, component costs, contract manufacturing and supplier pricing, and foreign currency exchange rates. Gross profit and gross profit margin may fluctuate over time based on the factors described above.</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selling and marketing,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11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employee-related costs for our engineering, product, and design teams, material costs of building and developing prototypes for new products, mobile app development and allocated overhead. We believe that continued investment in our platform is important for our growth. We expect our research and development expenses will increase in absolute dollars as our business grows.</w:t>
      </w:r>
    </w:p>
    <w:p>
      <w:pPr>
        <w:spacing w:after="0" w:line="2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Sales and Marketing</w:t>
      </w:r>
    </w:p>
    <w:p>
      <w:pPr>
        <w:spacing w:after="0" w:line="11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consist primarily of employee-related costs, brand marketing costs, lead generation costs, sales incentives, trade shows and events, sponsorships and amortization of acquired intangibles. Revenue-share payments to third parties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to three years depending on the subscription type.</w:t>
      </w:r>
    </w:p>
    <w:p>
      <w:pPr>
        <w:spacing w:after="0" w:line="180"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spacing w:after="0" w:line="2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employee-related costs for our legal, finance, human resources, and other administrative teams, as well as certain executives. In addition, general and administrative expenses include allocated overhead, outside legal, accounting and other professional fees, change in fair value of contingent consideration for business combinations, and non-income-based taxes. We expect our general and administrative expenses will increase in absolute dollars as our business grows.</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Convertible Notes Fair Value Adjustment</w:t>
      </w:r>
    </w:p>
    <w:p>
      <w:pPr>
        <w:spacing w:after="0" w:line="119"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Company issued convertible notes to investors in July 2021, and as part of the purchase consideration related to the Jiobit Acquisition in September 2021 (the “September 2021 Convertible Notes” and together with the July 2021 Convertible Notes, the “Convertible Notes”). The September 2021 Convertible Notes are recorded at fair value and are revalued at each reporting period.</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Derivative Liability Fair Value Adjustment</w:t>
      </w:r>
    </w:p>
    <w:p>
      <w:pPr>
        <w:spacing w:after="0" w:line="11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Derivative liability fair value adjustment relates to the change in the fair value of the embedded conversion and redemption features associated with the July 2021 Convertible Notes.</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interest income earned on our cash and cash equivalents balances, foreign currency exchange (losses)/gains related to the remeasurement of certain assets and liabilities of our foreign subsidiaries that are denominated in currencies other than the functional currency of the subsidiary and foreign exchange transactions gains/(losses) and interest expense primarily related to the Convertible Notes.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p>
      <w:pPr>
        <w:spacing w:after="0" w:line="119"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Provision (benefit) for income taxes consists of U.S. federal and state income taxes in jurisdictions in which we conduct business. We maintain a full valuation allowance on our federal and state deferred tax assets as we have concluded that it is not more likely than not that the deferred tax assets will be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tables set forth our condensed consolidated statement of operations and comprehensive loss for the three and six months ended June 30, 2022 and 2021. We have derived this data from our condensed consolidated financial statements included elsewhere in this Quarterly Report on Form 10-Q. This information should be read in conjunction with</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condensed consolidated financial statements and related notes included elsewhere in this Quarterly Report on Form 10-Q. The results of historical periods are not necessarily indicative of the results of operations for any future period.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3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hardware revenue</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other revenue</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29"/>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223"/>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27,056</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124,981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49,411</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Convertible notes fair value</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75"/>
        </w:trPr>
        <w:tc>
          <w:tcPr>
            <w:tcW w:w="30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Derivative liability fair value</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(35,300)%</w:t>
            </w:r>
          </w:p>
        </w:tc>
        <w:tc>
          <w:tcPr>
            <w:tcW w:w="0" w:type="dxa"/>
            <w:vAlign w:val="bottom"/>
          </w:tcPr>
          <w:p>
            <w:pPr>
              <w:spacing w:after="0"/>
              <w:rPr>
                <w:sz w:val="1"/>
                <w:szCs w:val="1"/>
                <w:color w:val="auto"/>
              </w:rPr>
            </w:pPr>
          </w:p>
        </w:tc>
      </w:tr>
      <w:tr>
        <w:trPr>
          <w:trHeight w:val="223"/>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14,433 %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79,200 %</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foreign currency translation</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stock-based compensation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costs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 costs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2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costs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0" w:type="dxa"/>
            <w:vAlign w:val="bottom"/>
          </w:tcPr>
          <w:p>
            <w:pPr>
              <w:spacing w:after="0"/>
              <w:rPr>
                <w:sz w:val="1"/>
                <w:szCs w:val="1"/>
                <w:color w:val="auto"/>
              </w:rPr>
            </w:pPr>
          </w:p>
        </w:tc>
      </w:tr>
      <w:tr>
        <w:trPr>
          <w:trHeight w:val="230"/>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155"/>
        </w:trPr>
        <w:tc>
          <w:tcPr>
            <w:tcW w:w="29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stock-based compensation</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8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16,524</w:t>
            </w:r>
          </w:p>
        </w:tc>
        <w:tc>
          <w:tcPr>
            <w:tcW w:w="1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each of the periods presented as a percentage of revenue: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6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3"/>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60" w:type="dxa"/>
            <w:vAlign w:val="bottom"/>
            <w:gridSpan w:val="2"/>
          </w:tcPr>
          <w:p>
            <w:pPr>
              <w:spacing w:after="0"/>
              <w:rPr>
                <w:sz w:val="2"/>
                <w:szCs w:val="2"/>
                <w:color w:val="auto"/>
              </w:rPr>
            </w:pPr>
          </w:p>
        </w:tc>
        <w:tc>
          <w:tcPr>
            <w:tcW w:w="1620" w:type="dxa"/>
            <w:vAlign w:val="bottom"/>
            <w:gridSpan w:val="3"/>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90"/>
        </w:trPr>
        <w:tc>
          <w:tcPr>
            <w:tcW w:w="4780" w:type="dxa"/>
            <w:vAlign w:val="bottom"/>
          </w:tcPr>
          <w:p>
            <w:pPr>
              <w:spacing w:after="0"/>
              <w:rPr>
                <w:sz w:val="16"/>
                <w:szCs w:val="16"/>
                <w:color w:val="auto"/>
              </w:rPr>
            </w:pPr>
          </w:p>
        </w:tc>
        <w:tc>
          <w:tcPr>
            <w:tcW w:w="9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2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2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hardware 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other revenue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5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2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and six months ended June 30, 2022 and 2021.</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Revenue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2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Pr>
          <w:p>
            <w:pPr>
              <w:spacing w:after="0"/>
              <w:rPr>
                <w:sz w:val="16"/>
                <w:szCs w:val="16"/>
                <w:color w:val="auto"/>
              </w:rPr>
            </w:pPr>
          </w:p>
        </w:tc>
      </w:tr>
      <w:tr>
        <w:trPr>
          <w:trHeight w:val="23"/>
        </w:trPr>
        <w:tc>
          <w:tcPr>
            <w:tcW w:w="4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6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4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ind w:right="47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36,006</w:t>
            </w:r>
          </w:p>
        </w:tc>
        <w:tc>
          <w:tcPr>
            <w:tcW w:w="80" w:type="dxa"/>
            <w:vAlign w:val="bottom"/>
          </w:tcPr>
          <w:p>
            <w:pPr>
              <w:spacing w:after="0"/>
              <w:rPr>
                <w:sz w:val="19"/>
                <w:szCs w:val="19"/>
                <w:color w:val="auto"/>
              </w:rPr>
            </w:pP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48,844</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revenue increased $23.8 million, or 95%, during the three months ended June 30, 2022 as compared to the three months ended June 30, 2021.</w:t>
      </w:r>
    </w:p>
    <w:p>
      <w:pPr>
        <w:spacing w:after="0" w:line="22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Subscription revenue increased $16.8 million, or 87%, during the three months ended June 30, 2022 as compared to the three months ended June 30, 2021 primarily due to growth in Paying Circles and ARPPC as we continue to invest in a variety of customer programs and initiatives, which, along with expanded customer use cases, have helped increase our subscription revenue over time. In addition, the increase was also attributable to the inclusion of Tile and Jiobit subscription services of $5.6 million.</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Hardware revenue increased $6.8 million, or 100%, during the three months ended June 30, 2022 as compared to the three months ended June 30, 2021 due to the inclusion of hardware sales related to Tile and Jiobit hardware devices.</w:t>
      </w:r>
    </w:p>
    <w:p>
      <w:pPr>
        <w:spacing w:after="0" w:line="162"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Other revenue increased $0.3 million, or 4%, during the three months ended June 30, 2022 as compared to the three months ended June 30, 2021, due to increased volume as a result of continued demand for data products.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56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2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Pr>
          <w:p>
            <w:pPr>
              <w:spacing w:after="0"/>
              <w:rPr>
                <w:sz w:val="16"/>
                <w:szCs w:val="16"/>
                <w:color w:val="auto"/>
              </w:rPr>
            </w:pPr>
          </w:p>
        </w:tc>
      </w:tr>
      <w:tr>
        <w:trPr>
          <w:trHeight w:val="23"/>
        </w:trPr>
        <w:tc>
          <w:tcPr>
            <w:tcW w:w="4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6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4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ind w:right="47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69,068</w:t>
            </w:r>
          </w:p>
        </w:tc>
        <w:tc>
          <w:tcPr>
            <w:tcW w:w="80" w:type="dxa"/>
            <w:vAlign w:val="bottom"/>
          </w:tcPr>
          <w:p>
            <w:pPr>
              <w:spacing w:after="0"/>
              <w:rPr>
                <w:sz w:val="19"/>
                <w:szCs w:val="19"/>
                <w:color w:val="auto"/>
              </w:rPr>
            </w:pP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14,283</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99,814</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revenue increased $51.8 million, or 108%, during the six months ended June 30, 2022 as compared to the six months ended June 30, 2021.</w:t>
      </w:r>
    </w:p>
    <w:p>
      <w:pPr>
        <w:spacing w:after="0" w:line="22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Subscription revenue increased $32.7 million, or 90%, during the six months ended June 30, 2022 as compared to the six months ended June 30, 2021 primarily due to growth in Paying Circles and ARPPC as we continue to invest in a variety of customer programs and initiatives, which, along with expanded customer use cases, have helped increase our subscription revenue over time. In addition, the increase was also attributable to the inclusion of Tile and Jiobit subscription services of $10.8 million.</w:t>
      </w:r>
    </w:p>
    <w:p>
      <w:pPr>
        <w:spacing w:after="0" w:line="207"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Hardware revenue increased $16.5 million, or 100%, during the six months ended June 30, 2022 as compared to the six months ended June 30, 2021 due to the inclusion of hardware sales related to Tile and Jiobit hardware devices.</w:t>
      </w:r>
    </w:p>
    <w:p>
      <w:pPr>
        <w:spacing w:after="0" w:line="162"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Other revenue increased $2.7 million, or 23%, during the six months ended June 30, 2022 as compared to the six months ended June 30, 2021, due to increased volume as a result of continued demand for data products.</w:t>
      </w: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Cost of Revenue, Gross Profit, and Gross Margin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3"/>
        </w:trPr>
        <w:tc>
          <w:tcPr>
            <w:tcW w:w="4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4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4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costs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3,786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10,773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19,556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4,760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29,288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20,249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97"/>
        </w:trPr>
        <w:tc>
          <w:tcPr>
            <w:tcW w:w="48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Hardware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4"/>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Cost of subscription revenue increased by $4.1 million, or 109%, during the three months ended June 30, 2022 as compared to the three months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2021, primarily due to $2.5 million in technology expenses due to higher costs related to cloud infrastructure associated with the Tile and Jiobit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an increase of $0.8 million in subscription offerings due to an increase in direct costs related to new product offerings, and an increase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million in personnel and related costs and stock-based compensation due to increased headcount. The remaining increase of $0.3 million is attributable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other expenses associated with Company growth.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Subscription margin decreased to 78% during the three months ended June 30, 2022 from 80% during the three months ended June 30, 2021, primarily due to a decreased volume of higher margin offerings.</w:t>
      </w:r>
    </w:p>
    <w:p>
      <w:pPr>
        <w:spacing w:after="0" w:line="16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Cost of hardware revenue increased by $10.8 million, or 100%, during the three months ended June 30, 2022 as compared to the three months ended June 30, 2021, primarily due to the inclusion of hardware costs of approximately $7.1 million related to Tile and Jiobit hardware costs, an additional $1.5 million in technology expenses primarily related to cloud and data server infrastructure, and $1.5 million in additional personnel-related costs and stock-based compensation due to increased headcount. The remaining increase of $0.7 million is attributable to other cost of hardware revenue related expenses.</w:t>
      </w:r>
    </w:p>
    <w:p>
      <w:pPr>
        <w:spacing w:after="0" w:line="180"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Hardware margin decreased to (58)% during the three months ended June 30, 2022 as compared to the three months ended June 30, 2021 and was negatively impacted by the inclusion of the amortization expense recognized on acquired technology related to intangible assets as well as the inclusion of additional personnel-related costs and stock-based compensation due to increased headcount.</w:t>
      </w:r>
    </w:p>
    <w:p>
      <w:pPr>
        <w:spacing w:after="0" w:line="176"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Other cost of revenue decreased by $0.1 million, or 10%, during the three months ended June 30, 2022 as compared to the three months ended June 30, 2021, due to a decrease of $0.1 million in technology expenses due to lower costs related to cloud infrastructure.</w:t>
      </w:r>
    </w:p>
    <w:p>
      <w:pPr>
        <w:spacing w:after="0" w:line="16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Other margin increased to 85% during the three months ended June 30, 2022 from 83% during the three months ended June 30, 2021, primarily due to infrastructure optimization.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Pr>
          <w:p>
            <w:pPr>
              <w:spacing w:after="0"/>
              <w:rPr>
                <w:sz w:val="16"/>
                <w:szCs w:val="16"/>
                <w:color w:val="auto"/>
              </w:rPr>
            </w:pP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3"/>
        </w:trPr>
        <w:tc>
          <w:tcPr>
            <w:tcW w:w="4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4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4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costs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14,974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7,520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18,579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1,729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3"/>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35,408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9,249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64,406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38,752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97"/>
        </w:trPr>
        <w:tc>
          <w:tcPr>
            <w:tcW w:w="48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Hardware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4"/>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Cost of subscription revenue increased by $7.5 million, or 99%, during the six months ended June 30, 2022 as compared to the six months ended June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2021, primarily due to $4.6 million in technology expenses due to higher costs related to cloud infrastructure associated with the Tile and Jiobit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an increase of $1.4 million in subscription offerings due to an increase in direct costs related to new product offerings, and an increase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$0.9 million in personnel and related costs and stock-based compensation due to increased headcount. The remaining increase of $0.6 million is attributable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other expenses associated with Company growth.</w:t>
      </w:r>
    </w:p>
    <w:p>
      <w:pPr>
        <w:spacing w:after="0" w:line="207"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Subscription margin remained flat at 78% during the six months ended June 30, 2022 as compared to the six months ended June 30, 2021, primarily due to a consistent volume of higher margin offerings.</w:t>
      </w:r>
    </w:p>
    <w:p>
      <w:pPr>
        <w:spacing w:after="0" w:line="16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Cost of hardware revenue increased by $18.6 million, or 100%, during the six months ended June 30, 2022 as compared to the six months ended June 30, 2021, primarily due to the inclusion of hardware costs of approximately $12.7 million related to Tile and Jiobit hardware costs, an additional $2.4 million in technology expenses primarily related to cloud and data server infrastructure, an additional $0.8 million in professional and other expenses, and an additional $2.3 million in personnel-related costs and stock-based compensation due to increased headcount. The remaining increase of $0.4 million is attributable to other cost of hardware revenue related expenses.</w:t>
      </w:r>
    </w:p>
    <w:p>
      <w:pPr>
        <w:spacing w:after="0" w:line="183"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Hardware margin decreased to (13)% during the six months ended June 30, 2022 as compared to the six months ended June 30, 2021 and was negatively impacted by the inclusion of the amortization expense recognized on acquired technology related to intangible assets as well as the inclusion of additional personnel-related costs and stock-based compensation due to increased headcount.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Other cost of revenue increased by $0.1 million, or 7%, during the six months ended June 30, 2022 as compared to the six months ended June 30, 2021, primarily due to an increase of $0.1 million in technology expenses due to higher costs related to cloud infrastructure.</w:t>
      </w:r>
    </w:p>
    <w:p>
      <w:pPr>
        <w:spacing w:after="0" w:line="162"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Other margin increased to 87% during the six months ended June 30, 2022 from 85% during the six months ended June 30, 2021, primarily due to infrastructure optimization.</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ind w:left="7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27,031</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15,015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bl>
    <w:p>
      <w:pPr>
        <w:spacing w:after="0" w:line="29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$15.0 million, or 125%, during the three months ended June 30, 2022 as compared to the three months ended June 30, 2021. The increase was primarily due to an increase of $11.1 million in personnel-related costs and stock based compensation due to headcount growth attributable to the Tile and Jiobit acquisitions, an increase of $1.7 million in professional and outside services due to higher contractor spend as a result of increased scaling of the combined business, an increase of $1.2 million in technology expenses due to higher costs primarily related to cloud and data server infrastructure, and a $0.7 million increase in facilities and other expenses to support headcount growth. The remaining increase of $0.3 million is attributable to other technology related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jc w:val="center"/>
              <w:ind w:left="56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52,768</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30,060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r>
    </w:tbl>
    <w:p>
      <w:pPr>
        <w:spacing w:after="0" w:line="279"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$30.1 million, or 132%, during the six months ended June 30, 2022 as compared to the six months ended June 30, 2021. The increase was primarily due to an increase of $21.3 million in personnel-related costs and stock based compensation due to headcount growth attributable to the Tile and Jiobit acquisitions, an increase of $4.2 million in professional and outside services due to higher contractor spend as a result of increased scaling of the combined business, an increase of $2.6 million in technology expenses due to higher costs primarily related to cloud and data server infrastructure, and a $0.8 million increase in facilities and other expenses to support headcount growth. The remaining increase of $1.2 million is attributable to other technology related expenses.</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Sales and Marketing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ind w:left="7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22,895</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12,309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r>
    </w:tbl>
    <w:p>
      <w:pPr>
        <w:spacing w:after="0" w:line="29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$12.3 million, or 116%, during the three months ended June 30, 2022 as compared to the three months ended June 30, 2021. This increase was primarily due to a $6.9 million increase in marketing expenses consisting of $3.3 million in paid user acquisition spend, $0.8 million related to brand spend, and $2.8 million in other marketing spend. The increase was also related to an increase of $3.6 million in personnel and related costs and stock-based compensation due to increased headcount, an increase of $1.1 million in depreciation and amortization related to the amortization of intangible assets acquired from the Tile and Jiobit acquisitions, an increase of $0.6 million due to higher contractor spend as a result of increased scaling of the business and acquisitions, and a $0.1 million increase in technology expenses due to higher costs to support headcount growth.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jc w:val="center"/>
              <w:ind w:left="56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46,137</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27,341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r>
    </w:tbl>
    <w:p>
      <w:pPr>
        <w:spacing w:after="0" w:line="29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$27.3 million, or 145%, during the six months ended June 30, 2022 as compared to the six months ended June 30, 2021. This increase was primarily due to a $16.7 million increase in marketing expenses consisting of $6.6 million in paid user acquisition spend, $1.7 million related to brand spend, and $8.4 million of other marketing spend. The increase was also related to an increase of $6.7 million in personnel and related costs and stock-based compensation due to increased headcount, an increase of $2.1 million in depreciation and amortization related to the amortization of intangible assets acquired from the Tile and Jiobit acquisitions, an increase of $1.3 million due to higher contractor spend as a result of increased scaling of the business and acquisitions, and a $0.5 million increase in technology expenses due to higher costs to support headcount growth.</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ind w:left="7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12,830</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8,376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r>
    </w:tbl>
    <w:p>
      <w:pPr>
        <w:spacing w:after="0" w:line="27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increased $8.4 million, or 188%, during the three months ended June 30, 2022 as compared to the three months ended June 30, 2021. As a result of our continued investment in headcount and recent acquisitions, personnel and related costs and stock-based compensation increased by $5.6 million. In addition, professional and outside services increased by $3.8 million primarily due to increased expenses related to accounting, legal and advisors due to the Company’s Form 10 filing in April 2022. These increases were offset by a reduction in the fair value of contingent consideration related to Jiobit of approximately $1.3 million as it was determined a portion of the contingent consideration metrics would not be met. The remaining increase of $0.3 million is attributable to other general and administrative expenses associated with Company growth.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jc w:val="center"/>
              <w:ind w:left="56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26,076</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18,169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r>
    </w:tbl>
    <w:p>
      <w:pPr>
        <w:spacing w:after="0" w:line="29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 increased $18.2 million, or 230%, during the six months ended June 30, 2022 as compared to the six months ended June 30, 2021. As a result of our continued investment in headcount and recent acquisitions, personnel and related costs and stock-based compensation increased by $11.3 million. In addition, professional and outside services increased by $11.0 million primarily due to Tile Acquisition costs of approximately $5.0 million and increased expenses related to accounting, legal and advisors due to the Company’s Form 10 filing in April 2022. The Company also saw a $0.5 million increase in technology expenses and a $0.3 million increase in facilities expenses due to higher costs to support headcount growth. These increases were offset by a reduction in the fair value of contingent consideration related to Jiobit of approximately $5.3 million as it was determined a portion of the contingent consideration metrics would not be met. The remaining increase of $0.4 million is attributable to other general and administrative expenses associated with Company growth.</w:t>
      </w:r>
    </w:p>
    <w:p>
      <w:pPr>
        <w:spacing w:after="0" w:line="2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Notes Fair Value Adjustment</w:t>
      </w:r>
    </w:p>
    <w:p>
      <w:pPr>
        <w:spacing w:after="0" w:line="11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issued convertible notes to investors in July 2021, and as part of the purchase consideration related to the Jiobit Acquisition in September 2021 (the “September 2021 Convertible Notes” and together with the July 2021 Convertible Notes, the “Convertible Notes”). The September 2021 Convertible Notes are recorded at fair value and are revalued at each reporting period. The convertible notes fair value adjustment decreased $0.5 million and $2.1 million during the three and six months ended June 30, 2022, respectively. There was no fair value adjustment related to convertible notes recorded during the three and six months ended June 30, 2021.</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Liability Fair Value Adjustment</w:t>
      </w:r>
    </w:p>
    <w:p>
      <w:pPr>
        <w:spacing w:after="0" w:line="11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derivative liability fair value decreased $0.4 million, or 100%, during the three months ended June 30, 2022 as compared to the three months ended June 30, 2021 and $1.3 million, or 100%, during the six months ended June 30, 2022 as compared to the six months ended June 30, 2021. The decrease is due to the revaluation of the derivative liability at each reporting period and is related to embedded redemption features bifurcated from the July 2021 Convertible Notes issued to investors.</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 Net</w:t>
      </w:r>
    </w:p>
    <w:p>
      <w:pPr>
        <w:spacing w:after="0" w:line="11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Other income (expense), net increased $0.5 million, or 17,133%, during the three months ended June 30, 2022 as compared to the three months ended June 30, 2021 and $1.1 million, or 35,300% during the six months ended June 30, 2022 as compared to the six months ended June 30, 2021. The other expense includes an increase in interest expense associated with the Convertible Notes and an increase in foreign exchange losses.</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Provision (Benefit) for Income Taxes</w:t>
      </w:r>
    </w:p>
    <w:p>
      <w:pPr>
        <w:spacing w:after="0" w:line="11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provision (benefit) for income taxes increased an immaterial amount, during the three months ended June 30, 2022 as compared to the three months ended June 30, 2021 and increased an immaterial amount during the six months ended June 30, 2022 as compared to the six months ended June 30, 2021. The increases are primarily due to the tax effects related to the Tile Acquisition.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provided by sales of our subscriptions and hardware devices will be sufficient to support working capital and capital expenditure requirements for at least the next 12 months. Our future capital requirements will depend on many factors and as a result, we may be required to seek additional capital. If we are unable to raise additional capital on terms acceptable to us or at all or generate cash flows necessary to expand our operations and invest in continued innovation, we may not be able to compete successfully, which would harm our business, financial condition and results of operations.</w:t>
      </w:r>
    </w:p>
    <w:p>
      <w:pPr>
        <w:spacing w:after="0" w:line="183"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A number of our users pay in advance for annual subscriptions, while a majority pay in advance for monthly subscriptions. Deferred revenue consists of the unearned portion of customer billings, which is recognized as revenue in accordance with our revenue recognition policy. As of June 30, 2022 and 2021, we had deferred revenue of $28.3 million and $12.0 million, respectively, which is expected to be recorded as revenue in the next 12 months, provided all other revenue recognition criteria have been met.</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cash flow activities were as follows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560" w:type="dxa"/>
            <w:vAlign w:val="bottom"/>
          </w:tcPr>
          <w:p>
            <w:pPr>
              <w:spacing w:after="0"/>
              <w:rPr>
                <w:sz w:val="16"/>
                <w:szCs w:val="16"/>
                <w:color w:val="auto"/>
              </w:rPr>
            </w:pPr>
          </w:p>
        </w:tc>
      </w:tr>
      <w:tr>
        <w:trPr>
          <w:trHeight w:val="23"/>
        </w:trPr>
        <w:tc>
          <w:tcPr>
            <w:tcW w:w="6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6120" w:type="dxa"/>
            <w:vAlign w:val="bottom"/>
          </w:tcPr>
          <w:p>
            <w:pPr>
              <w:spacing w:after="0"/>
              <w:rPr>
                <w:sz w:val="16"/>
                <w:szCs w:val="16"/>
                <w:color w:val="auto"/>
              </w:rPr>
            </w:pPr>
          </w:p>
        </w:tc>
        <w:tc>
          <w:tcPr>
            <w:tcW w:w="15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0" w:type="dxa"/>
            <w:vAlign w:val="bottom"/>
            <w:gridSpan w:val="3"/>
          </w:tcPr>
          <w:p>
            <w:pPr>
              <w:jc w:val="right"/>
              <w:ind w:right="49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60" w:type="dxa"/>
            <w:vAlign w:val="bottom"/>
          </w:tcPr>
          <w:p>
            <w:pPr>
              <w:spacing w:after="0"/>
              <w:rPr>
                <w:sz w:val="17"/>
                <w:szCs w:val="17"/>
                <w:color w:val="auto"/>
              </w:rPr>
            </w:pPr>
          </w:p>
        </w:tc>
      </w:tr>
      <w:tr>
        <w:trPr>
          <w:trHeight w:val="23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60" w:type="dxa"/>
            <w:vAlign w:val="bottom"/>
            <w:shd w:val="clear" w:color="auto" w:fill="CCEEFF"/>
          </w:tcPr>
          <w:p>
            <w:pPr>
              <w:jc w:val="right"/>
              <w:ind w:right="13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center"/>
              <w:ind w:left="894"/>
              <w:spacing w:after="0"/>
              <w:rPr>
                <w:sz w:val="20"/>
                <w:szCs w:val="20"/>
                <w:color w:val="auto"/>
              </w:rPr>
            </w:pPr>
            <w:r>
              <w:rPr>
                <w:rFonts w:ascii="Times New Roman" w:cs="Times New Roman" w:eastAsia="Times New Roman" w:hAnsi="Times New Roman"/>
                <w:sz w:val="18"/>
                <w:szCs w:val="18"/>
                <w:color w:val="auto"/>
              </w:rPr>
              <w:t>(4,919)</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1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(113,797)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60" w:type="dxa"/>
            <w:vAlign w:val="bottom"/>
          </w:tcPr>
          <w:p>
            <w:pPr>
              <w:jc w:val="center"/>
              <w:ind w:left="894"/>
              <w:spacing w:after="0"/>
              <w:rPr>
                <w:sz w:val="20"/>
                <w:szCs w:val="20"/>
                <w:color w:val="auto"/>
              </w:rPr>
            </w:pPr>
            <w:r>
              <w:rPr>
                <w:rFonts w:ascii="Times New Roman" w:cs="Times New Roman" w:eastAsia="Times New Roman" w:hAnsi="Times New Roman"/>
                <w:sz w:val="18"/>
                <w:szCs w:val="18"/>
                <w:color w:val="auto"/>
              </w:rPr>
              <w:t>(2,500)</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left="914"/>
              <w:spacing w:after="0"/>
              <w:rPr>
                <w:sz w:val="20"/>
                <w:szCs w:val="20"/>
                <w:color w:val="auto"/>
              </w:rPr>
            </w:pPr>
            <w:r>
              <w:rPr>
                <w:rFonts w:ascii="Times New Roman" w:cs="Times New Roman" w:eastAsia="Times New Roman" w:hAnsi="Times New Roman"/>
                <w:sz w:val="18"/>
                <w:szCs w:val="18"/>
                <w:color w:val="auto"/>
                <w:w w:val="98"/>
              </w:rPr>
              <w:t>1,563</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560" w:type="dxa"/>
            <w:vAlign w:val="bottom"/>
            <w:tcBorders>
              <w:bottom w:val="single" w:sz="8" w:color="auto"/>
            </w:tcBorders>
          </w:tcPr>
          <w:p>
            <w:pPr>
              <w:jc w:val="right"/>
              <w:ind w:right="13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(152,025)</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center"/>
              <w:ind w:left="894"/>
              <w:spacing w:after="0"/>
              <w:rPr>
                <w:sz w:val="20"/>
                <w:szCs w:val="20"/>
                <w:color w:val="auto"/>
              </w:rPr>
            </w:pPr>
            <w:r>
              <w:rPr>
                <w:rFonts w:ascii="Times New Roman" w:cs="Times New Roman" w:eastAsia="Times New Roman" w:hAnsi="Times New Roman"/>
                <w:sz w:val="18"/>
                <w:szCs w:val="18"/>
                <w:color w:val="auto"/>
              </w:rPr>
              <w:t>(5,856)</w:t>
            </w:r>
          </w:p>
        </w:tc>
      </w:tr>
      <w:tr>
        <w:trPr>
          <w:trHeight w:val="20"/>
        </w:trPr>
        <w:tc>
          <w:tcPr>
            <w:tcW w:w="6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80" w:firstLine="405"/>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cash collections from our paying users for subscriptions to our platform. Our primary uses of cash from operating activities are for employee-related expenditures, inventory, infrastructure-related costs, and marketing expenses. Net cash used in operating activities is impacted by our net loss adjusted for certain non-cash items, including depreciation and amortization expenses, amortization of costs capitalized to obtain a contract, and stock-based compensation, as well as the effect of changes in operating assets and liabilities.</w:t>
      </w:r>
    </w:p>
    <w:p>
      <w:pPr>
        <w:spacing w:after="0" w:line="180"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net cash used in operating activities was $38.5 million. The primary factors affecting our operating cash flows during this period were our net loss of $58.2 million, impacted by $13.6 million non-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cash charges, and $6.1 million of cash provided by changes in our operating assets and liabilities. The non-cash charges primarily consisted of $16.5 million in stock-based compensation, $2.1 million gain in convertible notes fair value adjustment, $5.3 million in gain on revaluation of contingent consideration, $1.3 million gain in derivative liability fair value adjustment, $0.5 million noncash revenue from affiliate, and $4.5 million of depreciation and amortization. The cash provided by changes in our operating assets and liabilities was primarily due to a $20.1 million decrease in accounts receivable, a $6.6 million decrease in prepaid expenses and other assets, a $0.4 million increase in other noncurrent liabilities, and a $0.5 million increase in deferred revenue. These amounts were partially offset by a $1.8 million increase in costs capitalized to obtain contracts, a $15.0 million decrease in accounts payable, a $1.6 million increase in inventory, and a $3.1 million decrease in accrued expenses and other liabilities.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six months ended June 30, 2021, net cash used in operating activities was $4.9 million. The primary factors affecting our operating cash flows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this period were our net loss of $10.7 million, impacted by $7.6 million non-cash charges and $1.9 million of cash used by changes in our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The non-cash charges primarily consisted of $5.1 million in stock-based compensation and $2.5 million in depreciation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The cash used by changes in our operating assets and liabilities was primarily due to a $3.0 million increase in accounts receivable, net,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increase in costs capitalized to obtain contracts, net, and a $1.5 million decrease in accounts payable. These amounts were partially offset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million decrease in prepaid expenses and other assets.</w:t>
      </w:r>
    </w:p>
    <w:p>
      <w:pPr>
        <w:spacing w:after="0" w:line="3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net cash used in investing activities was $113.8 million, which related to $113.4 million of cash paid for the Tile Acquisition, net of cash acquired and $0.4 million related to the capitalization of internal use software costs.</w:t>
      </w:r>
    </w:p>
    <w:p>
      <w:pPr>
        <w:spacing w:after="0" w:line="162"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2021, net cash used in investing activities was $2.5 million, which related to a cash advance on convertible note receivable.</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net cash provided by financing activities was $0.3 million, which primarily related to $0.3 million of proceeds from the exercise of stock options net of taxes paid related to net settlement of equity awards.</w:t>
      </w:r>
    </w:p>
    <w:p>
      <w:pPr>
        <w:spacing w:after="0" w:line="162"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2021, net cash provided by financing activities was $1.6 million, which primarily related to $2.1 million in cash received in advance of the issuance of convertible notes offset by $0.5 million of</w:t>
      </w:r>
    </w:p>
    <w:p>
      <w:pPr>
        <w:spacing w:after="0"/>
        <w:rPr>
          <w:sz w:val="20"/>
          <w:szCs w:val="20"/>
          <w:color w:val="auto"/>
        </w:rPr>
      </w:pPr>
      <w:r>
        <w:rPr>
          <w:rFonts w:ascii="Times New Roman" w:cs="Times New Roman" w:eastAsia="Times New Roman" w:hAnsi="Times New Roman"/>
          <w:sz w:val="18"/>
          <w:szCs w:val="18"/>
          <w:color w:val="auto"/>
        </w:rPr>
        <w:t>cash used by the exercise of stock options net of taxes paid related to net settlement of equity awards.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Other Commitments</w:t>
      </w:r>
    </w:p>
    <w:p>
      <w:pPr>
        <w:spacing w:after="0" w:line="121"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Our principal commitments consist of obligations under our convertible notes, operating leases for office space, and other purchase commitments. Our obligations under our convertible notes are described in the “Liquidity and Capital Resources” section and in Notes 6 and 9 to our condensed consolidated financial statements. Information regarding our non-cancellable lease and other purchase commitments as of June 30, 2022, can be found in Notes 8 and 11 to our condensed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5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Our condensed consolidated financial statements are prepared in accordance with GAAP. The preparation of condensed consolidated financial statements requires us to make estimates and assumptions that affect the reported amounts of assets, liabilities, revenues, expenses and related disclosures. We base our estimates on historical experience and on various other assumptions we believe to be reasonable under the circumstances. Actual results could differ materially from the estimates made by our management. Other than items discussed in Note 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Summary of Significant Accounting Policies,” of our condensed consolidated financial statements, there have been no material changes to our critical accounting policies as compared to the critical accounting policies and significant judgments and estimates disclosed in our Form 10.</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33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we had $79.3 million and $231.3 million of cash equivalents invested in cash and cash equivalents and money market funds, respectively. Our cash and cash equivalents are held for working capital purposes.</w:t>
      </w:r>
    </w:p>
    <w:p>
      <w:pPr>
        <w:spacing w:after="0" w:line="162"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a hypothetical 10% relative change in interest rates would not have a material impact on our condensed consolidated financial statements.</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Our reporting currency and functional currency is the U.S. dollar. All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condensed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w:t>
      </w: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19"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Fair Value Risk</w:t>
      </w:r>
    </w:p>
    <w:p>
      <w:pPr>
        <w:spacing w:after="0" w:line="11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we had $10.1 million and $23.2 million of liabilities that are measured at fair value, respectively. Fair value measurements include significant assumptions that are driven by market conditions and macroeconomic factors at measurement dates. Our condensed consolidated results of operations are therefore subject to market fluctuations and may be affected in the future as a result of these fair value changes.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1"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2"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there are resource constraints and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our disclosure controls and procedures were effective at the reasonable assurance level as of June 30,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ind w:firstLine="405"/>
        <w:spacing w:after="0" w:line="312"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15d-15(f) under the Exchange Act) has occurred during the three months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3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spacing w:after="0" w:line="80" w:lineRule="exact"/>
        <w:rPr>
          <w:sz w:val="20"/>
          <w:szCs w:val="20"/>
          <w:color w:val="auto"/>
        </w:rPr>
      </w:pPr>
    </w:p>
    <w:p>
      <w:pPr>
        <w:ind w:right="60" w:firstLine="405"/>
        <w:spacing w:after="0" w:line="286" w:lineRule="auto"/>
        <w:rPr>
          <w:sz w:val="20"/>
          <w:szCs w:val="20"/>
          <w:color w:val="auto"/>
        </w:rPr>
      </w:pPr>
      <w:r>
        <w:rPr>
          <w:rFonts w:ascii="Times New Roman" w:cs="Times New Roman" w:eastAsia="Times New Roman" w:hAnsi="Times New Roman"/>
          <w:sz w:val="18"/>
          <w:szCs w:val="18"/>
          <w:color w:val="auto"/>
        </w:rPr>
        <w:t xml:space="preserve">The information set forth under Note 11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Commitments and Contingencies” in the notes to the condensed consolidated financial statements under the caption “Litigation” is incorporated herein by reference.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within Item 1A “Risk Factors” in the Form 10.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June 30, 2022, we issued the following securities as compensation to certain of our employees and consultants:</w:t>
      </w:r>
    </w:p>
    <w:p>
      <w:pPr>
        <w:spacing w:after="0" w:line="117"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color w:val="auto"/>
        </w:rPr>
        <w:t>On April 12, 2022, the Committee and the Board approved the grant of stock option awards to two employees, to acquire up to 237,408 shares of common stock under the Company’s 2011 Equity Incentive Plan. The option shares are exercisable at a price of $11.18 per share, which equaled the closing price of the common stock as of the date immediately prior to the grant date.</w:t>
      </w:r>
    </w:p>
    <w:p>
      <w:pPr>
        <w:spacing w:after="0" w:line="1" w:lineRule="exact"/>
        <w:rPr>
          <w:sz w:val="20"/>
          <w:szCs w:val="20"/>
          <w:color w:val="auto"/>
        </w:rPr>
      </w:pPr>
    </w:p>
    <w:p>
      <w:pPr>
        <w:ind w:right="240" w:firstLine="405"/>
        <w:spacing w:after="0" w:line="277" w:lineRule="auto"/>
        <w:rPr>
          <w:sz w:val="20"/>
          <w:szCs w:val="20"/>
          <w:color w:val="auto"/>
        </w:rPr>
      </w:pPr>
      <w:r>
        <w:rPr>
          <w:rFonts w:ascii="Times New Roman" w:cs="Times New Roman" w:eastAsia="Times New Roman" w:hAnsi="Times New Roman"/>
          <w:sz w:val="17"/>
          <w:szCs w:val="17"/>
          <w:color w:val="auto"/>
        </w:rPr>
        <w:t>On May 20, 2022, the Committee and the Board approved the grant of stock option awards to its seven non-employee directors and the Company’s Chief Executive Officer, to acquire up to 439,053 shares of common stock under the Company’s 2011 Equity Incentive Plan. The option shares are exercisable at a price of $8.19 per share, which equaled the closing price of the common stock as of the date immediately prior to the grant date.</w:t>
      </w:r>
    </w:p>
    <w:p>
      <w:pPr>
        <w:spacing w:after="0" w:line="196"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On June 8, 2022, the Company issued 179,118 shares of common stock to 168 employees and consultants in accordance with the vesting schedules set forth in RSU agreements previously entered into with such employees and consultants. The RSUs were a portion of the compensation paid to such employees and consultants for their services to us. Of the shares issued to employees, 108,822 shares were withheld by the Company to satisfy tax withholding obligations and/or to satisfy cash settlement options to employees, equaling approximately $0.8 million.</w:t>
      </w:r>
    </w:p>
    <w:p>
      <w:pPr>
        <w:spacing w:after="0" w:line="207"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We believe the offers, sales, and issuances of the above securities were exempt from registration under the Securities Act of 1933, as amended (the “Securities Act”) by virtue of Section 4(a)(2) of the Securities Act or Regulation D promulgated thereunder because the issuance of securities to the recipients did not involve a public offering, or in reliance on Rule 701 because the transactions were pursuant to compensatory benefit plans or contracts relating to compensation as provided under such rule.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1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80" w:type="dxa"/>
            <w:vAlign w:val="bottom"/>
            <w:gridSpan w:val="5"/>
          </w:tcPr>
          <w:p>
            <w:pPr>
              <w:ind w:left="43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03"/>
        </w:trPr>
        <w:tc>
          <w:tcPr>
            <w:tcW w:w="1080" w:type="dxa"/>
            <w:vAlign w:val="bottom"/>
            <w:gridSpan w:val="5"/>
          </w:tcPr>
          <w:p>
            <w:pPr>
              <w:ind w:left="20"/>
              <w:spacing w:after="0" w:line="16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Amendment No. 1 to Data Services and License Agreement, effective as of June 8, 2022, by and between Life360, Inc. and Placer Labs</w:t>
            </w:r>
          </w:p>
        </w:tc>
      </w:tr>
      <w:tr>
        <w:trPr>
          <w:trHeight w:val="136"/>
        </w:trPr>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80" w:type="dxa"/>
            <w:vAlign w:val="bottom"/>
            <w:tcBorders>
              <w:top w:val="single" w:sz="8" w:color="0000FF"/>
            </w:tcBorders>
            <w:gridSpan w:val="5"/>
          </w:tcPr>
          <w:p>
            <w:pPr>
              <w:spacing w:after="0" w:line="136" w:lineRule="exact"/>
              <w:rPr>
                <w:sz w:val="20"/>
                <w:szCs w:val="20"/>
                <w:color w:val="auto"/>
              </w:rPr>
            </w:pPr>
            <w:r>
              <w:rPr>
                <w:rFonts w:ascii="Times New Roman" w:cs="Times New Roman" w:eastAsia="Times New Roman" w:hAnsi="Times New Roman"/>
                <w:sz w:val="15"/>
                <w:szCs w:val="15"/>
                <w:color w:val="0000FF"/>
              </w:rPr>
              <w:t>Inc.</w:t>
            </w:r>
          </w:p>
        </w:tc>
        <w:tc>
          <w:tcPr>
            <w:tcW w:w="280" w:type="dxa"/>
            <w:vAlign w:val="bottom"/>
          </w:tcPr>
          <w:p>
            <w:pPr>
              <w:spacing w:after="0"/>
              <w:rPr>
                <w:sz w:val="11"/>
                <w:szCs w:val="11"/>
                <w:color w:val="auto"/>
              </w:rPr>
            </w:pPr>
          </w:p>
        </w:tc>
      </w:tr>
      <w:tr>
        <w:trPr>
          <w:trHeight w:val="20"/>
        </w:trPr>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Chief Executive Officer Certification Pursuant to Rule 13a-14(a) of the Exchange Act.</w:t>
            </w:r>
          </w:p>
        </w:tc>
        <w:tc>
          <w:tcPr>
            <w:tcW w:w="3820" w:type="dxa"/>
            <w:vAlign w:val="bottom"/>
            <w:gridSpan w:val="3"/>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Chief Financial Officer Certification Pursuant to Rule 13a-14(a) of the Exchange Act.</w:t>
            </w:r>
          </w:p>
        </w:tc>
        <w:tc>
          <w:tcPr>
            <w:tcW w:w="2500" w:type="dxa"/>
            <w:vAlign w:val="bottom"/>
            <w:gridSpan w:val="2"/>
          </w:tcPr>
          <w:p>
            <w:pPr>
              <w:spacing w:after="0"/>
              <w:rPr>
                <w:sz w:val="24"/>
                <w:szCs w:val="24"/>
                <w:color w:val="auto"/>
              </w:rPr>
            </w:pPr>
          </w:p>
        </w:tc>
        <w:tc>
          <w:tcPr>
            <w:tcW w:w="1380" w:type="dxa"/>
            <w:vAlign w:val="bottom"/>
            <w:gridSpan w:val="2"/>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Sarbanes-Oxley Act of 2002.</w:t>
            </w:r>
          </w:p>
        </w:tc>
        <w:tc>
          <w:tcPr>
            <w:tcW w:w="1380" w:type="dxa"/>
            <w:vAlign w:val="bottom"/>
            <w:gridSpan w:val="2"/>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Sarbanes-Oxley Act of 2002.</w:t>
            </w:r>
          </w:p>
        </w:tc>
        <w:tc>
          <w:tcPr>
            <w:tcW w:w="1380" w:type="dxa"/>
            <w:vAlign w:val="bottom"/>
            <w:tcBorders>
              <w:bottom w:val="single" w:sz="8" w:color="0000FF"/>
            </w:tcBorders>
            <w:gridSpan w:val="2"/>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324"/>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324"/>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324"/>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324"/>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324"/>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w:t>
      </w:r>
    </w:p>
    <w:p>
      <w:pPr>
        <w:spacing w:after="0" w:line="18" w:lineRule="exact"/>
        <w:rPr>
          <w:sz w:val="20"/>
          <w:szCs w:val="20"/>
          <w:color w:val="auto"/>
        </w:rPr>
      </w:pPr>
    </w:p>
    <w:p>
      <w:pPr>
        <w:jc w:val="center"/>
        <w:ind w:right="2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This certification is being furnished solely to accompany this Quarterly Report on Form 10-Q pursuant to 18 U.S.C. Section 1350, and is not being filed</w:t>
      </w:r>
    </w:p>
    <w:p>
      <w:pPr>
        <w:spacing w:after="0" w:line="7" w:lineRule="exact"/>
        <w:rPr>
          <w:sz w:val="20"/>
          <w:szCs w:val="20"/>
          <w:color w:val="auto"/>
        </w:rPr>
      </w:pPr>
    </w:p>
    <w:p>
      <w:pPr>
        <w:ind w:left="660" w:right="60"/>
        <w:spacing w:after="0" w:line="250" w:lineRule="auto"/>
        <w:rPr>
          <w:sz w:val="20"/>
          <w:szCs w:val="20"/>
          <w:color w:val="auto"/>
        </w:rPr>
      </w:pPr>
      <w:r>
        <w:rPr>
          <w:rFonts w:ascii="Times New Roman" w:cs="Times New Roman" w:eastAsia="Times New Roman" w:hAnsi="Times New Roman"/>
          <w:sz w:val="18"/>
          <w:szCs w:val="18"/>
          <w:color w:val="auto"/>
        </w:rPr>
        <w:t>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w:t>
      </w:r>
    </w:p>
    <w:p>
      <w:pPr>
        <w:spacing w:after="0" w:line="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Portions of this exhibit have been redacted in accordance with Regulation S-K Item 601(b)(10)(iv).</w:t>
      </w:r>
    </w:p>
    <w:p>
      <w:pPr>
        <w:spacing w:after="0" w:line="9" w:lineRule="exact"/>
        <w:rPr>
          <w:sz w:val="20"/>
          <w:szCs w:val="20"/>
          <w:color w:val="auto"/>
        </w:rPr>
      </w:pPr>
    </w:p>
    <w:p>
      <w:pPr>
        <w:ind w:left="660" w:right="180" w:hanging="652"/>
        <w:spacing w:after="0" w:line="260" w:lineRule="auto"/>
        <w:tabs>
          <w:tab w:leader="none" w:pos="2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Corrected to reflect correct execution date. The exhibit was initially filed with the SEC on June 13, 2022 as Exhibit 10.14 to Amendment No. 1 to the Form 10.</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of 15(d)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56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LIFE360, INC.</w:t>
            </w:r>
          </w:p>
        </w:tc>
      </w:tr>
      <w:tr>
        <w:trPr>
          <w:trHeight w:val="48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August 15, 2022</w:t>
            </w:r>
          </w:p>
        </w:tc>
        <w:tc>
          <w:tcPr>
            <w:tcW w:w="20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Hulls</w:t>
            </w:r>
          </w:p>
        </w:tc>
      </w:tr>
      <w:tr>
        <w:trPr>
          <w:trHeight w:val="228"/>
        </w:trPr>
        <w:tc>
          <w:tcPr>
            <w:tcW w:w="7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 Hulls</w:t>
            </w:r>
          </w:p>
        </w:tc>
      </w:tr>
      <w:tr>
        <w:trPr>
          <w:trHeight w:val="312"/>
        </w:trPr>
        <w:tc>
          <w:tcPr>
            <w:tcW w:w="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7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August 15, 2022</w:t>
            </w:r>
          </w:p>
        </w:tc>
        <w:tc>
          <w:tcPr>
            <w:tcW w:w="20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Russell Burke</w:t>
            </w:r>
          </w:p>
        </w:tc>
      </w:tr>
      <w:tr>
        <w:trPr>
          <w:trHeight w:val="228"/>
        </w:trPr>
        <w:tc>
          <w:tcPr>
            <w:tcW w:w="7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Burke</w:t>
            </w:r>
          </w:p>
        </w:tc>
      </w:tr>
    </w:tbl>
    <w:p>
      <w:pPr>
        <w:spacing w:after="0" w:line="8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225"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55" w:lineRule="exact"/>
        <w:rPr>
          <w:sz w:val="20"/>
          <w:szCs w:val="20"/>
          <w:color w:val="auto"/>
        </w:rPr>
      </w:pPr>
    </w:p>
    <w:p>
      <w:pPr>
        <w:jc w:val="center"/>
        <w:spacing w:after="0" w:line="225"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THE EXHIBIT BECAUSE IT IS BOTH NOT MATERIAL AND IS THE TYPE THAT THE REGISTRANT TREATS AS PRIVATE OR CONFIDENTIAL. SUCH EXCLUDED INFORMATION HAS BEEN</w:t>
      </w:r>
    </w:p>
    <w:p>
      <w:pPr>
        <w:jc w:val="center"/>
        <w:spacing w:after="0"/>
        <w:rPr>
          <w:sz w:val="20"/>
          <w:szCs w:val="20"/>
          <w:color w:val="auto"/>
        </w:rPr>
      </w:pPr>
      <w:r>
        <w:rPr>
          <w:rFonts w:ascii="Times New Roman" w:cs="Times New Roman" w:eastAsia="Times New Roman" w:hAnsi="Times New Roman"/>
          <w:sz w:val="18"/>
          <w:szCs w:val="18"/>
          <w:b w:val="1"/>
          <w:bCs w:val="1"/>
          <w:color w:val="auto"/>
        </w:rPr>
        <w:t>MARKED WITH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TO</w:t>
      </w:r>
    </w:p>
    <w:p>
      <w:pPr>
        <w:jc w:val="center"/>
        <w:spacing w:after="0"/>
        <w:rPr>
          <w:sz w:val="20"/>
          <w:szCs w:val="20"/>
          <w:color w:val="auto"/>
        </w:rPr>
      </w:pPr>
      <w:r>
        <w:rPr>
          <w:rFonts w:ascii="Times New Roman" w:cs="Times New Roman" w:eastAsia="Times New Roman" w:hAnsi="Times New Roman"/>
          <w:sz w:val="18"/>
          <w:szCs w:val="18"/>
          <w:b w:val="1"/>
          <w:bCs w:val="1"/>
          <w:color w:val="auto"/>
        </w:rPr>
        <w:t>DATA SERVICES AND LICENSE AGREEMENT</w:t>
      </w:r>
    </w:p>
    <w:p>
      <w:pPr>
        <w:spacing w:after="0" w:line="188" w:lineRule="exact"/>
        <w:rPr>
          <w:sz w:val="20"/>
          <w:szCs w:val="20"/>
          <w:color w:val="auto"/>
        </w:rPr>
      </w:pPr>
    </w:p>
    <w:p>
      <w:pPr>
        <w:ind w:right="240" w:firstLine="180"/>
        <w:spacing w:after="0" w:line="225" w:lineRule="auto"/>
        <w:rPr>
          <w:sz w:val="20"/>
          <w:szCs w:val="20"/>
          <w:color w:val="auto"/>
        </w:rPr>
      </w:pPr>
      <w:r>
        <w:rPr>
          <w:rFonts w:ascii="Times New Roman" w:cs="Times New Roman" w:eastAsia="Times New Roman" w:hAnsi="Times New Roman"/>
          <w:sz w:val="18"/>
          <w:szCs w:val="18"/>
          <w:color w:val="auto"/>
        </w:rPr>
        <w:t>Reference is made to the Data Services and License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effective as of January 26, 2022, by and between Life360, Inc., a Delaware corporation (“</w:t>
      </w:r>
      <w:r>
        <w:rPr>
          <w:rFonts w:ascii="Times New Roman" w:cs="Times New Roman" w:eastAsia="Times New Roman" w:hAnsi="Times New Roman"/>
          <w:sz w:val="18"/>
          <w:szCs w:val="18"/>
          <w:b w:val="1"/>
          <w:bCs w:val="1"/>
          <w:color w:val="auto"/>
        </w:rPr>
        <w:t>Life360</w:t>
      </w:r>
      <w:r>
        <w:rPr>
          <w:rFonts w:ascii="Times New Roman" w:cs="Times New Roman" w:eastAsia="Times New Roman" w:hAnsi="Times New Roman"/>
          <w:sz w:val="18"/>
          <w:szCs w:val="18"/>
          <w:color w:val="auto"/>
        </w:rPr>
        <w:t>”), and Placer Labs Inc., a Delaware corporation (“</w:t>
      </w:r>
      <w:r>
        <w:rPr>
          <w:rFonts w:ascii="Times New Roman" w:cs="Times New Roman" w:eastAsia="Times New Roman" w:hAnsi="Times New Roman"/>
          <w:sz w:val="18"/>
          <w:szCs w:val="18"/>
          <w:b w:val="1"/>
          <w:bCs w:val="1"/>
          <w:color w:val="auto"/>
        </w:rPr>
        <w:t>Placer</w:t>
      </w:r>
      <w:r>
        <w:rPr>
          <w:rFonts w:ascii="Times New Roman" w:cs="Times New Roman" w:eastAsia="Times New Roman" w:hAnsi="Times New Roman"/>
          <w:sz w:val="18"/>
          <w:szCs w:val="18"/>
          <w:color w:val="auto"/>
        </w:rPr>
        <w:t>”). Unless otherwise defined, capitalized terms herein have the</w:t>
      </w:r>
    </w:p>
    <w:p>
      <w:pPr>
        <w:spacing w:after="0"/>
        <w:rPr>
          <w:sz w:val="20"/>
          <w:szCs w:val="20"/>
          <w:color w:val="auto"/>
        </w:rPr>
      </w:pPr>
      <w:r>
        <w:rPr>
          <w:rFonts w:ascii="Times New Roman" w:cs="Times New Roman" w:eastAsia="Times New Roman" w:hAnsi="Times New Roman"/>
          <w:sz w:val="18"/>
          <w:szCs w:val="18"/>
          <w:color w:val="auto"/>
        </w:rPr>
        <w:t>same meaning as in the Agreement.</w:t>
      </w:r>
    </w:p>
    <w:p>
      <w:pPr>
        <w:spacing w:after="0" w:line="188" w:lineRule="exact"/>
        <w:rPr>
          <w:sz w:val="20"/>
          <w:szCs w:val="20"/>
          <w:color w:val="auto"/>
        </w:rPr>
      </w:pPr>
    </w:p>
    <w:p>
      <w:pPr>
        <w:ind w:right="180" w:firstLine="177"/>
        <w:spacing w:after="0" w:line="239" w:lineRule="auto"/>
        <w:rPr>
          <w:sz w:val="20"/>
          <w:szCs w:val="20"/>
          <w:color w:val="auto"/>
        </w:rPr>
      </w:pPr>
      <w:r>
        <w:rPr>
          <w:rFonts w:ascii="Times New Roman" w:cs="Times New Roman" w:eastAsia="Times New Roman" w:hAnsi="Times New Roman"/>
          <w:sz w:val="18"/>
          <w:szCs w:val="18"/>
          <w:color w:val="auto"/>
        </w:rPr>
        <w:t>This AMENDMENT NO. 1 TO DATA SERVICES AND LICENSE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by and between the parties as of June 8, 2022.</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WHEREAS: The parties have been operating under the Agreement, and now desire to amend and modify certain provisions therein.</w:t>
      </w:r>
    </w:p>
    <w:p>
      <w:pPr>
        <w:spacing w:after="0" w:line="212" w:lineRule="exact"/>
        <w:rPr>
          <w:sz w:val="20"/>
          <w:szCs w:val="20"/>
          <w:color w:val="auto"/>
        </w:rPr>
      </w:pPr>
    </w:p>
    <w:p>
      <w:pPr>
        <w:ind w:right="620" w:firstLine="180"/>
        <w:spacing w:after="0" w:line="237" w:lineRule="auto"/>
        <w:rPr>
          <w:sz w:val="20"/>
          <w:szCs w:val="20"/>
          <w:color w:val="auto"/>
        </w:rPr>
      </w:pPr>
      <w:r>
        <w:rPr>
          <w:rFonts w:ascii="Times New Roman" w:cs="Times New Roman" w:eastAsia="Times New Roman" w:hAnsi="Times New Roman"/>
          <w:sz w:val="18"/>
          <w:szCs w:val="18"/>
          <w:color w:val="auto"/>
        </w:rPr>
        <w:t>NOW, THEREFORE: Notwithstanding any other provisions in the Agreement, the parties agree, and the Agreement is accordingly amended and modified, as follows:</w:t>
      </w:r>
    </w:p>
    <w:p>
      <w:pPr>
        <w:spacing w:after="0" w:line="199" w:lineRule="exact"/>
        <w:rPr>
          <w:sz w:val="20"/>
          <w:szCs w:val="20"/>
          <w:color w:val="auto"/>
        </w:rPr>
      </w:pPr>
    </w:p>
    <w:p>
      <w:pPr>
        <w:ind w:left="660" w:right="3060" w:hanging="472"/>
        <w:spacing w:after="0" w:line="588" w:lineRule="auto"/>
        <w:tabs>
          <w:tab w:leader="none" w:pos="5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2(f) of Attachment A of the Agreement is amended to add the following sub-sections (ii) and (iii): [***] [***]</w:t>
      </w:r>
    </w:p>
    <w:p>
      <w:pPr>
        <w:spacing w:after="0" w:line="254" w:lineRule="exact"/>
        <w:rPr>
          <w:rFonts w:ascii="Times New Roman" w:cs="Times New Roman" w:eastAsia="Times New Roman" w:hAnsi="Times New Roman"/>
          <w:sz w:val="18"/>
          <w:szCs w:val="18"/>
          <w:color w:val="auto"/>
        </w:rPr>
      </w:pPr>
    </w:p>
    <w:p>
      <w:pPr>
        <w:ind w:right="220" w:firstLine="188"/>
        <w:spacing w:after="0" w:line="237"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between the Agreement and this Amendment, the provisions in this Amendment shall control. In all other respects, the Agreement shall remain in full force and effect.</w:t>
      </w:r>
    </w:p>
    <w:p>
      <w:pPr>
        <w:spacing w:after="0" w:line="185" w:lineRule="exact"/>
        <w:rPr>
          <w:rFonts w:ascii="Times New Roman" w:cs="Times New Roman" w:eastAsia="Times New Roman" w:hAnsi="Times New Roman"/>
          <w:sz w:val="18"/>
          <w:szCs w:val="18"/>
          <w:color w:val="auto"/>
        </w:rPr>
      </w:pPr>
    </w:p>
    <w:p>
      <w:pPr>
        <w:ind w:right="160" w:firstLine="188"/>
        <w:spacing w:after="0" w:line="237" w:lineRule="auto"/>
        <w:tabs>
          <w:tab w:leader="none" w:pos="4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laws of the State of California, without reference to conflicts of laws principles that would require the application of the laws of a different jurisdiction.</w:t>
      </w:r>
    </w:p>
    <w:p>
      <w:pPr>
        <w:spacing w:after="0" w:line="198" w:lineRule="exact"/>
        <w:rPr>
          <w:rFonts w:ascii="Times New Roman" w:cs="Times New Roman" w:eastAsia="Times New Roman" w:hAnsi="Times New Roman"/>
          <w:sz w:val="18"/>
          <w:szCs w:val="18"/>
          <w:color w:val="auto"/>
        </w:rPr>
      </w:pPr>
    </w:p>
    <w:p>
      <w:pPr>
        <w:ind w:right="240" w:firstLine="188"/>
        <w:spacing w:after="0" w:line="237" w:lineRule="auto"/>
        <w:tabs>
          <w:tab w:leader="none" w:pos="4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counterparts, each of which will be considered an original and all of which together will constitute the same instrument, and may be executed by facsimile or electronic signature.</w:t>
      </w: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"Placer"</w:t>
            </w:r>
          </w:p>
        </w:tc>
        <w:tc>
          <w:tcPr>
            <w:tcW w:w="4020" w:type="dxa"/>
            <w:vAlign w:val="bottom"/>
          </w:tcPr>
          <w:p>
            <w:pPr>
              <w:spacing w:after="0"/>
              <w:rPr>
                <w:sz w:val="20"/>
                <w:szCs w:val="20"/>
                <w:color w:val="auto"/>
              </w:rPr>
            </w:pPr>
          </w:p>
        </w:tc>
        <w:tc>
          <w:tcPr>
            <w:tcW w:w="20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"Life360"</w:t>
            </w:r>
          </w:p>
        </w:tc>
        <w:tc>
          <w:tcPr>
            <w:tcW w:w="4020" w:type="dxa"/>
            <w:vAlign w:val="bottom"/>
          </w:tcPr>
          <w:p>
            <w:pPr>
              <w:spacing w:after="0"/>
              <w:rPr>
                <w:sz w:val="20"/>
                <w:szCs w:val="20"/>
                <w:color w:val="auto"/>
              </w:rPr>
            </w:pPr>
          </w:p>
        </w:tc>
      </w:t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Placer Labs,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Life360, Inc.</w:t>
            </w:r>
          </w:p>
        </w:tc>
        <w:tc>
          <w:tcPr>
            <w:tcW w:w="4020" w:type="dxa"/>
            <w:vAlign w:val="bottom"/>
          </w:tcPr>
          <w:p>
            <w:pPr>
              <w:spacing w:after="0"/>
              <w:rPr>
                <w:sz w:val="20"/>
                <w:szCs w:val="20"/>
                <w:color w:val="auto"/>
              </w:rPr>
            </w:pPr>
          </w:p>
        </w:tc>
      </w:tr>
      <w:tr>
        <w:trPr>
          <w:trHeight w:val="48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Naom Ben-Zvi</w:t>
            </w:r>
          </w:p>
        </w:tc>
        <w:tc>
          <w:tcPr>
            <w:tcW w:w="20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Itamar Novick</w:t>
            </w:r>
          </w:p>
        </w:tc>
      </w:tr>
      <w:tr>
        <w:trPr>
          <w:trHeight w:val="25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Naom Ben-Zvi</w:t>
            </w:r>
          </w:p>
        </w:tc>
        <w:tc>
          <w:tcPr>
            <w:tcW w:w="20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Itamar Novick</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20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Business Officer</w:t>
            </w:r>
          </w:p>
        </w:tc>
      </w:tr>
    </w:tbl>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 Hulls, certify that:</w:t>
      </w:r>
    </w:p>
    <w:p>
      <w:pPr>
        <w:spacing w:after="0" w:line="185"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Life360, Inc. (the “registrant”);</w:t>
      </w:r>
    </w:p>
    <w:p>
      <w:pPr>
        <w:spacing w:after="0" w:line="198" w:lineRule="exact"/>
        <w:rPr>
          <w:rFonts w:ascii="Times New Roman" w:cs="Times New Roman" w:eastAsia="Times New Roman" w:hAnsi="Times New Roman"/>
          <w:sz w:val="18"/>
          <w:szCs w:val="18"/>
          <w:color w:val="auto"/>
        </w:rPr>
      </w:pPr>
    </w:p>
    <w:p>
      <w:pPr>
        <w:jc w:val="both"/>
        <w:ind w:left="280" w:hanging="272"/>
        <w:spacing w:after="0" w:line="226" w:lineRule="auto"/>
        <w:tabs>
          <w:tab w:leader="none" w:pos="3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Times New Roman" w:cs="Times New Roman" w:eastAsia="Times New Roman" w:hAnsi="Times New Roman"/>
          <w:sz w:val="18"/>
          <w:szCs w:val="18"/>
          <w:color w:val="auto"/>
        </w:rPr>
      </w:pPr>
    </w:p>
    <w:p>
      <w:pPr>
        <w:ind w:left="280" w:hanging="272"/>
        <w:spacing w:after="0" w:line="237" w:lineRule="auto"/>
        <w:tabs>
          <w:tab w:leader="none" w:pos="3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ind w:left="280" w:hanging="272"/>
        <w:spacing w:after="0" w:line="250" w:lineRule="auto"/>
        <w:tabs>
          <w:tab w:leader="none" w:pos="43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9" w:lineRule="exact"/>
        <w:rPr>
          <w:rFonts w:ascii="Times New Roman" w:cs="Times New Roman" w:eastAsia="Times New Roman" w:hAnsi="Times New Roman"/>
          <w:sz w:val="18"/>
          <w:szCs w:val="18"/>
          <w:color w:val="auto"/>
        </w:rPr>
      </w:pPr>
    </w:p>
    <w:p>
      <w:pPr>
        <w:jc w:val="both"/>
        <w:ind w:left="900" w:hanging="244"/>
        <w:spacing w:after="0" w:line="231" w:lineRule="auto"/>
        <w:tabs>
          <w:tab w:leader="none" w:pos="97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8"/>
          <w:szCs w:val="18"/>
          <w:color w:val="auto"/>
        </w:rPr>
      </w:pPr>
    </w:p>
    <w:p>
      <w:pPr>
        <w:ind w:left="900" w:hanging="244"/>
        <w:spacing w:after="0" w:line="237" w:lineRule="auto"/>
        <w:tabs>
          <w:tab w:leader="none" w:pos="108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Times New Roman" w:cs="Times New Roman" w:eastAsia="Times New Roman" w:hAnsi="Times New Roman"/>
          <w:sz w:val="18"/>
          <w:szCs w:val="18"/>
          <w:color w:val="auto"/>
        </w:rPr>
      </w:pPr>
    </w:p>
    <w:p>
      <w:pPr>
        <w:jc w:val="both"/>
        <w:ind w:left="900" w:hanging="244"/>
        <w:spacing w:after="0" w:line="226" w:lineRule="auto"/>
        <w:tabs>
          <w:tab w:leader="none" w:pos="97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Times New Roman" w:cs="Times New Roman" w:eastAsia="Times New Roman" w:hAnsi="Times New Roman"/>
          <w:sz w:val="18"/>
          <w:szCs w:val="18"/>
          <w:color w:val="auto"/>
        </w:rPr>
      </w:pPr>
    </w:p>
    <w:p>
      <w:pPr>
        <w:ind w:left="280" w:hanging="272"/>
        <w:spacing w:after="0" w:line="237" w:lineRule="auto"/>
        <w:tabs>
          <w:tab w:leader="none" w:pos="3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8"/>
          <w:szCs w:val="18"/>
          <w:color w:val="auto"/>
        </w:rPr>
      </w:pPr>
    </w:p>
    <w:p>
      <w:pPr>
        <w:ind w:left="900" w:hanging="244"/>
        <w:spacing w:after="0" w:line="250" w:lineRule="auto"/>
        <w:tabs>
          <w:tab w:leader="none" w:pos="11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900" w:hanging="244"/>
        <w:spacing w:after="0" w:line="237" w:lineRule="auto"/>
        <w:tabs>
          <w:tab w:leader="none" w:pos="104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August 15, 2022</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26035</wp:posOffset>
            </wp:positionV>
            <wp:extent cx="24517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Chris Hulls</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914"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Burke , certify that:</w:t>
      </w:r>
    </w:p>
    <w:p>
      <w:pPr>
        <w:spacing w:after="0" w:line="198"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Life360, Inc. (the “registrant”);</w:t>
      </w:r>
    </w:p>
    <w:p>
      <w:pPr>
        <w:spacing w:after="0" w:line="184" w:lineRule="exact"/>
        <w:rPr>
          <w:rFonts w:ascii="Times New Roman" w:cs="Times New Roman" w:eastAsia="Times New Roman" w:hAnsi="Times New Roman"/>
          <w:sz w:val="18"/>
          <w:szCs w:val="18"/>
          <w:color w:val="auto"/>
        </w:rPr>
      </w:pPr>
    </w:p>
    <w:p>
      <w:pPr>
        <w:jc w:val="both"/>
        <w:ind w:left="280" w:hanging="272"/>
        <w:spacing w:after="0" w:line="231" w:lineRule="auto"/>
        <w:tabs>
          <w:tab w:leader="none" w:pos="3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280" w:hanging="272"/>
        <w:spacing w:after="0" w:line="237" w:lineRule="auto"/>
        <w:tabs>
          <w:tab w:leader="none" w:pos="3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8"/>
          <w:szCs w:val="18"/>
          <w:color w:val="auto"/>
        </w:rPr>
      </w:pPr>
    </w:p>
    <w:p>
      <w:pPr>
        <w:ind w:left="280" w:hanging="272"/>
        <w:spacing w:after="0" w:line="237" w:lineRule="auto"/>
        <w:tabs>
          <w:tab w:leader="none" w:pos="4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58" w:lineRule="exact"/>
        <w:rPr>
          <w:rFonts w:ascii="Times New Roman" w:cs="Times New Roman" w:eastAsia="Times New Roman" w:hAnsi="Times New Roman"/>
          <w:sz w:val="18"/>
          <w:szCs w:val="18"/>
          <w:color w:val="auto"/>
        </w:rPr>
      </w:pPr>
    </w:p>
    <w:p>
      <w:pPr>
        <w:jc w:val="both"/>
        <w:ind w:left="900" w:hanging="244"/>
        <w:spacing w:after="0" w:line="231" w:lineRule="auto"/>
        <w:tabs>
          <w:tab w:leader="none" w:pos="97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8"/>
          <w:szCs w:val="18"/>
          <w:color w:val="auto"/>
        </w:rPr>
      </w:pPr>
    </w:p>
    <w:p>
      <w:pPr>
        <w:ind w:left="900" w:hanging="244"/>
        <w:spacing w:after="0" w:line="250" w:lineRule="auto"/>
        <w:tabs>
          <w:tab w:leader="none" w:pos="108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jc w:val="both"/>
        <w:ind w:left="900" w:hanging="244"/>
        <w:spacing w:after="0" w:line="226" w:lineRule="auto"/>
        <w:tabs>
          <w:tab w:leader="none" w:pos="97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Times New Roman" w:cs="Times New Roman" w:eastAsia="Times New Roman" w:hAnsi="Times New Roman"/>
          <w:sz w:val="18"/>
          <w:szCs w:val="18"/>
          <w:color w:val="auto"/>
        </w:rPr>
      </w:pPr>
    </w:p>
    <w:p>
      <w:pPr>
        <w:ind w:left="280" w:hanging="272"/>
        <w:spacing w:after="0" w:line="237" w:lineRule="auto"/>
        <w:tabs>
          <w:tab w:leader="none" w:pos="3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8"/>
          <w:szCs w:val="18"/>
          <w:color w:val="auto"/>
        </w:rPr>
      </w:pPr>
    </w:p>
    <w:p>
      <w:pPr>
        <w:ind w:left="900" w:hanging="244"/>
        <w:spacing w:after="0" w:line="250" w:lineRule="auto"/>
        <w:tabs>
          <w:tab w:leader="none" w:pos="11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900" w:hanging="244"/>
        <w:spacing w:after="0" w:line="237" w:lineRule="auto"/>
        <w:tabs>
          <w:tab w:leader="none" w:pos="104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August 15, 2022</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26035</wp:posOffset>
            </wp:positionV>
            <wp:extent cx="24517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7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Russell Burke</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130"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accompanying Quarterly Report of Life360, Inc. (the “Company”), on Form 10-Q for the quarter ended June 30, 2022 (the</w:t>
      </w:r>
    </w:p>
    <w:p>
      <w:pPr>
        <w:spacing w:after="0" w:line="205" w:lineRule="auto"/>
        <w:rPr>
          <w:sz w:val="20"/>
          <w:szCs w:val="20"/>
          <w:color w:val="auto"/>
        </w:rPr>
      </w:pPr>
      <w:r>
        <w:rPr>
          <w:rFonts w:ascii="Times New Roman" w:cs="Times New Roman" w:eastAsia="Times New Roman" w:hAnsi="Times New Roman"/>
          <w:sz w:val="18"/>
          <w:szCs w:val="18"/>
          <w:color w:val="auto"/>
        </w:rPr>
        <w:t>“Report”), I, Chris Hulls, Chief Executive Officer of the Company, hereby certify pursuant to 18 U.S.C. § 1350, as adopted pursuant to § 906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 to my knowledge: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right="340" w:hanging="644"/>
        <w:spacing w:after="0" w:line="237" w:lineRule="auto"/>
        <w:tabs>
          <w:tab w:leader="none" w:pos="12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August 15, 2022</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4517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Chris Hulls</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3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accompanying Quarterly Report of Life360, Inc. (the “Company”), on Form 10-Q for the quarter ended June 30, 2022 (the</w:t>
      </w:r>
    </w:p>
    <w:p>
      <w:pPr>
        <w:spacing w:after="0" w:line="205" w:lineRule="auto"/>
        <w:rPr>
          <w:sz w:val="20"/>
          <w:szCs w:val="20"/>
          <w:color w:val="auto"/>
        </w:rPr>
      </w:pPr>
      <w:r>
        <w:rPr>
          <w:rFonts w:ascii="Times New Roman" w:cs="Times New Roman" w:eastAsia="Times New Roman" w:hAnsi="Times New Roman"/>
          <w:sz w:val="18"/>
          <w:szCs w:val="18"/>
          <w:color w:val="auto"/>
        </w:rPr>
        <w:t>“Report”), I, Russell Burke, Chief Financial Officer of the Company, hereby certify pursuant to 18 U.S.C. § 1350, as adopted pursuant to § 906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 to my knowledge: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hanging="644"/>
        <w:spacing w:after="0" w:line="237" w:lineRule="auto"/>
        <w:tabs>
          <w:tab w:leader="none" w:pos="12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920" w:val="left"/>
          <w:tab w:leader="none" w:pos="592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August 15, 2022</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26035</wp:posOffset>
            </wp:positionV>
            <wp:extent cx="24517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Russell Burke</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1"/>
    </w:lvl>
  </w:abstractNum>
  <w:abstractNum w:abstractNumId="11">
    <w:nsid w:val="4E6AFB66"/>
    <w:multiLevelType w:val="hybridMultilevel"/>
    <w:lvl w:ilvl="0">
      <w:lvlJc w:val="left"/>
      <w:lvlText w:val="(%1)"/>
      <w:numFmt w:val="lowerRoman"/>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2022-08-15T18:41:04Z</dcterms:created>
  <dcterms:modified xsi:type="dcterms:W3CDTF">2022-08-15T18:41:04Z</dcterms:modified>
</cp:coreProperties>
</file>