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26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06/20/2024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3,978</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31.25</w:t>
            </w:r>
          </w:p>
        </w:tc>
        <w:tc>
          <w:tcPr>
            <w:tcW w:w="124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0000FF"/>
              </w:rPr>
              <w:t>1,821,674</w:t>
            </w:r>
            <w:r>
              <w:rPr>
                <w:rFonts w:ascii="Times New Roman" w:cs="Times New Roman" w:eastAsia="Times New Roman" w:hAnsi="Times New Roman"/>
                <w:sz w:val="22"/>
                <w:szCs w:val="22"/>
                <w:color w:val="008000"/>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1,846</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75,696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45,425 shares of the Issuer's common stock underlying 136,275 CDIs. The number of shares sold and held as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2024-06-24T14:56:43Z</dcterms:created>
  <dcterms:modified xsi:type="dcterms:W3CDTF">2024-06-24T14:56:43Z</dcterms:modified>
</cp:coreProperties>
</file>