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Life360,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000-42120</w:t>
      </w:r>
    </w:p>
    <w:p>
      <w:pPr>
        <w:spacing w:after="0" w:line="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26-0197666</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3">
            <w:col w:w="4660" w:space="620"/>
            <w:col w:w="2240" w:space="720"/>
            <w:col w:w="300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1900 South Norfolk Street, Suite 310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Mateo, CA 94403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484-5244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45"/>
        </w:trPr>
        <w:tc>
          <w:tcPr>
            <w:tcW w:w="5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5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LIF</w:t>
            </w:r>
          </w:p>
        </w:tc>
        <w:tc>
          <w:tcPr>
            <w:tcW w:w="100" w:type="dxa"/>
            <w:vAlign w:val="bottom"/>
          </w:tcPr>
          <w:p>
            <w:pPr>
              <w:spacing w:after="0"/>
              <w:rPr>
                <w:sz w:val="20"/>
                <w:szCs w:val="20"/>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Indenture and Notes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June 5, 2025, Life360, Inc. (the “Company”) issued $320,000,000 aggregate principal amount of its 0.00% Convertible Senior Notes due 2030 (the “Notes”). The Notes were issued pursuant to, and are governed by, an indenture (the “Indenture”), dated as of June 5, 2025, between the Company and U.S. Bank Trust Company, National Association, as trustee (the “Trustee”). Pursuant to the purchase agreement between the Company and the representatives of the initial purchasers of the Notes, the Company granted the initial purchasers an option to purchase, for settlement within a period of 13 days from, and including, the date the Notes are first issued, up to an additional $45,000,000 aggregate principal amount of Notes. The Notes issued on June 5, 2025 include the full exercise of such option by the initial purchasers.</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Notes will be the Company’s senior, unsecured obligations and will be (i) equal in right of payment with the Company’s existing and future senior, unsecured indebtedness; (ii) senior in right of payment to the Company’s existing and future indebtedness that is expressly subordinated to the Notes; (iii) effectively subordinated to the Company’s existing and future secured indebtedness, to the extent of the value of the collateral securing that indebtedness; and (iv) structurally subordinated to all existing and future indebtedness and other liabilities, including trade payables, and (to the extent the Company is not a holder thereof) preferred equity, if any, of the Company’s subsidiaries.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Notes will not bear regular interest, and the principal amount of the Notes will not accrete. The Notes will mature on June 1, 2030, unless earlier repurchased, redeemed or converted. Before March 1, 2030, noteholders will have the right to convert their Notes only upon the occurrence of certain events. From and after March 1, 2030, noteholders may convert their Notes at any time at their election until the close of business on the second scheduled trading day immediately before the maturity date. The Company will have the right to elect to settle conversions either entirely in cash or in a combination of cash and shares of its common stock. The kind and amount of consideration due upon conversion will be determined based on the conversion value of the Notes, measured proportionately for each trading day in an “Observation Period” (as defined in the Indenture) consisting of 40 trading days, and settled following the completion of that Observation Period. The consideration due in respect of each trading day in the Observation Period will consist of cash, up to at least the proportional amount of the principal amount being converted, and any excess of the proportional conversion value for that trading day that will not be settled in cash will be settled in shares of the Company’s common stock. The initial conversion rate is 12.3501 shares of the Company’s common stock per $1,000 principal amount of the Notes, which represents an initial conversion price of approximately $80.97 per share of the Company’s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w:t>
      </w:r>
    </w:p>
    <w:p>
      <w:pPr>
        <w:spacing w:after="0" w:line="18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Notes will be redeemable, in whole or in part (subject to certain limitations described below), at the Company’s option at any time, and from time to time, on or after June 5, 2028 and on or before the 40th scheduled trading day immediately before the maturity date, but only if (i) the Notes are “Freely Tradable” (as defined in the Indenture) as of the date the Company sends the related redemption notice, and all accrued and unpaid additional interest, if any, has been paid in full, as of the most recent interest payment date occurring on or before the date the Company sends the related redemption notice; and</w:t>
      </w:r>
    </w:p>
    <w:p>
      <w:pPr>
        <w:spacing w:after="0" w:line="3" w:lineRule="exact"/>
        <w:rPr>
          <w:sz w:val="20"/>
          <w:szCs w:val="20"/>
          <w:color w:val="auto"/>
        </w:rPr>
      </w:pPr>
    </w:p>
    <w:p>
      <w:pPr>
        <w:ind w:right="100" w:firstLine="8"/>
        <w:spacing w:after="0" w:line="251"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reported sale price per share of the Company’s common stock exceeds 130% of the conversion price on (1) each of at least 20 trading days, whether or not consecutive, during the 30 consecutive trading days ending on, and including, the trading day immediately before the date the Company sends such redemption notice; and (2) the trading day immediately before the date the Company sends such redemption notice. However, the Company may not redeem less than all of the outstanding Notes unless at least $50.0 million aggregate principal amount of the Notes are outstanding and not called for redemption as of the time the Company sends the related redemption notice. The redemption price will be a cash amount equal to the principal amount of the Notes to be redeemed, plus accrued and unpaid interest, if any,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spacing w:after="0" w:line="261" w:lineRule="auto"/>
        <w:rPr>
          <w:sz w:val="20"/>
          <w:szCs w:val="20"/>
          <w:color w:val="auto"/>
        </w:rPr>
      </w:pPr>
      <w:r>
        <w:rPr>
          <w:rFonts w:ascii="Times New Roman" w:cs="Times New Roman" w:eastAsia="Times New Roman" w:hAnsi="Times New Roman"/>
          <w:sz w:val="18"/>
          <w:szCs w:val="18"/>
          <w:color w:val="auto"/>
        </w:rPr>
        <w:t>If certain corporate events that constitute a “Fundamental Change” (as defined in the Indenture) occur, then, subject to a limited exception, noteholders may require the Company to repurchase their Notes at a cash repurchase price equal to the principal amount of the Notes to be repurchased, plus accrued and unpaid interest, if any, to, but excluding, the fundamental change repurchase date. The definition of Fundamental Change includes certain business combination transactions involving the Company and certain de-listing events with respect to the Company’s common stock.</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Notes will have customary provisions relating to the occurrence of “Events of Default” (as defined in the Indenture), which include the following: (i) certain payment defaults on the Notes (which, in the case of a default in the payment of interest on the Notes, will be subject to a 30-day cure period); (ii) the Company’s failure to send certain notices under the Indenture within specified periods of time; (iii) the Company’s failure to convert a Note upon the exercise of a conversion right with respect thereto; (iv)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(v) a default by the Company in its other obligations or agreements under the Indenture or the Notes if such default is not cured or waived within 60 days after notice is given in accordance with the Indenture; (vi) certain defaults by the Company or any of its significant subsidiaries with respect to indebtedness for borrowed money of at least $80,000,000; and (vii) certain events of bankruptcy, insolvency and reorganization involving the Company or any of its significant subsidiaries.</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an Event of Default involving bankruptcy, insolvency or reorganization events with respect to the Company (and not solely with respect to a significant subsidiary of the Company) occurs, then the principal amount of, and all accrued and unpaid interest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by notice to the Company and the Trustee, may declare the principal amount of, and all accrued and unpaid interest on, all of the Notes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 consists exclusively of the right of the noteholders to receive special interest on the Notes for up to 365 days at a specified rate per annum not exceeding 0.50% on the principal amount of the Notes.</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above description of the Indenture and the Notes is a summary and is not complete. A copy of the Indenture and the form of the certificate representing the Notes are filed as Exhibits 4.1 and 4.2, respectively, to this Current Report on Form 8-K, and the above summary is qualified by reference to the terms of the Indenture and the Notes set forth in such Exhibits.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Capped Call Transactions</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June 2, 2025, in connection with the pricing of the offering of Notes, the Company entered into privately negotiated capped call transactions (the “Base Capped Call Transactions”) with certain of the initial purchasers or their affiliates and certain other financial institutions (the “Option Counterparties”). In addition, on June 3, 2025, in connection with the initial purchasers’ exercise of their option to purchase additional Notes, the Company entered into additional capped call transactions (the “Additional Capped Call Transactions,” and, together with the Base Capped Call Transactions, the “Capped Call Transactions”) with each of the Option Counterparties. The Capped Call Transactions cover, subject to customary anti-dilution adjustments, the aggregate number of shares of the Company’s common stock that initially underlie the Notes, and are expected generally to reduce potential dilution to the Company’s common stock upon any conversion of Notes and/or offset any cash payments the Company is required to make in excess of the principal amount of converted Notes, as the case may be, with such reduction and/or offset subject to a cap, based on the cap price of the Capped Call Transactions. The cap price of the Capped Call Transactions is initially approximately $122.22, which represents a premium of 100% over the last reported sale price of the Company’s common stock on June 2, 2025. The cost of the Capped Call Transactions was approximately $33.7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ind w:right="120"/>
        <w:spacing w:after="0" w:line="266" w:lineRule="auto"/>
        <w:rPr>
          <w:sz w:val="20"/>
          <w:szCs w:val="20"/>
          <w:color w:val="auto"/>
        </w:rPr>
      </w:pPr>
      <w:r>
        <w:rPr>
          <w:rFonts w:ascii="Times New Roman" w:cs="Times New Roman" w:eastAsia="Times New Roman" w:hAnsi="Times New Roman"/>
          <w:sz w:val="18"/>
          <w:szCs w:val="18"/>
          <w:color w:val="auto"/>
        </w:rPr>
        <w:t>The Capped Call Transactions are separate transactions, each between the Company and the applicable Option Counterparty, and are not part of the terms of the Notes and will not affect any holder’s rights under the Notes or the Indenture. Holders of the Notes will not have any rights with respect to the Capped Call Transactions.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above description of the Capped Call Transactions is a summary and is not complete. A copy of the form of the Capped Call Confirmations is filed as Exhibit 10.1 to this Current Report on Form 8-K, and the above summary is qualified by reference to the terms of the confirmations set forth in such Exhibit.</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in Item 1.01 above is incorporated by reference into this Item 2.03.</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disclosure set forth in Item 1.01 above is incorporated by reference into this Item 3.02. The Notes were issued to the initial purchasers in reliance upon Section 4(a)(2) of the Securities Act of 1933, as amended (the “Securities Act”), in transactions not involving any public offering. The Notes were resold by the initial purchasers to persons whom the initial purchasers reasonably believe are “qualified institutional buyers,” as defined in, and in accordance with, Rule 144A under the Securities Act. Any shares of the Company’s common stock that may be issued upon conversion of the Notes will be issued in reliance upon Section 3(a)(9) of the Securities Act as involving an exchange by the Company exclusively with its security holders. Initially, a maximum of 3,952,032 shares of the Company’s common stock may be issued upon conversion of the Notes, based on the initial maximum conversion rate of 12.3501 shares of common stock per $1,000 principal amount of Notes, which is subject to customary anti-dilution adjustment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 w:name="page5"/>
    <w:bookmarkEnd w:id="4"/>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80"/>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7"/>
          <w:szCs w:val="17"/>
          <w:b w:val="1"/>
          <w:bCs w:val="1"/>
          <w:color w:val="auto"/>
        </w:rPr>
        <w:t>Description of Exhibits</w:t>
      </w:r>
    </w:p>
    <w:p>
      <w:pPr>
        <w:spacing w:after="0" w:line="2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u w:val="single" w:color="auto"/>
          <w:color w:val="0000EE"/>
        </w:rPr>
        <w:t>4.1</w:t>
      </w:r>
      <w:r>
        <w:rPr>
          <w:sz w:val="20"/>
          <w:szCs w:val="20"/>
          <w:color w:val="auto"/>
        </w:rPr>
        <w:tab/>
      </w:r>
      <w:r>
        <w:rPr>
          <w:rFonts w:ascii="Times New Roman" w:cs="Times New Roman" w:eastAsia="Times New Roman" w:hAnsi="Times New Roman"/>
          <w:sz w:val="17"/>
          <w:szCs w:val="17"/>
          <w:color w:val="auto"/>
        </w:rPr>
        <w:t>Indenture, dated as of June 5, 2025, between Life360, Inc. and U.S. Bank Trust Company, National Association, as trustee.</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u w:val="single" w:color="auto"/>
          <w:color w:val="0000EE"/>
        </w:rPr>
        <w:t>4.2</w:t>
      </w:r>
      <w:r>
        <w:rPr>
          <w:sz w:val="20"/>
          <w:szCs w:val="20"/>
          <w:color w:val="auto"/>
        </w:rPr>
        <w:tab/>
      </w:r>
      <w:r>
        <w:rPr>
          <w:rFonts w:ascii="Times New Roman" w:cs="Times New Roman" w:eastAsia="Times New Roman" w:hAnsi="Times New Roman"/>
          <w:sz w:val="17"/>
          <w:szCs w:val="17"/>
          <w:color w:val="auto"/>
        </w:rPr>
        <w:t>Form of certificate representing the 0.00% Convertible Senior Notes due 2030 (included as Exhibit A to Exhibit 4.1).</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color w:val="auto"/>
        </w:rPr>
        <w:t>Form of Capped Call Confirmations.</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5" w:name="page6"/>
    <w:bookmarkEnd w:id="5"/>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2025</w:t>
      </w:r>
    </w:p>
    <w:p>
      <w:pPr>
        <w:spacing w:after="0" w:line="225" w:lineRule="exact"/>
        <w:rPr>
          <w:sz w:val="20"/>
          <w:szCs w:val="20"/>
          <w:color w:val="auto"/>
        </w:rPr>
      </w:pPr>
    </w:p>
    <w:p>
      <w:pPr>
        <w:ind w:left="5080"/>
        <w:spacing w:after="0"/>
        <w:tabs>
          <w:tab w:leader="none" w:pos="5600" w:val="left"/>
        </w:tabs>
        <w:rPr>
          <w:sz w:val="20"/>
          <w:szCs w:val="20"/>
          <w:color w:val="auto"/>
        </w:rPr>
      </w:pPr>
      <w:r>
        <w:rPr>
          <w:rFonts w:ascii="Times New Roman" w:cs="Times New Roman" w:eastAsia="Times New Roman" w:hAnsi="Times New Roman"/>
          <w:sz w:val="18"/>
          <w:szCs w:val="18"/>
          <w:color w:val="auto"/>
        </w:rPr>
        <w:t>By:</w:t>
        <w:tab/>
        <w:t>/s/ 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Russell Burke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17" w:right="8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U.S. BANK TRUST COMPANY, NATIONAL ASSOCIATION</w:t>
      </w:r>
    </w:p>
    <w:p>
      <w:pPr>
        <w:spacing w:after="0" w:line="24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154305</wp:posOffset>
            </wp:positionV>
            <wp:extent cx="17830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Dated as of June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205740</wp:posOffset>
            </wp:positionV>
            <wp:extent cx="17830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0.00% Convertible Senior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600" w:type="dxa"/>
            <w:vAlign w:val="bottom"/>
          </w:tcPr>
          <w:p>
            <w:pPr>
              <w:spacing w:after="0"/>
              <w:rPr>
                <w:sz w:val="20"/>
                <w:szCs w:val="20"/>
                <w:color w:val="auto"/>
              </w:rPr>
            </w:pPr>
          </w:p>
        </w:tc>
        <w:tc>
          <w:tcPr>
            <w:tcW w:w="914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00" w:type="dxa"/>
            <w:vAlign w:val="bottom"/>
            <w:shd w:val="clear" w:color="auto" w:fill="CCEEFF"/>
          </w:tcPr>
          <w:p>
            <w:pPr>
              <w:spacing w:after="0"/>
              <w:rPr>
                <w:sz w:val="17"/>
                <w:szCs w:val="17"/>
                <w:color w:val="auto"/>
              </w:rPr>
            </w:pPr>
          </w:p>
        </w:tc>
        <w:tc>
          <w:tcPr>
            <w:tcW w:w="91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Page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74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 DEFINITIONS; RULES OF CONSTRUCTION</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1.01</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010000"/>
              </w:rPr>
              <w:t>Section 1.02</w:t>
            </w:r>
          </w:p>
        </w:tc>
        <w:tc>
          <w:tcPr>
            <w:tcW w:w="9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Definitions.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 xml:space="preserve">Section 1.03   </w:t>
            </w:r>
            <w:r>
              <w:rPr>
                <w:rFonts w:ascii="Times New Roman" w:cs="Times New Roman" w:eastAsia="Times New Roman" w:hAnsi="Times New Roman"/>
                <w:sz w:val="18"/>
                <w:szCs w:val="18"/>
                <w:color w:val="000000"/>
              </w:rPr>
              <w:t>Rules of Construction.</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2. THE NOTES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 xml:space="preserve">Section 2.01   </w:t>
            </w:r>
            <w:r>
              <w:rPr>
                <w:rFonts w:ascii="Times New Roman" w:cs="Times New Roman" w:eastAsia="Times New Roman" w:hAnsi="Times New Roman"/>
                <w:sz w:val="18"/>
                <w:szCs w:val="18"/>
                <w:color w:val="000000"/>
              </w:rPr>
              <w:t>Form, Dating and Denominations.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010000"/>
              </w:rPr>
              <w:t xml:space="preserve">Section 2.02   </w:t>
            </w:r>
            <w:r>
              <w:rPr>
                <w:rFonts w:ascii="Times New Roman" w:cs="Times New Roman" w:eastAsia="Times New Roman" w:hAnsi="Times New Roman"/>
                <w:sz w:val="18"/>
                <w:szCs w:val="18"/>
                <w:color w:val="000000"/>
              </w:rPr>
              <w:t>Execution, Authentication and Delivery.</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 xml:space="preserve">Section 2.03   </w:t>
            </w:r>
            <w:r>
              <w:rPr>
                <w:rFonts w:ascii="Times New Roman" w:cs="Times New Roman" w:eastAsia="Times New Roman" w:hAnsi="Times New Roman"/>
                <w:sz w:val="18"/>
                <w:szCs w:val="18"/>
                <w:color w:val="000000"/>
              </w:rPr>
              <w:t>Initial Notes and Additional Notes.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010000"/>
              </w:rPr>
              <w:t xml:space="preserve">Section 2.04   </w:t>
            </w:r>
            <w:r>
              <w:rPr>
                <w:rFonts w:ascii="Times New Roman" w:cs="Times New Roman" w:eastAsia="Times New Roman" w:hAnsi="Times New Roman"/>
                <w:sz w:val="18"/>
                <w:szCs w:val="18"/>
                <w:color w:val="000000"/>
              </w:rPr>
              <w:t>Method of Payment.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740" w:type="dxa"/>
            <w:vAlign w:val="bottom"/>
            <w:gridSpan w:val="2"/>
            <w:shd w:val="clear" w:color="auto" w:fill="CCEEFF"/>
          </w:tcPr>
          <w:p>
            <w:pPr>
              <w:ind w:left="580"/>
              <w:spacing w:after="0" w:line="198" w:lineRule="exact"/>
              <w:rPr>
                <w:sz w:val="20"/>
                <w:szCs w:val="20"/>
                <w:color w:val="auto"/>
              </w:rPr>
            </w:pPr>
            <w:r>
              <w:rPr>
                <w:rFonts w:ascii="Times New Roman" w:cs="Times New Roman" w:eastAsia="Times New Roman" w:hAnsi="Times New Roman"/>
                <w:sz w:val="18"/>
                <w:szCs w:val="18"/>
                <w:color w:val="010000"/>
              </w:rPr>
              <w:t xml:space="preserve">Section 2.05   </w:t>
            </w:r>
            <w:r>
              <w:rPr>
                <w:rFonts w:ascii="Times New Roman" w:cs="Times New Roman" w:eastAsia="Times New Roman" w:hAnsi="Times New Roman"/>
                <w:sz w:val="18"/>
                <w:szCs w:val="18"/>
                <w:color w:val="000000"/>
              </w:rPr>
              <w:t>No Regular Interest; Accrual and Payment of Special Interest and Additional Interest; Defaulted Amounts; When Payment</w:t>
            </w:r>
          </w:p>
        </w:tc>
        <w:tc>
          <w:tcPr>
            <w:tcW w:w="50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00" w:type="dxa"/>
            <w:vAlign w:val="bottom"/>
            <w:shd w:val="clear" w:color="auto" w:fill="CCEEFF"/>
          </w:tcPr>
          <w:p>
            <w:pPr>
              <w:spacing w:after="0"/>
              <w:rPr>
                <w:sz w:val="20"/>
                <w:szCs w:val="20"/>
                <w:color w:val="auto"/>
              </w:rPr>
            </w:pP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Date is Not a Business Day.</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010000"/>
              </w:rPr>
              <w:t xml:space="preserve">Section 2.06   </w:t>
            </w:r>
            <w:r>
              <w:rPr>
                <w:rFonts w:ascii="Times New Roman" w:cs="Times New Roman" w:eastAsia="Times New Roman" w:hAnsi="Times New Roman"/>
                <w:sz w:val="18"/>
                <w:szCs w:val="18"/>
                <w:color w:val="000000"/>
              </w:rPr>
              <w:t>Registrar, Paying Agent and Conversion Agent.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 xml:space="preserve">Section 2.07   </w:t>
            </w:r>
            <w:r>
              <w:rPr>
                <w:rFonts w:ascii="Times New Roman" w:cs="Times New Roman" w:eastAsia="Times New Roman" w:hAnsi="Times New Roman"/>
                <w:sz w:val="18"/>
                <w:szCs w:val="18"/>
                <w:color w:val="000000"/>
              </w:rPr>
              <w:t>Paying Agent and Conversion Agent to Hold Property in Trust.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010000"/>
              </w:rPr>
              <w:t>Section 2.08</w:t>
            </w:r>
          </w:p>
        </w:tc>
        <w:tc>
          <w:tcPr>
            <w:tcW w:w="9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Holder Lists.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2.09</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Legends.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010000"/>
              </w:rPr>
              <w:t xml:space="preserve">Section 2.10   </w:t>
            </w:r>
            <w:r>
              <w:rPr>
                <w:rFonts w:ascii="Times New Roman" w:cs="Times New Roman" w:eastAsia="Times New Roman" w:hAnsi="Times New Roman"/>
                <w:sz w:val="18"/>
                <w:szCs w:val="18"/>
                <w:color w:val="000000"/>
              </w:rPr>
              <w:t>Transfers and Exchanges; Certain Transfer Restrictions.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740" w:type="dxa"/>
            <w:vAlign w:val="bottom"/>
            <w:gridSpan w:val="2"/>
            <w:shd w:val="clear" w:color="auto" w:fill="CCEEFF"/>
          </w:tcPr>
          <w:p>
            <w:pPr>
              <w:ind w:left="580"/>
              <w:spacing w:after="0" w:line="198" w:lineRule="exact"/>
              <w:rPr>
                <w:sz w:val="20"/>
                <w:szCs w:val="20"/>
                <w:color w:val="auto"/>
              </w:rPr>
            </w:pPr>
            <w:r>
              <w:rPr>
                <w:rFonts w:ascii="Times New Roman" w:cs="Times New Roman" w:eastAsia="Times New Roman" w:hAnsi="Times New Roman"/>
                <w:sz w:val="18"/>
                <w:szCs w:val="18"/>
                <w:color w:val="010000"/>
              </w:rPr>
              <w:t xml:space="preserve">Section 2.11   </w:t>
            </w:r>
            <w:r>
              <w:rPr>
                <w:rFonts w:ascii="Times New Roman" w:cs="Times New Roman" w:eastAsia="Times New Roman" w:hAnsi="Times New Roman"/>
                <w:sz w:val="18"/>
                <w:szCs w:val="18"/>
                <w:color w:val="000000"/>
              </w:rPr>
              <w:t>Exchange and Cancellation of Notes To Be Converted or To Be Repurchased Pursuant To a Repurchase Upon Fundamental</w:t>
            </w:r>
          </w:p>
        </w:tc>
        <w:tc>
          <w:tcPr>
            <w:tcW w:w="50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00" w:type="dxa"/>
            <w:vAlign w:val="bottom"/>
            <w:shd w:val="clear" w:color="auto" w:fill="CCEEFF"/>
          </w:tcPr>
          <w:p>
            <w:pPr>
              <w:spacing w:after="0"/>
              <w:rPr>
                <w:sz w:val="20"/>
                <w:szCs w:val="20"/>
                <w:color w:val="auto"/>
              </w:rPr>
            </w:pP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or Redemption.</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010000"/>
              </w:rPr>
              <w:t xml:space="preserve">Section 2.12   </w:t>
            </w:r>
            <w:r>
              <w:rPr>
                <w:rFonts w:ascii="Times New Roman" w:cs="Times New Roman" w:eastAsia="Times New Roman" w:hAnsi="Times New Roman"/>
                <w:sz w:val="18"/>
                <w:szCs w:val="18"/>
                <w:color w:val="000000"/>
              </w:rPr>
              <w:t>Removal of Transfer Restrictions.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2.13</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Replacement Notes.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010000"/>
              </w:rPr>
              <w:t xml:space="preserve">Section 2.14   </w:t>
            </w:r>
            <w:r>
              <w:rPr>
                <w:rFonts w:ascii="Times New Roman" w:cs="Times New Roman" w:eastAsia="Times New Roman" w:hAnsi="Times New Roman"/>
                <w:sz w:val="18"/>
                <w:szCs w:val="18"/>
                <w:color w:val="000000"/>
              </w:rPr>
              <w:t>Registered Holders; Certain Rights With Respect to Global Notes.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2.15</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Cancellation.</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010000"/>
              </w:rPr>
              <w:t xml:space="preserve">Section 2.16   </w:t>
            </w:r>
            <w:r>
              <w:rPr>
                <w:rFonts w:ascii="Times New Roman" w:cs="Times New Roman" w:eastAsia="Times New Roman" w:hAnsi="Times New Roman"/>
                <w:sz w:val="18"/>
                <w:szCs w:val="18"/>
                <w:color w:val="000000"/>
              </w:rPr>
              <w:t>Notes Held By the Company or Its Affiliates.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2.17</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Temporary Notes.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010000"/>
              </w:rPr>
              <w:t>Section 2.18</w:t>
            </w:r>
          </w:p>
        </w:tc>
        <w:tc>
          <w:tcPr>
            <w:tcW w:w="9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Outstanding Notes.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 xml:space="preserve">Section 2.19   </w:t>
            </w:r>
            <w:r>
              <w:rPr>
                <w:rFonts w:ascii="Times New Roman" w:cs="Times New Roman" w:eastAsia="Times New Roman" w:hAnsi="Times New Roman"/>
                <w:sz w:val="18"/>
                <w:szCs w:val="18"/>
                <w:color w:val="000000"/>
              </w:rPr>
              <w:t>Repurchases By the Company.</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010000"/>
              </w:rPr>
              <w:t xml:space="preserve">Section 2.20   </w:t>
            </w:r>
            <w:r>
              <w:rPr>
                <w:rFonts w:ascii="Times New Roman" w:cs="Times New Roman" w:eastAsia="Times New Roman" w:hAnsi="Times New Roman"/>
                <w:sz w:val="18"/>
                <w:szCs w:val="18"/>
                <w:color w:val="000000"/>
              </w:rPr>
              <w:t>CUSIP and ISIN Numbers.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COVENANTS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010000"/>
              </w:rPr>
              <w:t xml:space="preserve">Section 3.01   </w:t>
            </w:r>
            <w:r>
              <w:rPr>
                <w:rFonts w:ascii="Times New Roman" w:cs="Times New Roman" w:eastAsia="Times New Roman" w:hAnsi="Times New Roman"/>
                <w:sz w:val="18"/>
                <w:szCs w:val="18"/>
                <w:color w:val="000000"/>
              </w:rPr>
              <w:t>Payment on Notes.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 xml:space="preserve">Section 3.02   </w:t>
            </w:r>
            <w:r>
              <w:rPr>
                <w:rFonts w:ascii="Times New Roman" w:cs="Times New Roman" w:eastAsia="Times New Roman" w:hAnsi="Times New Roman"/>
                <w:sz w:val="18"/>
                <w:szCs w:val="18"/>
                <w:color w:val="000000"/>
              </w:rPr>
              <w:t>Exchange Act Reports.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010000"/>
              </w:rPr>
              <w:t xml:space="preserve">Section 3.03   </w:t>
            </w:r>
            <w:r>
              <w:rPr>
                <w:rFonts w:ascii="Times New Roman" w:cs="Times New Roman" w:eastAsia="Times New Roman" w:hAnsi="Times New Roman"/>
                <w:sz w:val="18"/>
                <w:szCs w:val="18"/>
                <w:color w:val="000000"/>
              </w:rPr>
              <w:t>Rule 144A Information.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3.04</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Interest.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010000"/>
              </w:rPr>
              <w:t xml:space="preserve">Section 3.05   </w:t>
            </w:r>
            <w:r>
              <w:rPr>
                <w:rFonts w:ascii="Times New Roman" w:cs="Times New Roman" w:eastAsia="Times New Roman" w:hAnsi="Times New Roman"/>
                <w:sz w:val="18"/>
                <w:szCs w:val="18"/>
                <w:color w:val="000000"/>
              </w:rPr>
              <w:t>Compliance and Default Certificates.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 xml:space="preserve">Section 3.06   </w:t>
            </w:r>
            <w:r>
              <w:rPr>
                <w:rFonts w:ascii="Times New Roman" w:cs="Times New Roman" w:eastAsia="Times New Roman" w:hAnsi="Times New Roman"/>
                <w:sz w:val="18"/>
                <w:szCs w:val="18"/>
                <w:color w:val="000000"/>
              </w:rPr>
              <w:t>Stay, Extension And Usury Laws.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010000"/>
              </w:rPr>
              <w:t xml:space="preserve">Section 3.07   </w:t>
            </w:r>
            <w:r>
              <w:rPr>
                <w:rFonts w:ascii="Times New Roman" w:cs="Times New Roman" w:eastAsia="Times New Roman" w:hAnsi="Times New Roman"/>
                <w:sz w:val="18"/>
                <w:szCs w:val="18"/>
                <w:color w:val="000000"/>
              </w:rPr>
              <w:t>Acquisition of Notes By the Company and Its Affiliates.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3.08</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Existence.</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4. REPURCHASE AND REDEMPTION</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 xml:space="preserve">Section 4.01   </w:t>
            </w:r>
            <w:r>
              <w:rPr>
                <w:rFonts w:ascii="Times New Roman" w:cs="Times New Roman" w:eastAsia="Times New Roman" w:hAnsi="Times New Roman"/>
                <w:sz w:val="18"/>
                <w:szCs w:val="18"/>
                <w:color w:val="000000"/>
              </w:rPr>
              <w:t>No Sinking Fund.</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010000"/>
              </w:rPr>
              <w:t xml:space="preserve">Section 4.02   </w:t>
            </w:r>
            <w:r>
              <w:rPr>
                <w:rFonts w:ascii="Times New Roman" w:cs="Times New Roman" w:eastAsia="Times New Roman" w:hAnsi="Times New Roman"/>
                <w:sz w:val="18"/>
                <w:szCs w:val="18"/>
                <w:color w:val="000000"/>
              </w:rPr>
              <w:t>Right of Holders to Require the Company to Repurchase Notes Upon a Fundamental Change.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 xml:space="preserve">Section 4.03   </w:t>
            </w:r>
            <w:r>
              <w:rPr>
                <w:rFonts w:ascii="Times New Roman" w:cs="Times New Roman" w:eastAsia="Times New Roman" w:hAnsi="Times New Roman"/>
                <w:sz w:val="18"/>
                <w:szCs w:val="18"/>
                <w:color w:val="000000"/>
              </w:rPr>
              <w:t>Right of the Company to Redeem the Notes.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5. THE CONVERSION OF NOTES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 xml:space="preserve">Section 5.01   </w:t>
            </w:r>
            <w:r>
              <w:rPr>
                <w:rFonts w:ascii="Times New Roman" w:cs="Times New Roman" w:eastAsia="Times New Roman" w:hAnsi="Times New Roman"/>
                <w:sz w:val="18"/>
                <w:szCs w:val="18"/>
                <w:color w:val="000000"/>
              </w:rPr>
              <w:t>Right to Convert.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010000"/>
              </w:rPr>
              <w:t>Section 5.02</w:t>
            </w:r>
          </w:p>
        </w:tc>
        <w:tc>
          <w:tcPr>
            <w:tcW w:w="9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Conversion Procedures.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 xml:space="preserve">Section 5.03   </w:t>
            </w:r>
            <w:r>
              <w:rPr>
                <w:rFonts w:ascii="Times New Roman" w:cs="Times New Roman" w:eastAsia="Times New Roman" w:hAnsi="Times New Roman"/>
                <w:sz w:val="18"/>
                <w:szCs w:val="18"/>
                <w:color w:val="000000"/>
              </w:rPr>
              <w:t>Settlement Upon Conversion.</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5.04</w:t>
            </w:r>
          </w:p>
        </w:tc>
        <w:tc>
          <w:tcPr>
            <w:tcW w:w="8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Reserve and Status of Common Stock Issued Upon Conversion.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010000"/>
              </w:rPr>
              <w:t>Section 5.05</w:t>
            </w:r>
          </w:p>
        </w:tc>
        <w:tc>
          <w:tcPr>
            <w:tcW w:w="8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Adjustments to the Conversion Rate.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5.06</w:t>
            </w:r>
          </w:p>
        </w:tc>
        <w:tc>
          <w:tcPr>
            <w:tcW w:w="8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Voluntary Adjustments.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010000"/>
              </w:rPr>
              <w:t>Section 5.07</w:t>
            </w:r>
          </w:p>
        </w:tc>
        <w:tc>
          <w:tcPr>
            <w:tcW w:w="8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Adjustments to the Conversion Rate in Connection With a Make-Whole Fundamental Change.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5.08</w:t>
            </w:r>
          </w:p>
        </w:tc>
        <w:tc>
          <w:tcPr>
            <w:tcW w:w="8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Exchange in Lieu of Conversion.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010000"/>
              </w:rPr>
              <w:t>Section 5.09</w:t>
            </w:r>
          </w:p>
        </w:tc>
        <w:tc>
          <w:tcPr>
            <w:tcW w:w="8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 of Common Stock Change Event.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40" w:type="dxa"/>
            <w:vAlign w:val="bottom"/>
            <w:gridSpan w:val="2"/>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SUCCESSORS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010000"/>
              </w:rPr>
              <w:t>Section 6.01</w:t>
            </w:r>
          </w:p>
        </w:tc>
        <w:tc>
          <w:tcPr>
            <w:tcW w:w="8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When the Company May Merge, Etc.</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6.02</w:t>
            </w:r>
          </w:p>
        </w:tc>
        <w:tc>
          <w:tcPr>
            <w:tcW w:w="8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Successor Entity Substituted.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010000"/>
              </w:rPr>
              <w:t>Section 6.03</w:t>
            </w:r>
          </w:p>
        </w:tc>
        <w:tc>
          <w:tcPr>
            <w:tcW w:w="8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Exclusion for Asset Transfers with Wholly Owned Subsidiaries.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40" w:type="dxa"/>
            <w:vAlign w:val="bottom"/>
            <w:gridSpan w:val="2"/>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DEFAULTS AND REMEDIES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010000"/>
              </w:rPr>
              <w:t>Section 7.01</w:t>
            </w:r>
          </w:p>
        </w:tc>
        <w:tc>
          <w:tcPr>
            <w:tcW w:w="8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Events of Default.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7.02</w:t>
            </w:r>
          </w:p>
        </w:tc>
        <w:tc>
          <w:tcPr>
            <w:tcW w:w="8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Acceleration.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010000"/>
              </w:rPr>
              <w:t>Section 7.03</w:t>
            </w:r>
          </w:p>
        </w:tc>
        <w:tc>
          <w:tcPr>
            <w:tcW w:w="8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Remedy for a Failure to Report.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7.04</w:t>
            </w:r>
          </w:p>
        </w:tc>
        <w:tc>
          <w:tcPr>
            <w:tcW w:w="8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Remedies.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010000"/>
              </w:rPr>
              <w:t>Section 7.05</w:t>
            </w:r>
          </w:p>
        </w:tc>
        <w:tc>
          <w:tcPr>
            <w:tcW w:w="8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 of Past Defaults.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7.06</w:t>
            </w:r>
          </w:p>
        </w:tc>
        <w:tc>
          <w:tcPr>
            <w:tcW w:w="8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Control by Majority.</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010000"/>
              </w:rPr>
              <w:t>Section 7.07</w:t>
            </w:r>
          </w:p>
        </w:tc>
        <w:tc>
          <w:tcPr>
            <w:tcW w:w="8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Limitation on Suits.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640" w:type="dxa"/>
            <w:vAlign w:val="bottom"/>
            <w:shd w:val="clear" w:color="auto" w:fill="CCEEFF"/>
          </w:tcPr>
          <w:p>
            <w:pPr>
              <w:ind w:left="580"/>
              <w:spacing w:after="0" w:line="198" w:lineRule="exact"/>
              <w:rPr>
                <w:sz w:val="20"/>
                <w:szCs w:val="20"/>
                <w:color w:val="auto"/>
              </w:rPr>
            </w:pPr>
            <w:r>
              <w:rPr>
                <w:rFonts w:ascii="Times New Roman" w:cs="Times New Roman" w:eastAsia="Times New Roman" w:hAnsi="Times New Roman"/>
                <w:sz w:val="18"/>
                <w:szCs w:val="18"/>
                <w:color w:val="010000"/>
              </w:rPr>
              <w:t>Section 7.08</w:t>
            </w:r>
          </w:p>
        </w:tc>
        <w:tc>
          <w:tcPr>
            <w:tcW w:w="880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Absolute Right of Holders to Institute Suit for the Enforcement of the Right to Receive Payment and Conversion</w:t>
            </w:r>
          </w:p>
        </w:tc>
        <w:tc>
          <w:tcPr>
            <w:tcW w:w="8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40" w:type="dxa"/>
            <w:vAlign w:val="bottom"/>
            <w:shd w:val="clear" w:color="auto" w:fill="CCEEFF"/>
          </w:tcPr>
          <w:p>
            <w:pPr>
              <w:spacing w:after="0"/>
              <w:rPr>
                <w:sz w:val="20"/>
                <w:szCs w:val="20"/>
                <w:color w:val="auto"/>
              </w:rPr>
            </w:pPr>
          </w:p>
        </w:tc>
        <w:tc>
          <w:tcPr>
            <w:tcW w:w="8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Consideration.</w:t>
            </w:r>
          </w:p>
        </w:tc>
        <w:tc>
          <w:tcPr>
            <w:tcW w:w="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010000"/>
              </w:rPr>
              <w:t>Section 7.09</w:t>
            </w:r>
          </w:p>
        </w:tc>
        <w:tc>
          <w:tcPr>
            <w:tcW w:w="8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Collection Suit by Trustee.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7.10</w:t>
            </w:r>
          </w:p>
        </w:tc>
        <w:tc>
          <w:tcPr>
            <w:tcW w:w="8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010000"/>
              </w:rPr>
              <w:t>Section 7.11</w:t>
            </w:r>
          </w:p>
        </w:tc>
        <w:tc>
          <w:tcPr>
            <w:tcW w:w="8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Priorities.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7.12</w:t>
            </w:r>
          </w:p>
        </w:tc>
        <w:tc>
          <w:tcPr>
            <w:tcW w:w="8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Undertaking for Costs.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010000"/>
              </w:rPr>
              <w:t>Section 7.13</w:t>
            </w:r>
          </w:p>
        </w:tc>
        <w:tc>
          <w:tcPr>
            <w:tcW w:w="8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Cure of Defaults; Ability to Cure or Waive Before Event of Default Occurs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40" w:type="dxa"/>
            <w:vAlign w:val="bottom"/>
            <w:gridSpan w:val="2"/>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AMENDMENTS, SUPPLEMENTS AND WAIVERS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010000"/>
              </w:rPr>
              <w:t>Section 8.01</w:t>
            </w:r>
          </w:p>
        </w:tc>
        <w:tc>
          <w:tcPr>
            <w:tcW w:w="8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Without the Consent Of Holders.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8.02</w:t>
            </w:r>
          </w:p>
        </w:tc>
        <w:tc>
          <w:tcPr>
            <w:tcW w:w="8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With the Consent of Holders.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010000"/>
              </w:rPr>
              <w:t>Section 8.03</w:t>
            </w:r>
          </w:p>
        </w:tc>
        <w:tc>
          <w:tcPr>
            <w:tcW w:w="8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 of Amendments, Supplements and Waivers.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8.04</w:t>
            </w:r>
          </w:p>
        </w:tc>
        <w:tc>
          <w:tcPr>
            <w:tcW w:w="8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Revocation, Effect and Solicitation of Consents; Special Record Dates; Etc.</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010000"/>
              </w:rPr>
              <w:t>Section 8.05</w:t>
            </w:r>
          </w:p>
        </w:tc>
        <w:tc>
          <w:tcPr>
            <w:tcW w:w="8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Notations and Exchanges.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8.06</w:t>
            </w:r>
          </w:p>
        </w:tc>
        <w:tc>
          <w:tcPr>
            <w:tcW w:w="8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Trustee to Execute Supplemental Indentures.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4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9. SATISFACTION AND DISCHARGE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9.01</w:t>
            </w:r>
          </w:p>
        </w:tc>
        <w:tc>
          <w:tcPr>
            <w:tcW w:w="8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Termination of Company’s Obligations.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010000"/>
              </w:rPr>
              <w:t>Section 9.02</w:t>
            </w:r>
          </w:p>
        </w:tc>
        <w:tc>
          <w:tcPr>
            <w:tcW w:w="8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Repayment to Company.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9.03</w:t>
            </w:r>
          </w:p>
        </w:tc>
        <w:tc>
          <w:tcPr>
            <w:tcW w:w="8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Reinstatement.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4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10. TRUSTEE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10.01</w:t>
            </w:r>
          </w:p>
        </w:tc>
        <w:tc>
          <w:tcPr>
            <w:tcW w:w="8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Duties of the Trustee.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010000"/>
              </w:rPr>
              <w:t>Section 10.02</w:t>
            </w:r>
          </w:p>
        </w:tc>
        <w:tc>
          <w:tcPr>
            <w:tcW w:w="8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Rights of the Trustee.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10.03</w:t>
            </w:r>
          </w:p>
        </w:tc>
        <w:tc>
          <w:tcPr>
            <w:tcW w:w="8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Individual Rights of the Trustee.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010000"/>
              </w:rPr>
              <w:t>Section 10.04</w:t>
            </w:r>
          </w:p>
        </w:tc>
        <w:tc>
          <w:tcPr>
            <w:tcW w:w="8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Trustee’s Disclaimer.</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10.05</w:t>
            </w:r>
          </w:p>
        </w:tc>
        <w:tc>
          <w:tcPr>
            <w:tcW w:w="8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Notice of Defaults.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010000"/>
              </w:rPr>
              <w:t>Section 10.06</w:t>
            </w:r>
          </w:p>
        </w:tc>
        <w:tc>
          <w:tcPr>
            <w:tcW w:w="8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Compensation and Indemnity.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10.07</w:t>
            </w:r>
          </w:p>
        </w:tc>
        <w:tc>
          <w:tcPr>
            <w:tcW w:w="8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Replacement of the Trustee.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010000"/>
              </w:rPr>
              <w:t>Section 10.08</w:t>
            </w:r>
          </w:p>
        </w:tc>
        <w:tc>
          <w:tcPr>
            <w:tcW w:w="8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Successor Trustee By Merger, Etc.</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10.09</w:t>
            </w:r>
          </w:p>
        </w:tc>
        <w:tc>
          <w:tcPr>
            <w:tcW w:w="8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9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11. MISCELLANEOUS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11.01</w:t>
            </w:r>
          </w:p>
        </w:tc>
        <w:tc>
          <w:tcPr>
            <w:tcW w:w="7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010000"/>
              </w:rPr>
              <w:t>Section 11.02</w:t>
            </w:r>
          </w:p>
        </w:tc>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Delivery of Officer’s Certificate and Opinion of Counsel As To Conditions Precedent.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11.03</w:t>
            </w:r>
          </w:p>
        </w:tc>
        <w:tc>
          <w:tcPr>
            <w:tcW w:w="7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Statements Required in Officer’s Certificate and Opinion of Counsel.</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010000"/>
              </w:rPr>
              <w:t>Section 11.04</w:t>
            </w:r>
          </w:p>
        </w:tc>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Rules by the Trustee, the Registrar, the Paying Agent and the Conversion Agent.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11.05</w:t>
            </w:r>
          </w:p>
        </w:tc>
        <w:tc>
          <w:tcPr>
            <w:tcW w:w="7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 Personal Liability of Directors, Officers, Employees and Stockholders.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010000"/>
              </w:rPr>
              <w:t>Section 11.06</w:t>
            </w:r>
          </w:p>
        </w:tc>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 Waiver of Jury Trial.</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11.07</w:t>
            </w:r>
          </w:p>
        </w:tc>
        <w:tc>
          <w:tcPr>
            <w:tcW w:w="7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Submission to Jurisdiction.</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010000"/>
              </w:rPr>
              <w:t>Section 11.08</w:t>
            </w:r>
          </w:p>
        </w:tc>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11.09</w:t>
            </w:r>
          </w:p>
        </w:tc>
        <w:tc>
          <w:tcPr>
            <w:tcW w:w="7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Successors.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010000"/>
              </w:rPr>
              <w:t>Section 11.10</w:t>
            </w:r>
          </w:p>
        </w:tc>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Force Majeure.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11.11</w:t>
            </w:r>
          </w:p>
        </w:tc>
        <w:tc>
          <w:tcPr>
            <w:tcW w:w="7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U.S.A. Patriot Act.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010000"/>
              </w:rPr>
              <w:t>Section 11.12</w:t>
            </w:r>
          </w:p>
        </w:tc>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Calculations.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11.13</w:t>
            </w:r>
          </w:p>
        </w:tc>
        <w:tc>
          <w:tcPr>
            <w:tcW w:w="7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010000"/>
              </w:rPr>
              <w:t>Section 11.14</w:t>
            </w:r>
          </w:p>
        </w:tc>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010000"/>
              </w:rPr>
              <w:t>Section 11.15</w:t>
            </w:r>
          </w:p>
        </w:tc>
        <w:tc>
          <w:tcPr>
            <w:tcW w:w="7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Table of Contents, Headings, Etc.</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010000"/>
              </w:rPr>
              <w:t>Section 11.16</w:t>
            </w:r>
          </w:p>
        </w:tc>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Withholding Taxes.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7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00" w:type="dxa"/>
            <w:vAlign w:val="bottom"/>
            <w:tcBorders>
              <w:top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A:</w:t>
            </w:r>
          </w:p>
        </w:tc>
        <w:tc>
          <w:tcPr>
            <w:tcW w:w="7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Form of Note</w:t>
            </w:r>
          </w:p>
        </w:tc>
        <w:tc>
          <w:tcPr>
            <w:tcW w:w="1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B-1:</w:t>
            </w:r>
          </w:p>
        </w:tc>
        <w:tc>
          <w:tcPr>
            <w:tcW w:w="7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Form of Restricted Note Legend</w:t>
            </w:r>
          </w:p>
        </w:tc>
        <w:tc>
          <w:tcPr>
            <w:tcW w:w="1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B-2:</w:t>
            </w:r>
          </w:p>
        </w:tc>
        <w:tc>
          <w:tcPr>
            <w:tcW w:w="7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Form of Global Note Legend</w:t>
            </w:r>
          </w:p>
        </w:tc>
        <w:tc>
          <w:tcPr>
            <w:tcW w:w="1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B-3:</w:t>
            </w:r>
          </w:p>
        </w:tc>
        <w:tc>
          <w:tcPr>
            <w:tcW w:w="7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Form of Non-Affiliate Legend</w:t>
            </w:r>
          </w:p>
        </w:tc>
        <w:tc>
          <w:tcPr>
            <w:tcW w:w="1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INDENTURE, </w:t>
      </w:r>
      <w:r>
        <w:rPr>
          <w:rFonts w:ascii="Times New Roman" w:cs="Times New Roman" w:eastAsia="Times New Roman" w:hAnsi="Times New Roman"/>
          <w:sz w:val="18"/>
          <w:szCs w:val="18"/>
          <w:color w:val="auto"/>
        </w:rPr>
        <w:t>dated as of June 5, 2025, between Life360, Inc., a Delaware corporation, as issuer (the</w:t>
      </w:r>
      <w:r>
        <w:rPr>
          <w:rFonts w:ascii="Times New Roman" w:cs="Times New Roman" w:eastAsia="Times New Roman" w:hAnsi="Times New Roman"/>
          <w:sz w:val="18"/>
          <w:szCs w:val="18"/>
          <w:b w:val="1"/>
          <w:bCs w:val="1"/>
          <w:color w:val="auto"/>
        </w:rPr>
        <w:t xml:space="preserve"> “Company”</w:t>
      </w:r>
      <w:r>
        <w:rPr>
          <w:rFonts w:ascii="Times New Roman" w:cs="Times New Roman" w:eastAsia="Times New Roman" w:hAnsi="Times New Roman"/>
          <w:sz w:val="18"/>
          <w:szCs w:val="18"/>
          <w:color w:val="auto"/>
        </w:rPr>
        <w:t>), and U.S. Bank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Each party to this Indenture (as defined below) agrees as follows for the benefit of the other party and for the equal and ratable benefit of the Holders (as defined below) of the Company’s 0.00% Convertible Senior Notes due 2030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 RULES OF CONSTRUCTION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1.01</w:t>
      </w:r>
      <w:r>
        <w:rPr>
          <w:sz w:val="20"/>
          <w:szCs w:val="20"/>
          <w:color w:val="auto"/>
        </w:rPr>
        <w:tab/>
      </w: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“Additional Interest” </w:t>
      </w:r>
      <w:r>
        <w:rPr>
          <w:rFonts w:ascii="Times New Roman" w:cs="Times New Roman" w:eastAsia="Times New Roman" w:hAnsi="Times New Roman"/>
          <w:sz w:val="18"/>
          <w:szCs w:val="18"/>
          <w:color w:val="auto"/>
        </w:rPr>
        <w:t>means any interest that accrues on any Note pursuant to</w:t>
      </w:r>
      <w:r>
        <w:rPr>
          <w:rFonts w:ascii="Times New Roman" w:cs="Times New Roman" w:eastAsia="Times New Roman" w:hAnsi="Times New Roman"/>
          <w:sz w:val="18"/>
          <w:szCs w:val="18"/>
          <w:b w:val="1"/>
          <w:bCs w:val="1"/>
          <w:color w:val="auto"/>
        </w:rPr>
        <w:t xml:space="preserve"> Section 3.04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has the meaning set forth in Rule 144 as in effect on the Issue Date.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“Authorized Denomination” </w:t>
      </w:r>
      <w:r>
        <w:rPr>
          <w:rFonts w:ascii="Times New Roman" w:cs="Times New Roman" w:eastAsia="Times New Roman" w:hAnsi="Times New Roman"/>
          <w:sz w:val="18"/>
          <w:szCs w:val="18"/>
          <w:color w:val="auto"/>
        </w:rPr>
        <w:t>means, with respect to a Note, a principal amount thereof equal to $1,000 or any integral multiple of $1,000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excess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“Bankruptcy Law” </w:t>
      </w:r>
      <w:r>
        <w:rPr>
          <w:rFonts w:ascii="Times New Roman" w:cs="Times New Roman" w:eastAsia="Times New Roman" w:hAnsi="Times New Roman"/>
          <w:sz w:val="18"/>
          <w:szCs w:val="18"/>
          <w:color w:val="auto"/>
        </w:rPr>
        <w:t>means Title 11, United States Code, or any similar U.S. federal or state or non-U.S. law for the relief of debtors.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“Bid Solicitation Agent” </w:t>
      </w:r>
      <w:r>
        <w:rPr>
          <w:rFonts w:ascii="Times New Roman" w:cs="Times New Roman" w:eastAsia="Times New Roman" w:hAnsi="Times New Roman"/>
          <w:sz w:val="18"/>
          <w:szCs w:val="18"/>
          <w:color w:val="auto"/>
        </w:rPr>
        <w:t>means the Person who is required to obtain bids for the Trading Price in accordance with</w:t>
      </w:r>
      <w:r>
        <w:rPr>
          <w:rFonts w:ascii="Times New Roman" w:cs="Times New Roman" w:eastAsia="Times New Roman" w:hAnsi="Times New Roman"/>
          <w:sz w:val="18"/>
          <w:szCs w:val="18"/>
          <w:b w:val="1"/>
          <w:bCs w:val="1"/>
          <w:color w:val="auto"/>
        </w:rPr>
        <w:t xml:space="preserve"> Section 5.01(C)(i)(2)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definition of “Trading Price.” The initial Bid Solicitation Agent on the Issue Date will be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may appoint any other Person (including any of the Company’s Subsidiaries) to be the Bid Solicitation Agent at any time after the Issue Date without prior notice.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“Board of Directors” </w:t>
      </w:r>
      <w:r>
        <w:rPr>
          <w:rFonts w:ascii="Times New Roman" w:cs="Times New Roman" w:eastAsia="Times New Roman" w:hAnsi="Times New Roman"/>
          <w:sz w:val="18"/>
          <w:szCs w:val="18"/>
          <w:color w:val="auto"/>
        </w:rPr>
        <w:t>means the board of directors of the Company or a committee of such board duly authorized to act on behalf of such board.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means any day other than a Saturday, a Sunday or any day on which the Federal Reserve Bank of New York or place of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authorized or required by law or executive order to close or be closed.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“Capital Stock” </w:t>
      </w:r>
      <w:r>
        <w:rPr>
          <w:rFonts w:ascii="Times New Roman" w:cs="Times New Roman" w:eastAsia="Times New Roman" w:hAnsi="Times New Roman"/>
          <w:sz w:val="18"/>
          <w:szCs w:val="18"/>
          <w:color w:val="auto"/>
        </w:rPr>
        <w:t>of any Person means any and all shares of, interests in, rights to purchase, warrants or options for, participations in,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of, in each case however designated, the equity of such Person, but excluding any debt securities convertible into, or exchangeable for, such equity.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“Close of Business” </w:t>
      </w:r>
      <w:r>
        <w:rPr>
          <w:rFonts w:ascii="Times New Roman" w:cs="Times New Roman" w:eastAsia="Times New Roman" w:hAnsi="Times New Roman"/>
          <w:sz w:val="18"/>
          <w:szCs w:val="18"/>
          <w:color w:val="auto"/>
        </w:rPr>
        <w:t>means 5:00 p.m., New York City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8"/>
          <w:szCs w:val="18"/>
          <w:color w:val="auto"/>
        </w:rPr>
        <w:t>means the common stock, $0.001 par value per share, of the Company, subject to</w:t>
      </w:r>
      <w:r>
        <w:rPr>
          <w:rFonts w:ascii="Times New Roman" w:cs="Times New Roman" w:eastAsia="Times New Roman" w:hAnsi="Times New Roman"/>
          <w:sz w:val="18"/>
          <w:szCs w:val="18"/>
          <w:b w:val="1"/>
          <w:bCs w:val="1"/>
          <w:color w:val="auto"/>
        </w:rPr>
        <w:t xml:space="preserve"> Section 5.09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means the Person named as such in the first paragraph of this Indenture and, subject to</w:t>
      </w:r>
      <w:r>
        <w:rPr>
          <w:rFonts w:ascii="Times New Roman" w:cs="Times New Roman" w:eastAsia="Times New Roman" w:hAnsi="Times New Roman"/>
          <w:sz w:val="18"/>
          <w:szCs w:val="18"/>
          <w:b w:val="1"/>
          <w:bCs w:val="1"/>
          <w:color w:val="auto"/>
        </w:rPr>
        <w:t xml:space="preserve"> Article 6</w:t>
      </w:r>
      <w:r>
        <w:rPr>
          <w:rFonts w:ascii="Times New Roman" w:cs="Times New Roman" w:eastAsia="Times New Roman" w:hAnsi="Times New Roman"/>
          <w:sz w:val="18"/>
          <w:szCs w:val="18"/>
          <w:color w:val="auto"/>
        </w:rPr>
        <w:t>, its successors and assigns.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“Company Order” </w:t>
      </w:r>
      <w:r>
        <w:rPr>
          <w:rFonts w:ascii="Times New Roman" w:cs="Times New Roman" w:eastAsia="Times New Roman" w:hAnsi="Times New Roman"/>
          <w:sz w:val="18"/>
          <w:szCs w:val="18"/>
          <w:color w:val="auto"/>
        </w:rPr>
        <w:t>means a written request or order signed on behalf of the Company by one (1) of its Officers and delivered to the Trustee.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“Conversion” </w:t>
      </w:r>
      <w:r>
        <w:rPr>
          <w:rFonts w:ascii="Times New Roman" w:cs="Times New Roman" w:eastAsia="Times New Roman" w:hAnsi="Times New Roman"/>
          <w:sz w:val="18"/>
          <w:szCs w:val="18"/>
          <w:color w:val="auto"/>
        </w:rPr>
        <w:t>means, with respect to any Note, the conversion of such note pursuant to</w:t>
      </w:r>
      <w:r>
        <w:rPr>
          <w:rFonts w:ascii="Times New Roman" w:cs="Times New Roman" w:eastAsia="Times New Roman" w:hAnsi="Times New Roman"/>
          <w:sz w:val="18"/>
          <w:szCs w:val="18"/>
          <w:b w:val="1"/>
          <w:bCs w:val="1"/>
          <w:color w:val="auto"/>
        </w:rPr>
        <w:t xml:space="preserve"> Article 5 </w:t>
      </w:r>
      <w:r>
        <w:rPr>
          <w:rFonts w:ascii="Times New Roman" w:cs="Times New Roman" w:eastAsia="Times New Roman" w:hAnsi="Times New Roman"/>
          <w:sz w:val="18"/>
          <w:szCs w:val="18"/>
          <w:color w:val="auto"/>
        </w:rPr>
        <w:t>into Conversion Consideration.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 “Converted,” “Convertible,” “Converting” and similar capitalized terms have meanings correlative to the foregoing.</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“Conversion Date” </w:t>
      </w:r>
      <w:r>
        <w:rPr>
          <w:rFonts w:ascii="Times New Roman" w:cs="Times New Roman" w:eastAsia="Times New Roman" w:hAnsi="Times New Roman"/>
          <w:sz w:val="18"/>
          <w:szCs w:val="18"/>
          <w:color w:val="auto"/>
        </w:rPr>
        <w:t>means, with respect to a Note, the first Business Day on which the requirements set forth in</w:t>
      </w:r>
      <w:r>
        <w:rPr>
          <w:rFonts w:ascii="Times New Roman" w:cs="Times New Roman" w:eastAsia="Times New Roman" w:hAnsi="Times New Roman"/>
          <w:sz w:val="18"/>
          <w:szCs w:val="18"/>
          <w:b w:val="1"/>
          <w:bCs w:val="1"/>
          <w:color w:val="auto"/>
        </w:rPr>
        <w:t xml:space="preserve"> Section 5.02(A) </w:t>
      </w:r>
      <w:r>
        <w:rPr>
          <w:rFonts w:ascii="Times New Roman" w:cs="Times New Roman" w:eastAsia="Times New Roman" w:hAnsi="Times New Roman"/>
          <w:sz w:val="18"/>
          <w:szCs w:val="18"/>
          <w:color w:val="auto"/>
        </w:rPr>
        <w:t>to Convert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 are satisfied.</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“Conversion Price” </w:t>
      </w:r>
      <w:r>
        <w:rPr>
          <w:rFonts w:ascii="Times New Roman" w:cs="Times New Roman" w:eastAsia="Times New Roman" w:hAnsi="Times New Roman"/>
          <w:sz w:val="18"/>
          <w:szCs w:val="18"/>
          <w:color w:val="auto"/>
        </w:rPr>
        <w:t>means, as of any time, an amount equal to (A) one thousand dollars ($1,000)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 the Conversion Rate in effect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time.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“Conversion Rate” </w:t>
      </w:r>
      <w:r>
        <w:rPr>
          <w:rFonts w:ascii="Times New Roman" w:cs="Times New Roman" w:eastAsia="Times New Roman" w:hAnsi="Times New Roman"/>
          <w:sz w:val="18"/>
          <w:szCs w:val="18"/>
          <w:color w:val="auto"/>
        </w:rPr>
        <w:t>initially means 12.3501 shares of Common Stock per $1,000 principal amount of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Conversion Rate is subject to adjustment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whenever this Indenture refers to the Conversion Rate as of a particular date without setting forth a particular time on such date, such reference will be deemed to be to the Conversion Rate immediately after the Close of Business on such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“Conversion Share” </w:t>
      </w:r>
      <w:r>
        <w:rPr>
          <w:rFonts w:ascii="Times New Roman" w:cs="Times New Roman" w:eastAsia="Times New Roman" w:hAnsi="Times New Roman"/>
          <w:sz w:val="18"/>
          <w:szCs w:val="18"/>
          <w:color w:val="auto"/>
        </w:rPr>
        <w:t>means any share of Common Stock issued or issuable upon Conversion of any Note.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“Daily Cash Amount” </w:t>
      </w:r>
      <w:r>
        <w:rPr>
          <w:rFonts w:ascii="Times New Roman" w:cs="Times New Roman" w:eastAsia="Times New Roman" w:hAnsi="Times New Roman"/>
          <w:sz w:val="18"/>
          <w:szCs w:val="18"/>
          <w:color w:val="auto"/>
        </w:rPr>
        <w:t>means, with respect to any VWAP Trading Day, the lesser of (A) the applicable Daily Maximum Cash Amount; and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Daily Conversion Value for such VWAP Trading Day.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“Daily Conversion Value” </w:t>
      </w:r>
      <w:r>
        <w:rPr>
          <w:rFonts w:ascii="Times New Roman" w:cs="Times New Roman" w:eastAsia="Times New Roman" w:hAnsi="Times New Roman"/>
          <w:sz w:val="18"/>
          <w:szCs w:val="18"/>
          <w:color w:val="auto"/>
        </w:rPr>
        <w:t>means, with respect to any VWAP Trading Day, one-fortieth (1/40th) of the product of (A) the Conversion Rate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VWAP Trading Day; and (B) the Daily VWAP per share of Common Stock on such VWAP Trading Day.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“Daily Maximum Cash Amount” </w:t>
      </w:r>
      <w:r>
        <w:rPr>
          <w:rFonts w:ascii="Times New Roman" w:cs="Times New Roman" w:eastAsia="Times New Roman" w:hAnsi="Times New Roman"/>
          <w:sz w:val="18"/>
          <w:szCs w:val="18"/>
          <w:color w:val="auto"/>
        </w:rPr>
        <w:t>means, with respect to the Conversion of any Note, the quotient obtained by dividing (A) the Specified Dollar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applicable to such Conversion by (B) forty (40).</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“Daily Share Amount” </w:t>
      </w:r>
      <w:r>
        <w:rPr>
          <w:rFonts w:ascii="Times New Roman" w:cs="Times New Roman" w:eastAsia="Times New Roman" w:hAnsi="Times New Roman"/>
          <w:sz w:val="18"/>
          <w:szCs w:val="18"/>
          <w:color w:val="auto"/>
        </w:rPr>
        <w:t>means, with respect to any VWAP Trading Day, the quotient obtained by dividing (A) the excess, if any, of the Daily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Value for such VWAP Trading Day over the applicable Daily Maximum Cash Amount by (B) the Daily VWAP for such VWAP Trading Day. For the avoidance of doubt, the Daily Share Amount will be zero for such VWAP Trading Day if such Daily Conversion Value does not exceed such Daily Maximum Cash Amount.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“Daily VWAP” </w:t>
      </w:r>
      <w:r>
        <w:rPr>
          <w:rFonts w:ascii="Times New Roman" w:cs="Times New Roman" w:eastAsia="Times New Roman" w:hAnsi="Times New Roman"/>
          <w:sz w:val="18"/>
          <w:szCs w:val="18"/>
          <w:color w:val="auto"/>
        </w:rPr>
        <w:t>means, for any VWAP Trading Day, the per share volume-weighted average price of the Common Stock as displayed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heading “Bloomberg VWAP” on Bloomberg page “LIF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which may be any of the Initial Purchasers). The Daily VWAP will be determined without regard to after-hours trading or any other trading outside of the regular trading session.</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“De-Legending Deadline Date” </w:t>
      </w:r>
      <w:r>
        <w:rPr>
          <w:rFonts w:ascii="Times New Roman" w:cs="Times New Roman" w:eastAsia="Times New Roman" w:hAnsi="Times New Roman"/>
          <w:sz w:val="18"/>
          <w:szCs w:val="18"/>
          <w:color w:val="auto"/>
        </w:rPr>
        <w:t>means, with respect to any Note, the fifteenth (15th) day after the Free Trade Date of such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if such fifteenth (15th) day is after an Interest Record Date and before the fifth (5th) Business Day immediately after the next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Date, then the De-Legending Deadline Date for such Note will instead be the fifth (5th) Business Day immediately after such Interest Payment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“Default” </w:t>
      </w:r>
      <w:r>
        <w:rPr>
          <w:rFonts w:ascii="Times New Roman" w:cs="Times New Roman" w:eastAsia="Times New Roman" w:hAnsi="Times New Roman"/>
          <w:sz w:val="18"/>
          <w:szCs w:val="18"/>
          <w:color w:val="auto"/>
        </w:rPr>
        <w:t>means any event that is (or, after notice, passage of time or both, would be) an Event of Default.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“Default Settlement Method” </w:t>
      </w:r>
      <w:r>
        <w:rPr>
          <w:rFonts w:ascii="Times New Roman" w:cs="Times New Roman" w:eastAsia="Times New Roman" w:hAnsi="Times New Roman"/>
          <w:sz w:val="18"/>
          <w:szCs w:val="18"/>
          <w:color w:val="auto"/>
        </w:rPr>
        <w:t>means Combination Settlement with a Specified Dollar Amount of $1,000 per $1,000 principal amount of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(x)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5.03(A)(iii)</w:t>
      </w:r>
      <w:r>
        <w:rPr>
          <w:rFonts w:ascii="Times New Roman" w:cs="Times New Roman" w:eastAsia="Times New Roman" w:hAnsi="Times New Roman"/>
          <w:sz w:val="18"/>
          <w:szCs w:val="18"/>
          <w:color w:val="auto"/>
        </w:rPr>
        <w:t>, the Company may, from time to time, change the Default Settlement Method, to any Settlement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Method that the Company is then permitted to elect, by sending notice of the new Default Settlement Method to the Holders, the Trustee and the Conversion Agent; and (y) the Default Settlement Method will be subject to </w:t>
      </w:r>
      <w:r>
        <w:rPr>
          <w:rFonts w:ascii="Times New Roman" w:cs="Times New Roman" w:eastAsia="Times New Roman" w:hAnsi="Times New Roman"/>
          <w:sz w:val="18"/>
          <w:szCs w:val="18"/>
          <w:b w:val="1"/>
          <w:bCs w:val="1"/>
          <w:color w:val="auto"/>
        </w:rPr>
        <w:t>Section 5.03(A)(ii)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“Depositary” </w:t>
      </w:r>
      <w:r>
        <w:rPr>
          <w:rFonts w:ascii="Times New Roman" w:cs="Times New Roman" w:eastAsia="Times New Roman" w:hAnsi="Times New Roman"/>
          <w:sz w:val="18"/>
          <w:szCs w:val="18"/>
          <w:color w:val="auto"/>
        </w:rPr>
        <w:t>means The Depository Trust Company or its successor.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“Depositary Participant” </w:t>
      </w:r>
      <w:r>
        <w:rPr>
          <w:rFonts w:ascii="Times New Roman" w:cs="Times New Roman" w:eastAsia="Times New Roman" w:hAnsi="Times New Roman"/>
          <w:sz w:val="18"/>
          <w:szCs w:val="18"/>
          <w:color w:val="auto"/>
        </w:rPr>
        <w:t>means any member of, or participant in, the Depositary.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“Depositary Procedures” </w:t>
      </w:r>
      <w:r>
        <w:rPr>
          <w:rFonts w:ascii="Times New Roman" w:cs="Times New Roman" w:eastAsia="Times New Roman" w:hAnsi="Times New Roman"/>
          <w:sz w:val="18"/>
          <w:szCs w:val="18"/>
          <w:color w:val="auto"/>
        </w:rPr>
        <w:t>means, with respect to any Conversion, transfer, exchange or other transaction involving a Global Note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beneficial interest therein, the rules and procedures of the Depositary applicable to such Conversion, transfer, exchange or transaction.</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“Ex-Dividend Date” </w:t>
      </w:r>
      <w:r>
        <w:rPr>
          <w:rFonts w:ascii="Times New Roman" w:cs="Times New Roman" w:eastAsia="Times New Roman" w:hAnsi="Times New Roman"/>
          <w:sz w:val="18"/>
          <w:szCs w:val="18"/>
          <w:color w:val="auto"/>
        </w:rPr>
        <w:t>means, with respect to an issuance, dividend or distribution on the Common Stock, the first date on which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“Exchange Act” </w:t>
      </w:r>
      <w:r>
        <w:rPr>
          <w:rFonts w:ascii="Times New Roman" w:cs="Times New Roman" w:eastAsia="Times New Roman" w:hAnsi="Times New Roman"/>
          <w:sz w:val="18"/>
          <w:szCs w:val="18"/>
          <w:color w:val="auto"/>
        </w:rPr>
        <w:t>means the U.S. Securities Exchange Act of 1934,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“Exempted Fundamental Change” </w:t>
      </w:r>
      <w:r>
        <w:rPr>
          <w:rFonts w:ascii="Times New Roman" w:cs="Times New Roman" w:eastAsia="Times New Roman" w:hAnsi="Times New Roman"/>
          <w:sz w:val="18"/>
          <w:szCs w:val="18"/>
          <w:color w:val="auto"/>
        </w:rPr>
        <w:t>means any Fundamental Change with respect to which, in accordance with</w:t>
      </w:r>
      <w:r>
        <w:rPr>
          <w:rFonts w:ascii="Times New Roman" w:cs="Times New Roman" w:eastAsia="Times New Roman" w:hAnsi="Times New Roman"/>
          <w:sz w:val="18"/>
          <w:szCs w:val="18"/>
          <w:b w:val="1"/>
          <w:bCs w:val="1"/>
          <w:color w:val="auto"/>
        </w:rPr>
        <w:t xml:space="preserve"> Section 4.02(I)</w:t>
      </w:r>
      <w:r>
        <w:rPr>
          <w:rFonts w:ascii="Times New Roman" w:cs="Times New Roman" w:eastAsia="Times New Roman" w:hAnsi="Times New Roman"/>
          <w:sz w:val="18"/>
          <w:szCs w:val="18"/>
          <w:color w:val="auto"/>
        </w:rPr>
        <w:t>,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offer to repurchase any Notes.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“Free Trade Date” </w:t>
      </w:r>
      <w:r>
        <w:rPr>
          <w:rFonts w:ascii="Times New Roman" w:cs="Times New Roman" w:eastAsia="Times New Roman" w:hAnsi="Times New Roman"/>
          <w:sz w:val="18"/>
          <w:szCs w:val="18"/>
          <w:color w:val="auto"/>
        </w:rPr>
        <w:t>means, with respect to any Note, the date that is one (1) year after the Last Original Issue Date of such Note.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“Freely Tradable” </w:t>
      </w:r>
      <w:r>
        <w:rPr>
          <w:rFonts w:ascii="Times New Roman" w:cs="Times New Roman" w:eastAsia="Times New Roman" w:hAnsi="Times New Roman"/>
          <w:sz w:val="18"/>
          <w:szCs w:val="18"/>
          <w:color w:val="auto"/>
        </w:rPr>
        <w:t>means, with respect to any Note, that such Note would be eligible to be offered, sold or otherwise transferred pursuant to Rule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144 or otherwise if held by a Person that is not an Affiliate of the Company, and that has not been an Affiliate of the Company during the immediately preceding three (3) months, without any requirements as to volume, manner of sale, availability of current public information or notice under the Securities Act (except that, during the six (6) month period beginning on, and including, the date that is six (6) months after the Last Original Issue Date of such Note, any such requirement as to the availability of current public information will be disregarded if the same is satisfied at that time);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from and after the Free Trade Date of such Note, such Note will not be “Freely Tradable” unless such Note (x) is not identified by a “restricted” CUSIP or ISIN number; and (y) is not represented by any certificate that bears the Restricted Note Legend. For the avoidance of doubt, whether a Note is deemed to be identified by a “restricted” CUSIP or ISIN number or to bear the Restricted Note Legend is subject to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“Fundamental Change” </w:t>
      </w:r>
      <w:r>
        <w:rPr>
          <w:rFonts w:ascii="Times New Roman" w:cs="Times New Roman" w:eastAsia="Times New Roman" w:hAnsi="Times New Roman"/>
          <w:sz w:val="18"/>
          <w:szCs w:val="18"/>
          <w:color w:val="auto"/>
        </w:rPr>
        <w:t>means any of the following events:</w:t>
      </w:r>
    </w:p>
    <w:p>
      <w:pPr>
        <w:spacing w:after="0" w:line="229" w:lineRule="exact"/>
        <w:rPr>
          <w:sz w:val="20"/>
          <w:szCs w:val="20"/>
          <w:color w:val="auto"/>
        </w:rPr>
      </w:pPr>
    </w:p>
    <w:p>
      <w:pPr>
        <w:jc w:val="both"/>
        <w:ind w:firstLine="656"/>
        <w:spacing w:after="0" w:line="261" w:lineRule="auto"/>
        <w:tabs>
          <w:tab w:leader="none" w:pos="1436" w:val="left"/>
        </w:tabs>
        <w:numPr>
          <w:ilvl w:val="0"/>
          <w:numId w:val="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“person” or “group” (within the meaning of Section 13(d)(3) of the Exchange Act), other than the Company or its Wholly Owned Subsidiaries, or their respective employee benefit plans, files any report with the SEC indicating that such person or group has become the direct or indirect “beneficial owner” (as defined below) of shares of the Common Stock representing more than fifty percent (50%) of the voting power of all of the Common Stock;</w:t>
      </w:r>
    </w:p>
    <w:p>
      <w:pPr>
        <w:spacing w:after="0" w:line="179" w:lineRule="exact"/>
        <w:rPr>
          <w:rFonts w:ascii="Times New Roman" w:cs="Times New Roman" w:eastAsia="Times New Roman" w:hAnsi="Times New Roman"/>
          <w:sz w:val="18"/>
          <w:szCs w:val="18"/>
          <w:color w:val="010000"/>
        </w:rPr>
      </w:pPr>
    </w:p>
    <w:p>
      <w:pPr>
        <w:jc w:val="both"/>
        <w:ind w:firstLine="656"/>
        <w:spacing w:after="0" w:line="253" w:lineRule="auto"/>
        <w:tabs>
          <w:tab w:leader="none" w:pos="1395" w:val="left"/>
        </w:tabs>
        <w:numPr>
          <w:ilvl w:val="0"/>
          <w:numId w:val="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consummation of (i) any sale, lease or other transfer, in one transaction or a series of transactions, of all or substantially all of the assets of the Company and its Subsidiaries, taken as a whole, to any Person, other than solely to one or more of the Company’s Wholly Owned Subsidiaries; or (ii) 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merger, consolidation, share exchange or combination of the Company pursuant to which the Persons that directly or indirectly “beneficially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vis-a-vis each other as immediately before such transaction will be deemed not to be a Fundamental Change pursuant to this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Company’s stockholders approve any plan or proposal for the liquidation or dissolution of the Company;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ind w:firstLine="656"/>
        <w:spacing w:after="0" w:line="282" w:lineRule="auto"/>
        <w:tabs>
          <w:tab w:leader="none" w:pos="1348" w:val="left"/>
        </w:tabs>
        <w:numPr>
          <w:ilvl w:val="0"/>
          <w:numId w:val="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Common Stock ceases to be listed on any of the New York Stock Exchange, the Nasdaq Global Market or the Nasdaq Global Select Market (or any of their respective successors);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a transaction or event described in clause (A) or (B) above will not constitute a Fundamental Change if at least ninety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(90%) of the consideration received or to be received by the holders of Common Stock (excluding cash payments for fractional shares or pursuant to dissenters rights), in connection with such transaction or event, consists of shares of common stock or other corporate common equity interests listed (or depositary receipts representing shares of common stock or other corporate common equity interests, which depositary receipts are listed) on any of the New York Stock Exchange, the Nasdaq Global Market or the Nasdaq Global Select Market (or any of their respective successors), or that will be so listed when issued or exchanged in connection with such transaction or event, and such transaction or event constitutes a Common Stock Change Event whose Reference Property consists of such consideration.</w:t>
      </w:r>
    </w:p>
    <w:p>
      <w:pPr>
        <w:spacing w:after="0" w:line="18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For the purposes of this definition, (x) any transaction or event described in both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b w:val="1"/>
          <w:bCs w:val="1"/>
          <w:color w:val="auto"/>
        </w:rPr>
        <w:t>clause (B)(i)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above (without regard to the proviso in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will be deemed to occur solely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above (subject to such proviso); and (y) whether a Person is a </w:t>
      </w:r>
      <w:r>
        <w:rPr>
          <w:rFonts w:ascii="Times New Roman" w:cs="Times New Roman" w:eastAsia="Times New Roman" w:hAnsi="Times New Roman"/>
          <w:sz w:val="18"/>
          <w:szCs w:val="18"/>
          <w:b w:val="1"/>
          <w:bCs w:val="1"/>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whether shares are</w:t>
      </w:r>
      <w:r>
        <w:rPr>
          <w:rFonts w:ascii="Times New Roman" w:cs="Times New Roman" w:eastAsia="Times New Roman" w:hAnsi="Times New Roman"/>
          <w:sz w:val="18"/>
          <w:szCs w:val="18"/>
          <w:b w:val="1"/>
          <w:bCs w:val="1"/>
          <w:color w:val="auto"/>
        </w:rPr>
        <w:t xml:space="preserve"> “beneficially owned,” </w:t>
      </w:r>
      <w:r>
        <w:rPr>
          <w:rFonts w:ascii="Times New Roman" w:cs="Times New Roman" w:eastAsia="Times New Roman" w:hAnsi="Times New Roman"/>
          <w:sz w:val="18"/>
          <w:szCs w:val="18"/>
          <w:color w:val="auto"/>
        </w:rPr>
        <w:t>and percentage beneficial ownership, will be determined in accordance with Rule 13d-3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For the avoidance of doubt, references to the “Common Stock” and the Company’s “common equity” in this definition will be subject to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5.09(A)(i)</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“Fundamental Change Repurchase Date” </w:t>
      </w:r>
      <w:r>
        <w:rPr>
          <w:rFonts w:ascii="Times New Roman" w:cs="Times New Roman" w:eastAsia="Times New Roman" w:hAnsi="Times New Roman"/>
          <w:sz w:val="18"/>
          <w:szCs w:val="18"/>
          <w:color w:val="auto"/>
        </w:rPr>
        <w:t>means the date fixed for the repurchase of any Notes by the Company pursuant to a Repurchase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Fundamental Change.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“Fundamental Change Repurchase Notice” </w:t>
      </w:r>
      <w:r>
        <w:rPr>
          <w:rFonts w:ascii="Times New Roman" w:cs="Times New Roman" w:eastAsia="Times New Roman" w:hAnsi="Times New Roman"/>
          <w:sz w:val="18"/>
          <w:szCs w:val="18"/>
          <w:color w:val="auto"/>
        </w:rPr>
        <w:t>means a notice (including a notice substantially in the form of the “Fundamental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Repurchase Notice”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containing the information, or otherwise complying with the requirements, set forth in </w:t>
      </w:r>
      <w:r>
        <w:rPr>
          <w:rFonts w:ascii="Times New Roman" w:cs="Times New Roman" w:eastAsia="Times New Roman" w:hAnsi="Times New Roman"/>
          <w:sz w:val="18"/>
          <w:szCs w:val="18"/>
          <w:b w:val="1"/>
          <w:bCs w:val="1"/>
          <w:color w:val="auto"/>
        </w:rPr>
        <w:t>Section 4.02(F)(i)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4.02(F)(ii).</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“Fundamental Change Repurchase Price” </w:t>
      </w:r>
      <w:r>
        <w:rPr>
          <w:rFonts w:ascii="Times New Roman" w:cs="Times New Roman" w:eastAsia="Times New Roman" w:hAnsi="Times New Roman"/>
          <w:sz w:val="18"/>
          <w:szCs w:val="18"/>
          <w:color w:val="auto"/>
        </w:rPr>
        <w:t>means the cash price payable by the Company to repurchase any Note upon its Repurchase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Fundamental Change, calculated pursuant to </w:t>
      </w:r>
      <w:r>
        <w:rPr>
          <w:rFonts w:ascii="Times New Roman" w:cs="Times New Roman" w:eastAsia="Times New Roman" w:hAnsi="Times New Roman"/>
          <w:sz w:val="18"/>
          <w:szCs w:val="18"/>
          <w:b w:val="1"/>
          <w:bCs w:val="1"/>
          <w:color w:val="auto"/>
        </w:rPr>
        <w:t>Section 4.02(D).</w:t>
      </w:r>
    </w:p>
    <w:p>
      <w:pPr>
        <w:spacing w:after="0" w:line="155" w:lineRule="exact"/>
        <w:rPr>
          <w:sz w:val="20"/>
          <w:szCs w:val="20"/>
          <w:color w:val="auto"/>
        </w:rPr>
      </w:pPr>
    </w:p>
    <w:p>
      <w:pPr>
        <w:jc w:val="both"/>
        <w:ind w:firstLine="648"/>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“Global Note” </w:t>
      </w:r>
      <w:r>
        <w:rPr>
          <w:rFonts w:ascii="Times New Roman" w:cs="Times New Roman" w:eastAsia="Times New Roman" w:hAnsi="Times New Roman"/>
          <w:sz w:val="17"/>
          <w:szCs w:val="17"/>
          <w:color w:val="auto"/>
        </w:rPr>
        <w:t>means a Note that is represented by a certificate substantially in the form set forth in</w:t>
      </w:r>
      <w:r>
        <w:rPr>
          <w:rFonts w:ascii="Times New Roman" w:cs="Times New Roman" w:eastAsia="Times New Roman" w:hAnsi="Times New Roman"/>
          <w:sz w:val="17"/>
          <w:szCs w:val="17"/>
          <w:b w:val="1"/>
          <w:bCs w:val="1"/>
          <w:color w:val="auto"/>
        </w:rPr>
        <w:t xml:space="preserve"> Exhibit A</w:t>
      </w:r>
      <w:r>
        <w:rPr>
          <w:rFonts w:ascii="Times New Roman" w:cs="Times New Roman" w:eastAsia="Times New Roman" w:hAnsi="Times New Roman"/>
          <w:sz w:val="17"/>
          <w:szCs w:val="17"/>
          <w:color w:val="auto"/>
        </w:rPr>
        <w:t>, registered in the name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Depositary or its nominee, duly executed by the Company and authenticated by the Trustee, and deposited with the Trustee, as custodian for the Depositary.</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“Global Note Legend” </w:t>
      </w:r>
      <w:r>
        <w:rPr>
          <w:rFonts w:ascii="Times New Roman" w:cs="Times New Roman" w:eastAsia="Times New Roman" w:hAnsi="Times New Roman"/>
          <w:sz w:val="18"/>
          <w:szCs w:val="18"/>
          <w:color w:val="auto"/>
        </w:rPr>
        <w:t>means a legend substantially in the form set forth in</w:t>
      </w:r>
      <w:r>
        <w:rPr>
          <w:rFonts w:ascii="Times New Roman" w:cs="Times New Roman" w:eastAsia="Times New Roman" w:hAnsi="Times New Roman"/>
          <w:sz w:val="18"/>
          <w:szCs w:val="18"/>
          <w:b w:val="1"/>
          <w:bCs w:val="1"/>
          <w:color w:val="auto"/>
        </w:rPr>
        <w:t xml:space="preserve"> Exhibit B-2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“Holder” </w:t>
      </w:r>
      <w:r>
        <w:rPr>
          <w:rFonts w:ascii="Times New Roman" w:cs="Times New Roman" w:eastAsia="Times New Roman" w:hAnsi="Times New Roman"/>
          <w:sz w:val="18"/>
          <w:szCs w:val="18"/>
          <w:color w:val="auto"/>
        </w:rPr>
        <w:t>means a person in whose name a Note is registered on the Registrar’s books.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“Indenture” </w:t>
      </w:r>
      <w:r>
        <w:rPr>
          <w:rFonts w:ascii="Times New Roman" w:cs="Times New Roman" w:eastAsia="Times New Roman" w:hAnsi="Times New Roman"/>
          <w:sz w:val="18"/>
          <w:szCs w:val="18"/>
          <w:color w:val="auto"/>
        </w:rPr>
        <w:t>means this Indenture, as amended or supplemented from time to time.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“Initial Purchasers” </w:t>
      </w:r>
      <w:r>
        <w:rPr>
          <w:rFonts w:ascii="Times New Roman" w:cs="Times New Roman" w:eastAsia="Times New Roman" w:hAnsi="Times New Roman"/>
          <w:sz w:val="18"/>
          <w:szCs w:val="18"/>
          <w:color w:val="auto"/>
        </w:rPr>
        <w:t>means Goldman Sachs &amp; Co. LLC, UBS Securities LLC, Evercore Group L.L.C., Canaccord Genuity LLC, Citizens JMP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LLC, Stifel, Nicolaus &amp; Company, Incorporated and Loop Capital Markets LLC.</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Payment Date” </w:t>
      </w:r>
      <w:r>
        <w:rPr>
          <w:rFonts w:ascii="Times New Roman" w:cs="Times New Roman" w:eastAsia="Times New Roman" w:hAnsi="Times New Roman"/>
          <w:sz w:val="18"/>
          <w:szCs w:val="18"/>
          <w:color w:val="auto"/>
        </w:rPr>
        <w:t>means, in respect of any Special Interest or Additional Interest that shall have become payable on the Notes, each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 and December 1 of each year. For the avoidance of doubt, the Maturity Date is an Interest Payment Date.</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Record Date” </w:t>
      </w:r>
      <w:r>
        <w:rPr>
          <w:rFonts w:ascii="Times New Roman" w:cs="Times New Roman" w:eastAsia="Times New Roman" w:hAnsi="Times New Roman"/>
          <w:sz w:val="18"/>
          <w:szCs w:val="18"/>
          <w:color w:val="auto"/>
        </w:rPr>
        <w:t>has the following meaning with respect to an Interest Payment Date: (A) if such Interest Payment Date occurs on June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immediately preceding May 15; and (B) if such Interest Payment Date occurs on December 1, the immediately preceding November 15.</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“Issue Date” </w:t>
      </w:r>
      <w:r>
        <w:rPr>
          <w:rFonts w:ascii="Times New Roman" w:cs="Times New Roman" w:eastAsia="Times New Roman" w:hAnsi="Times New Roman"/>
          <w:sz w:val="18"/>
          <w:szCs w:val="18"/>
          <w:color w:val="auto"/>
        </w:rPr>
        <w:t>means June 5, 2025.</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“Last Original Issue Date” </w:t>
      </w:r>
      <w:r>
        <w:rPr>
          <w:rFonts w:ascii="Times New Roman" w:cs="Times New Roman" w:eastAsia="Times New Roman" w:hAnsi="Times New Roman"/>
          <w:sz w:val="18"/>
          <w:szCs w:val="18"/>
          <w:color w:val="auto"/>
        </w:rPr>
        <w:t>means (A) with respect to any Notes issued pursuant to the Purchase Agreement (including any Notes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the exercise of the Shoe Option by the Initial Purchasers), and any Notes issued in exchange therefor or in substitution thereof, the later of (i) the Issue Date and (ii) the last date any Notes are originally issued pursuant to the exercise of the Shoe Option; and (B) with respect to any Notes issued pursuant to </w:t>
      </w:r>
      <w:r>
        <w:rPr>
          <w:rFonts w:ascii="Times New Roman" w:cs="Times New Roman" w:eastAsia="Times New Roman" w:hAnsi="Times New Roman"/>
          <w:sz w:val="18"/>
          <w:szCs w:val="18"/>
          <w:b w:val="1"/>
          <w:bCs w:val="1"/>
          <w:color w:val="auto"/>
        </w:rPr>
        <w:t>Section 2.03(B),</w:t>
      </w:r>
      <w:r>
        <w:rPr>
          <w:rFonts w:ascii="Times New Roman" w:cs="Times New Roman" w:eastAsia="Times New Roman" w:hAnsi="Times New Roman"/>
          <w:sz w:val="18"/>
          <w:szCs w:val="18"/>
          <w:color w:val="auto"/>
        </w:rPr>
        <w:t xml:space="preserve"> and any Notes issued in exchange therefor or in substitution thereof, either (i) the later of (x) the date such Notes are originally issued and (y) 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“Last Reported Sale Price” </w:t>
      </w:r>
      <w:r>
        <w:rPr>
          <w:rFonts w:ascii="Times New Roman" w:cs="Times New Roman" w:eastAsia="Times New Roman" w:hAnsi="Times New Roman"/>
          <w:sz w:val="18"/>
          <w:szCs w:val="18"/>
          <w:color w:val="auto"/>
        </w:rPr>
        <w:t>of the Common Stock for any Trading Day means the closing sale price per share (or, if no closing sale price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reported, the average of the last bid price and the last ask price per share or, if more than one in either case, the average of the average last bid prices and the average last ask prices per share) of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selected by the Company, which may be any of the Initial Purchasers. Neither the Trustee nor the Conversion Agent will have any duty to determine the Last Reported Sale Price.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“Make-Whole Fundamental Change” </w:t>
      </w:r>
      <w:r>
        <w:rPr>
          <w:rFonts w:ascii="Times New Roman" w:cs="Times New Roman" w:eastAsia="Times New Roman" w:hAnsi="Times New Roman"/>
          <w:sz w:val="18"/>
          <w:szCs w:val="18"/>
          <w:color w:val="auto"/>
        </w:rPr>
        <w:t>means (A) a Fundamental Change (determined after giving effect to the proviso immediately after</w:t>
      </w:r>
      <w:r>
        <w:rPr>
          <w:rFonts w:ascii="Times New Roman" w:cs="Times New Roman" w:eastAsia="Times New Roman" w:hAnsi="Times New Roman"/>
          <w:sz w:val="18"/>
          <w:szCs w:val="18"/>
          <w:b w:val="1"/>
          <w:bCs w:val="1"/>
          <w:color w:val="auto"/>
        </w:rPr>
        <w:t xml:space="preserve"> clause</w:t>
      </w:r>
    </w:p>
    <w:p>
      <w:pPr>
        <w:spacing w:after="0" w:line="31" w:lineRule="exact"/>
        <w:rPr>
          <w:sz w:val="20"/>
          <w:szCs w:val="20"/>
          <w:color w:val="auto"/>
        </w:rPr>
      </w:pPr>
    </w:p>
    <w:p>
      <w:pPr>
        <w:jc w:val="both"/>
        <w:ind w:firstLine="8"/>
        <w:spacing w:after="0" w:line="255" w:lineRule="auto"/>
        <w:tabs>
          <w:tab w:leader="none" w:pos="3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of the definition thereof, but without regard to the proviso to </w:t>
      </w:r>
      <w:r>
        <w:rPr>
          <w:rFonts w:ascii="Times New Roman" w:cs="Times New Roman" w:eastAsia="Times New Roman" w:hAnsi="Times New Roman"/>
          <w:sz w:val="18"/>
          <w:szCs w:val="18"/>
          <w:b w:val="1"/>
          <w:bCs w:val="1"/>
          <w:color w:val="auto"/>
        </w:rPr>
        <w:t>clause (B)(ii)</w:t>
      </w:r>
      <w:r>
        <w:rPr>
          <w:rFonts w:ascii="Times New Roman" w:cs="Times New Roman" w:eastAsia="Times New Roman" w:hAnsi="Times New Roman"/>
          <w:sz w:val="18"/>
          <w:szCs w:val="18"/>
          <w:color w:val="auto"/>
        </w:rPr>
        <w:t xml:space="preserve"> of such definition); or (B) the sending of a Redemption Notice pursuant to </w:t>
      </w:r>
      <w:r>
        <w:rPr>
          <w:rFonts w:ascii="Times New Roman" w:cs="Times New Roman" w:eastAsia="Times New Roman" w:hAnsi="Times New Roman"/>
          <w:sz w:val="18"/>
          <w:szCs w:val="18"/>
          <w:b w:val="1"/>
          <w:bCs w:val="1"/>
          <w:color w:val="auto"/>
        </w:rPr>
        <w:t>Section 4.03(F)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subject to</w:t>
      </w:r>
      <w:r>
        <w:rPr>
          <w:rFonts w:ascii="Times New Roman" w:cs="Times New Roman" w:eastAsia="Times New Roman" w:hAnsi="Times New Roman"/>
          <w:sz w:val="18"/>
          <w:szCs w:val="18"/>
          <w:b w:val="1"/>
          <w:bCs w:val="1"/>
          <w:color w:val="auto"/>
        </w:rPr>
        <w:t xml:space="preserve"> Section 4.03(I), </w:t>
      </w:r>
      <w:r>
        <w:rPr>
          <w:rFonts w:ascii="Times New Roman" w:cs="Times New Roman" w:eastAsia="Times New Roman" w:hAnsi="Times New Roman"/>
          <w:sz w:val="18"/>
          <w:szCs w:val="18"/>
          <w:color w:val="auto"/>
        </w:rPr>
        <w:t>the sending of a Redemption Notice will constitute a Make-Whole Fundamental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only with respect to the Notes called for Redemption pursuant to such Redemption Notice and not with respect to any other Notes.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“Make-Whole Fundamental Change Conversion Period” </w:t>
      </w:r>
      <w:r>
        <w:rPr>
          <w:rFonts w:ascii="Times New Roman" w:cs="Times New Roman" w:eastAsia="Times New Roman" w:hAnsi="Times New Roman"/>
          <w:sz w:val="18"/>
          <w:szCs w:val="18"/>
          <w:color w:val="auto"/>
        </w:rPr>
        <w:t>has the following meaning:</w:t>
      </w:r>
    </w:p>
    <w:p>
      <w:pPr>
        <w:spacing w:after="0" w:line="229" w:lineRule="exact"/>
        <w:rPr>
          <w:sz w:val="20"/>
          <w:szCs w:val="20"/>
          <w:color w:val="auto"/>
        </w:rPr>
      </w:pPr>
    </w:p>
    <w:p>
      <w:pPr>
        <w:jc w:val="both"/>
        <w:ind w:firstLine="656"/>
        <w:spacing w:after="0" w:line="261" w:lineRule="auto"/>
        <w:tabs>
          <w:tab w:leader="none" w:pos="1348"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case of a Make-Whole Fundamental Change pursuant to clause (A) of the definition thereof, the period from, and including, the Make-Whole Fundamental Change Effective Date of such Make-Whole Fundamental Change to, and including, the thirty fifth (35th) Trading Day after such Make-Whole Fundamental Change Effective Date (or, if such Make-Whole Fundamental Change also constitutes a Fundamental Change (other than an Exempted Fundamental Change), to, but excluding, the related Fundamental Change Repurchase Date); and</w:t>
      </w:r>
    </w:p>
    <w:p>
      <w:pPr>
        <w:spacing w:after="0" w:line="179" w:lineRule="exact"/>
        <w:rPr>
          <w:rFonts w:ascii="Times New Roman" w:cs="Times New Roman" w:eastAsia="Times New Roman" w:hAnsi="Times New Roman"/>
          <w:sz w:val="18"/>
          <w:szCs w:val="18"/>
          <w:color w:val="010000"/>
        </w:rPr>
      </w:pPr>
    </w:p>
    <w:p>
      <w:pPr>
        <w:ind w:firstLine="656"/>
        <w:spacing w:after="0" w:line="282" w:lineRule="auto"/>
        <w:tabs>
          <w:tab w:leader="none" w:pos="1382"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case of a Make-Whole Fundamental Change pursuant to clause (B) of the definition thereof, the period from, and including, the Redemption Notice Date for the related Redemption to, and including, the second (2nd) Business Day immediately before the related Redemption Date;</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if the Conversion Date for the Conversion of a Note that has been called for Redemption occurs during the Make-Whole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Fundamental Change Conversion Period for both a Make-Whole Fundamental Change occurring pursuant to clause (A) of the definition of “Make-Whole Fundamental Change” and a Make-Whole Fundamental Change resulting from such Redemption pursuant to clause (B) of such definition, then, notwithstanding anything to the contrary in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solely for purposes of such Conversion, (x) such Conversion Date will be deemed to occur solely during the Make-Whole Fundamental Change Conversion Period for the Make-Whole Fundamental Change with the earlier Make-Whole Fundamental Change Effective Date; and (y) the Make-Whole Fundamental Change with the later Make-Whole Fundamental Change Effective Date will be deemed not to have occurred.</w:t>
      </w:r>
    </w:p>
    <w:p>
      <w:pPr>
        <w:spacing w:after="0" w:line="1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“Make-Whole Fundamental Change Effective Date” </w:t>
      </w:r>
      <w:r>
        <w:rPr>
          <w:rFonts w:ascii="Times New Roman" w:cs="Times New Roman" w:eastAsia="Times New Roman" w:hAnsi="Times New Roman"/>
          <w:sz w:val="18"/>
          <w:szCs w:val="18"/>
          <w:color w:val="auto"/>
        </w:rPr>
        <w:t>means (A) with respect to a Make-Whole Fundamental Change pursuant to</w:t>
      </w:r>
      <w:r>
        <w:rPr>
          <w:rFonts w:ascii="Times New Roman" w:cs="Times New Roman" w:eastAsia="Times New Roman" w:hAnsi="Times New Roman"/>
          <w:sz w:val="18"/>
          <w:szCs w:val="18"/>
          <w:b w:val="1"/>
          <w:bCs w:val="1"/>
          <w:color w:val="auto"/>
        </w:rPr>
        <w:t xml:space="preserve"> clause (A)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definition thereof, the date on which such Make-Whole Fundamental Change occurs or becomes effective; and (B) with respect to a Make-Whole Fundamental Change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of the definition thereof, the applicable Redemption Notice Date.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“Market Disruption Event” </w:t>
      </w:r>
      <w:r>
        <w:rPr>
          <w:rFonts w:ascii="Times New Roman" w:cs="Times New Roman" w:eastAsia="Times New Roman" w:hAnsi="Times New Roman"/>
          <w:sz w:val="18"/>
          <w:szCs w:val="18"/>
          <w:color w:val="auto"/>
        </w:rPr>
        <w:t>means, with respect to any date, the occurrence or existence, during the one-half hour period ending at the scheduled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“Maturity Date” </w:t>
      </w:r>
      <w:r>
        <w:rPr>
          <w:rFonts w:ascii="Times New Roman" w:cs="Times New Roman" w:eastAsia="Times New Roman" w:hAnsi="Times New Roman"/>
          <w:sz w:val="18"/>
          <w:szCs w:val="18"/>
          <w:color w:val="auto"/>
        </w:rPr>
        <w:t>means June 1, 2030.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“Non-Affiliate Legend” </w:t>
      </w:r>
      <w:r>
        <w:rPr>
          <w:rFonts w:ascii="Times New Roman" w:cs="Times New Roman" w:eastAsia="Times New Roman" w:hAnsi="Times New Roman"/>
          <w:sz w:val="18"/>
          <w:szCs w:val="18"/>
          <w:color w:val="auto"/>
        </w:rPr>
        <w:t>means a legend substantially in the form set forth in</w:t>
      </w:r>
      <w:r>
        <w:rPr>
          <w:rFonts w:ascii="Times New Roman" w:cs="Times New Roman" w:eastAsia="Times New Roman" w:hAnsi="Times New Roman"/>
          <w:sz w:val="18"/>
          <w:szCs w:val="18"/>
          <w:b w:val="1"/>
          <w:bCs w:val="1"/>
          <w:color w:val="auto"/>
        </w:rPr>
        <w:t xml:space="preserve"> Exhibit B-3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“Note Agent” </w:t>
      </w:r>
      <w:r>
        <w:rPr>
          <w:rFonts w:ascii="Times New Roman" w:cs="Times New Roman" w:eastAsia="Times New Roman" w:hAnsi="Times New Roman"/>
          <w:sz w:val="18"/>
          <w:szCs w:val="18"/>
          <w:color w:val="auto"/>
        </w:rPr>
        <w:t>means any Registrar, Paying Agent or Conversion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“Notes” </w:t>
      </w:r>
      <w:r>
        <w:rPr>
          <w:rFonts w:ascii="Times New Roman" w:cs="Times New Roman" w:eastAsia="Times New Roman" w:hAnsi="Times New Roman"/>
          <w:sz w:val="18"/>
          <w:szCs w:val="18"/>
          <w:color w:val="auto"/>
        </w:rPr>
        <w:t>means the 0.00% Convertible Senior Notes due 2030 issued by the Company pursuant to this Indenture.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“Observation Period” </w:t>
      </w:r>
      <w:r>
        <w:rPr>
          <w:rFonts w:ascii="Times New Roman" w:cs="Times New Roman" w:eastAsia="Times New Roman" w:hAnsi="Times New Roman"/>
          <w:sz w:val="18"/>
          <w:szCs w:val="18"/>
          <w:color w:val="auto"/>
        </w:rPr>
        <w:t>means, with respect to any Note to be Converted, (A) subject to</w:t>
      </w:r>
      <w:r>
        <w:rPr>
          <w:rFonts w:ascii="Times New Roman" w:cs="Times New Roman" w:eastAsia="Times New Roman" w:hAnsi="Times New Roman"/>
          <w:sz w:val="18"/>
          <w:szCs w:val="18"/>
          <w:b w:val="1"/>
          <w:bCs w:val="1"/>
          <w:color w:val="auto"/>
        </w:rPr>
        <w:t xml:space="preserve"> clause (B) </w:t>
      </w:r>
      <w:r>
        <w:rPr>
          <w:rFonts w:ascii="Times New Roman" w:cs="Times New Roman" w:eastAsia="Times New Roman" w:hAnsi="Times New Roman"/>
          <w:sz w:val="18"/>
          <w:szCs w:val="18"/>
          <w:color w:val="auto"/>
        </w:rPr>
        <w:t>below, if the Conversion Date for such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occurs before March 1, 2030, the forty (40) consecutive VWAP Trading Days beginning on, and including, the second (2nd) VWAP Trading Day immediately after such Conversion Date; (B) if such Conversion Date occurs on or after the date the Company has sent a Redemption Notice calling all or any Notes for Redemption pursuant to </w:t>
      </w:r>
      <w:r>
        <w:rPr>
          <w:rFonts w:ascii="Times New Roman" w:cs="Times New Roman" w:eastAsia="Times New Roman" w:hAnsi="Times New Roman"/>
          <w:sz w:val="18"/>
          <w:szCs w:val="18"/>
          <w:b w:val="1"/>
          <w:bCs w:val="1"/>
          <w:color w:val="auto"/>
        </w:rPr>
        <w:t>Section 4.03(F)</w:t>
      </w:r>
      <w:r>
        <w:rPr>
          <w:rFonts w:ascii="Times New Roman" w:cs="Times New Roman" w:eastAsia="Times New Roman" w:hAnsi="Times New Roman"/>
          <w:sz w:val="18"/>
          <w:szCs w:val="18"/>
          <w:color w:val="auto"/>
        </w:rPr>
        <w:t xml:space="preserve"> and on or before the second (2nd) Business Day before the related Redemption Date, the forty (40) consecutive VAVAP Trading Days beginning on, and including, the forty first (41st) Scheduled Trading Day immediately before such Redemption Date; and (C) subject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above, if such Conversion Date occurs on or after March 1, 2030, the forty (40) consecutive VWAP Trading Days beginning on, and including, the forty first (41st) Scheduled Trading Day immediately before the Maturity Date.</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“Officer” </w:t>
      </w:r>
      <w:r>
        <w:rPr>
          <w:rFonts w:ascii="Times New Roman" w:cs="Times New Roman" w:eastAsia="Times New Roman" w:hAnsi="Times New Roman"/>
          <w:sz w:val="18"/>
          <w:szCs w:val="18"/>
          <w:color w:val="auto"/>
        </w:rPr>
        <w:t>means the Chairman of the Board of Directors, the Chief Executive Officer, the President, the Chief Operating Officer, the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the Treasurer, any Assistant Treasurer, the Controller, the Secretary or any Vice-President of the Company.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“Officer’s Certificate” </w:t>
      </w:r>
      <w:r>
        <w:rPr>
          <w:rFonts w:ascii="Times New Roman" w:cs="Times New Roman" w:eastAsia="Times New Roman" w:hAnsi="Times New Roman"/>
          <w:sz w:val="18"/>
          <w:szCs w:val="18"/>
          <w:color w:val="auto"/>
        </w:rPr>
        <w:t>means a certificate that is signed on behalf of the Company by one (1) of its Officers and that meets the requirements of</w:t>
      </w:r>
      <w:r>
        <w:rPr>
          <w:rFonts w:ascii="Times New Roman" w:cs="Times New Roman" w:eastAsia="Times New Roman" w:hAnsi="Times New Roman"/>
          <w:sz w:val="18"/>
          <w:szCs w:val="18"/>
          <w:b w:val="1"/>
          <w:bCs w:val="1"/>
          <w:color w:val="auto"/>
        </w:rPr>
        <w:t xml:space="preserve"> Section 11.03</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“Open of Business” </w:t>
      </w:r>
      <w:r>
        <w:rPr>
          <w:rFonts w:ascii="Times New Roman" w:cs="Times New Roman" w:eastAsia="Times New Roman" w:hAnsi="Times New Roman"/>
          <w:sz w:val="18"/>
          <w:szCs w:val="18"/>
          <w:color w:val="auto"/>
        </w:rPr>
        <w:t>means 9:00 a.m., New York City time.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“Opinion of Counsel” </w:t>
      </w:r>
      <w:r>
        <w:rPr>
          <w:rFonts w:ascii="Times New Roman" w:cs="Times New Roman" w:eastAsia="Times New Roman" w:hAnsi="Times New Roman"/>
          <w:sz w:val="18"/>
          <w:szCs w:val="18"/>
          <w:color w:val="auto"/>
        </w:rPr>
        <w:t>means an opinion, from legal counsel (including an employee of, or counsel to, the Company or any of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reasonably acceptable to the Trustee, that meets the requirements of </w:t>
      </w:r>
      <w:r>
        <w:rPr>
          <w:rFonts w:ascii="Times New Roman" w:cs="Times New Roman" w:eastAsia="Times New Roman" w:hAnsi="Times New Roman"/>
          <w:sz w:val="18"/>
          <w:szCs w:val="18"/>
          <w:b w:val="1"/>
          <w:bCs w:val="1"/>
          <w:color w:val="auto"/>
        </w:rPr>
        <w:t>Section 11.03</w:t>
      </w:r>
      <w:r>
        <w:rPr>
          <w:rFonts w:ascii="Times New Roman" w:cs="Times New Roman" w:eastAsia="Times New Roman" w:hAnsi="Times New Roman"/>
          <w:sz w:val="18"/>
          <w:szCs w:val="18"/>
          <w:color w:val="auto"/>
        </w:rPr>
        <w:t>, subject to customary qualifications and exclusions.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“Person”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“person” </w:t>
      </w:r>
      <w:r>
        <w:rPr>
          <w:rFonts w:ascii="Times New Roman" w:cs="Times New Roman" w:eastAsia="Times New Roman" w:hAnsi="Times New Roman"/>
          <w:sz w:val="18"/>
          <w:szCs w:val="18"/>
          <w:color w:val="auto"/>
        </w:rPr>
        <w:t>means any individual, corporation, partnership, limited liability company, joint venture, association, joint-stock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unincorporated organization or government or other agency or political subdivision thereof. Any division or series of a limited liability company, limited partnership or trust will constitute a separate “person” under this Indenture.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“Physical Note” </w:t>
      </w:r>
      <w:r>
        <w:rPr>
          <w:rFonts w:ascii="Times New Roman" w:cs="Times New Roman" w:eastAsia="Times New Roman" w:hAnsi="Times New Roman"/>
          <w:sz w:val="18"/>
          <w:szCs w:val="18"/>
          <w:color w:val="auto"/>
        </w:rPr>
        <w:t>means a Note (other than a Global Note) that is represented by a certificate substantially in the form set forth in</w:t>
      </w:r>
      <w:r>
        <w:rPr>
          <w:rFonts w:ascii="Times New Roman" w:cs="Times New Roman" w:eastAsia="Times New Roman" w:hAnsi="Times New Roman"/>
          <w:sz w:val="18"/>
          <w:szCs w:val="18"/>
          <w:b w:val="1"/>
          <w:bCs w:val="1"/>
          <w:color w:val="auto"/>
        </w:rPr>
        <w:t xml:space="preserve"> Exhibit 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in the name of the Holder of such Note and duly executed by the Company and authenticated by the Trustee.</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“Purchase Agreement” </w:t>
      </w:r>
      <w:r>
        <w:rPr>
          <w:rFonts w:ascii="Times New Roman" w:cs="Times New Roman" w:eastAsia="Times New Roman" w:hAnsi="Times New Roman"/>
          <w:sz w:val="18"/>
          <w:szCs w:val="18"/>
          <w:color w:val="auto"/>
        </w:rPr>
        <w:t>means that certain Purchase Agreement, dated June 2, 2025, between the Company and Goldman Sachs &amp; Co.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UBS Securities LLC and Evercore Group L.L.C., as representatives of the Initial Purchasers.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“Qualified Successor Entity” </w:t>
      </w:r>
      <w:r>
        <w:rPr>
          <w:rFonts w:ascii="Times New Roman" w:cs="Times New Roman" w:eastAsia="Times New Roman" w:hAnsi="Times New Roman"/>
          <w:sz w:val="18"/>
          <w:szCs w:val="18"/>
          <w:color w:val="auto"/>
        </w:rPr>
        <w:t>means, with respect to a Business Combination Event, a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 limited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limited partnership or other similar entity will also constitute a Qualified Successor Entity with respect to such Business Combination Event if either (A) such Business Combination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Event is an Exempted Fundamental Change; or (B) both of the following conditions are satisfied: (i) either (x) such limited liability company, limited partnership or other similar entity, as applicable, is treated as a corporation or is a direct or indirect, Wholly Owned Subsidiary of, and disregarded as an entity separate from, a corporation, in each case for U.S. federal income tax purposes; or (y) the Company has received an opinion of a nationally recognized tax counsel to the effect that such Business Combination Event will not be treated as an exchange under Section 1001 of the Internal Revenue Code of 1986, as amended, for Holders or beneficial owners of the Notes; and (ii) such Business Combination Event constitutes a Common Stock Change Event whose Reference Property consists solely of any combination of cash in U.S. dollars and shares of common stock or other corporate common equity interests of an entity that is (x) treated as a corporation for U.S. federal income tax purposes; (y) duly organized and existing under the laws of the United States of America, any State thereof or the District of Columbia; and (z) a direct or indirect parent of the limited liability company, limited partnership or similar entity.</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“Redemption” </w:t>
      </w:r>
      <w:r>
        <w:rPr>
          <w:rFonts w:ascii="Times New Roman" w:cs="Times New Roman" w:eastAsia="Times New Roman" w:hAnsi="Times New Roman"/>
          <w:sz w:val="18"/>
          <w:szCs w:val="18"/>
          <w:color w:val="auto"/>
        </w:rPr>
        <w:t>means the repurchase of any Note by the Company pursuant to</w:t>
      </w:r>
      <w:r>
        <w:rPr>
          <w:rFonts w:ascii="Times New Roman" w:cs="Times New Roman" w:eastAsia="Times New Roman" w:hAnsi="Times New Roman"/>
          <w:sz w:val="18"/>
          <w:szCs w:val="18"/>
          <w:b w:val="1"/>
          <w:bCs w:val="1"/>
          <w:color w:val="auto"/>
        </w:rPr>
        <w:t xml:space="preserve"> Section 4.03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“Redemption Date” </w:t>
      </w:r>
      <w:r>
        <w:rPr>
          <w:rFonts w:ascii="Times New Roman" w:cs="Times New Roman" w:eastAsia="Times New Roman" w:hAnsi="Times New Roman"/>
          <w:sz w:val="18"/>
          <w:szCs w:val="18"/>
          <w:color w:val="auto"/>
        </w:rPr>
        <w:t>means the date fixed, pursuant to</w:t>
      </w:r>
      <w:r>
        <w:rPr>
          <w:rFonts w:ascii="Times New Roman" w:cs="Times New Roman" w:eastAsia="Times New Roman" w:hAnsi="Times New Roman"/>
          <w:sz w:val="18"/>
          <w:szCs w:val="18"/>
          <w:b w:val="1"/>
          <w:bCs w:val="1"/>
          <w:color w:val="auto"/>
        </w:rPr>
        <w:t xml:space="preserve"> Section 4.03(D)</w:t>
      </w:r>
      <w:r>
        <w:rPr>
          <w:rFonts w:ascii="Times New Roman" w:cs="Times New Roman" w:eastAsia="Times New Roman" w:hAnsi="Times New Roman"/>
          <w:sz w:val="18"/>
          <w:szCs w:val="18"/>
          <w:color w:val="auto"/>
        </w:rPr>
        <w:t>, for the settlement of the repurchase of any Notes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a Redemption.</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“Redemption Notice Date” </w:t>
      </w:r>
      <w:r>
        <w:rPr>
          <w:rFonts w:ascii="Times New Roman" w:cs="Times New Roman" w:eastAsia="Times New Roman" w:hAnsi="Times New Roman"/>
          <w:sz w:val="18"/>
          <w:szCs w:val="18"/>
          <w:color w:val="auto"/>
        </w:rPr>
        <w:t>means, with respect to a Redemption, the date on which the Company sends the Redemption Notice for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Redemption pursuant to </w:t>
      </w:r>
      <w:r>
        <w:rPr>
          <w:rFonts w:ascii="Times New Roman" w:cs="Times New Roman" w:eastAsia="Times New Roman" w:hAnsi="Times New Roman"/>
          <w:sz w:val="18"/>
          <w:szCs w:val="18"/>
          <w:b w:val="1"/>
          <w:bCs w:val="1"/>
          <w:color w:val="auto"/>
        </w:rPr>
        <w:t>Section 4.03(F)</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“Redemption Price” </w:t>
      </w:r>
      <w:r>
        <w:rPr>
          <w:rFonts w:ascii="Times New Roman" w:cs="Times New Roman" w:eastAsia="Times New Roman" w:hAnsi="Times New Roman"/>
          <w:sz w:val="18"/>
          <w:szCs w:val="18"/>
          <w:color w:val="auto"/>
        </w:rPr>
        <w:t>means the cash price payable by the Company to redeem any Note upon its Redemption, calculated pursuant to</w:t>
      </w:r>
      <w:r>
        <w:rPr>
          <w:rFonts w:ascii="Times New Roman" w:cs="Times New Roman" w:eastAsia="Times New Roman" w:hAnsi="Times New Roman"/>
          <w:sz w:val="18"/>
          <w:szCs w:val="18"/>
          <w:b w:val="1"/>
          <w:bCs w:val="1"/>
          <w:color w:val="auto"/>
        </w:rPr>
        <w:t xml:space="preserve"> Section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4.03(E)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“Repurchase Upon Fundamental Change” </w:t>
      </w:r>
      <w:r>
        <w:rPr>
          <w:rFonts w:ascii="Times New Roman" w:cs="Times New Roman" w:eastAsia="Times New Roman" w:hAnsi="Times New Roman"/>
          <w:sz w:val="18"/>
          <w:szCs w:val="18"/>
          <w:color w:val="auto"/>
        </w:rPr>
        <w:t>means the repurchase of any Note by the Company pursuant to</w:t>
      </w:r>
      <w:r>
        <w:rPr>
          <w:rFonts w:ascii="Times New Roman" w:cs="Times New Roman" w:eastAsia="Times New Roman" w:hAnsi="Times New Roman"/>
          <w:sz w:val="18"/>
          <w:szCs w:val="18"/>
          <w:b w:val="1"/>
          <w:bCs w:val="1"/>
          <w:color w:val="auto"/>
        </w:rPr>
        <w:t xml:space="preserve"> Section 4.02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“Responsible Officer” </w:t>
      </w:r>
      <w:r>
        <w:rPr>
          <w:rFonts w:ascii="Times New Roman" w:cs="Times New Roman" w:eastAsia="Times New Roman" w:hAnsi="Times New Roman"/>
          <w:sz w:val="18"/>
          <w:szCs w:val="18"/>
          <w:color w:val="auto"/>
        </w:rPr>
        <w:t>means (A) any officer within the corporate trust group of the Trustee (or any successor group of the Trustee)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the Trustee customarily performing functions similar to those performed by any of such officers; and (B) with respect to a particular corporate trust matter relating to this Indenture, any other officer to whom such matter is referred because of his or her knowledge of, and familiarity with, the particular subject, and who, in each case has direct responsibility for the administration of this Indenture.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“Restricted Note Legend” </w:t>
      </w:r>
      <w:r>
        <w:rPr>
          <w:rFonts w:ascii="Times New Roman" w:cs="Times New Roman" w:eastAsia="Times New Roman" w:hAnsi="Times New Roman"/>
          <w:sz w:val="18"/>
          <w:szCs w:val="18"/>
          <w:color w:val="auto"/>
        </w:rPr>
        <w:t>means a legend substantially in the form set forth in</w:t>
      </w:r>
      <w:r>
        <w:rPr>
          <w:rFonts w:ascii="Times New Roman" w:cs="Times New Roman" w:eastAsia="Times New Roman" w:hAnsi="Times New Roman"/>
          <w:sz w:val="18"/>
          <w:szCs w:val="18"/>
          <w:b w:val="1"/>
          <w:bCs w:val="1"/>
          <w:color w:val="auto"/>
        </w:rPr>
        <w:t xml:space="preserve"> Exhibit B-1.</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“Restricted Stock Legend” </w:t>
      </w:r>
      <w:r>
        <w:rPr>
          <w:rFonts w:ascii="Times New Roman" w:cs="Times New Roman" w:eastAsia="Times New Roman" w:hAnsi="Times New Roman"/>
          <w:sz w:val="18"/>
          <w:szCs w:val="18"/>
          <w:color w:val="auto"/>
        </w:rPr>
        <w:t>means, with respect to any Conversion Share, a legend substantially to the effect that the offer and sale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Share have not been registered under the Securities Act and that such Conversion Share cannot be sold or otherwise transferred except pursuant to a transaction that is registered under the Securities Act or that is exempt from, or not subject to, the registration requirements of the Securities Act.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“Rule 144” </w:t>
      </w:r>
      <w:r>
        <w:rPr>
          <w:rFonts w:ascii="Times New Roman" w:cs="Times New Roman" w:eastAsia="Times New Roman" w:hAnsi="Times New Roman"/>
          <w:sz w:val="18"/>
          <w:szCs w:val="18"/>
          <w:color w:val="auto"/>
        </w:rPr>
        <w:t>means Rule 144 under the Securities Act (or any successor rule thereto), as the same may be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“Rule 144A” </w:t>
      </w:r>
      <w:r>
        <w:rPr>
          <w:rFonts w:ascii="Times New Roman" w:cs="Times New Roman" w:eastAsia="Times New Roman" w:hAnsi="Times New Roman"/>
          <w:sz w:val="18"/>
          <w:szCs w:val="18"/>
          <w:color w:val="auto"/>
        </w:rPr>
        <w:t>means Rule 144A under the Securities Act (or any successor rule thereto), as the same may be amended from time to time.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“Scheduled Trading Day” </w:t>
      </w:r>
      <w:r>
        <w:rPr>
          <w:rFonts w:ascii="Times New Roman" w:cs="Times New Roman" w:eastAsia="Times New Roman" w:hAnsi="Times New Roman"/>
          <w:sz w:val="18"/>
          <w:szCs w:val="18"/>
          <w:color w:val="auto"/>
        </w:rPr>
        <w:t>means any day that is scheduled to be a Trading Day on the principal U.S. national or regional securities exchange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Common Stock is then listed or, if the Common Stock is not then listed on a U.S. national or regional securities exchange, on the principal other market on which the Common Stock is then traded. If the Common Stock is not so listed or traded, then “Scheduled Trading Day” means a Business Day.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 </w:t>
      </w:r>
      <w:r>
        <w:rPr>
          <w:rFonts w:ascii="Times New Roman" w:cs="Times New Roman" w:eastAsia="Times New Roman" w:hAnsi="Times New Roman"/>
          <w:sz w:val="18"/>
          <w:szCs w:val="18"/>
          <w:color w:val="auto"/>
        </w:rPr>
        <w:t>means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“Securities Act” </w:t>
      </w:r>
      <w:r>
        <w:rPr>
          <w:rFonts w:ascii="Times New Roman" w:cs="Times New Roman" w:eastAsia="Times New Roman" w:hAnsi="Times New Roman"/>
          <w:sz w:val="18"/>
          <w:szCs w:val="18"/>
          <w:color w:val="auto"/>
        </w:rPr>
        <w:t>means the U.S. Securities Act of 1933, as amended.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“Security” </w:t>
      </w:r>
      <w:r>
        <w:rPr>
          <w:rFonts w:ascii="Times New Roman" w:cs="Times New Roman" w:eastAsia="Times New Roman" w:hAnsi="Times New Roman"/>
          <w:sz w:val="18"/>
          <w:szCs w:val="18"/>
          <w:color w:val="auto"/>
        </w:rPr>
        <w:t>means any Note or Conversion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“Settlement Method” </w:t>
      </w:r>
      <w:r>
        <w:rPr>
          <w:rFonts w:ascii="Times New Roman" w:cs="Times New Roman" w:eastAsia="Times New Roman" w:hAnsi="Times New Roman"/>
          <w:sz w:val="18"/>
          <w:szCs w:val="18"/>
          <w:color w:val="auto"/>
        </w:rPr>
        <w:t>means Cash Settlement or Combination Settlement.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“Shoe Option” </w:t>
      </w:r>
      <w:r>
        <w:rPr>
          <w:rFonts w:ascii="Times New Roman" w:cs="Times New Roman" w:eastAsia="Times New Roman" w:hAnsi="Times New Roman"/>
          <w:sz w:val="18"/>
          <w:szCs w:val="18"/>
          <w:color w:val="auto"/>
        </w:rPr>
        <w:t>means the Initial Purchasers’ option to purchase up to forty-five million dollars ($45,000,000) aggregate principal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Notes as provided for in the Purchase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“Significant Subsidiary” </w:t>
      </w:r>
      <w:r>
        <w:rPr>
          <w:rFonts w:ascii="Times New Roman" w:cs="Times New Roman" w:eastAsia="Times New Roman" w:hAnsi="Times New Roman"/>
          <w:sz w:val="18"/>
          <w:szCs w:val="18"/>
          <w:color w:val="auto"/>
        </w:rPr>
        <w:t>means, with respect to any Person, any Subsidiary of such Person that constitutes a “significant subsidiary” (as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Rule 1-02(w) of Regulation S-X under the Exchange Act) of such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“Special Interest” </w:t>
      </w:r>
      <w:r>
        <w:rPr>
          <w:rFonts w:ascii="Times New Roman" w:cs="Times New Roman" w:eastAsia="Times New Roman" w:hAnsi="Times New Roman"/>
          <w:sz w:val="18"/>
          <w:szCs w:val="18"/>
          <w:color w:val="auto"/>
        </w:rPr>
        <w:t>means any interest that accrues on any Note pursuant to</w:t>
      </w:r>
      <w:r>
        <w:rPr>
          <w:rFonts w:ascii="Times New Roman" w:cs="Times New Roman" w:eastAsia="Times New Roman" w:hAnsi="Times New Roman"/>
          <w:sz w:val="18"/>
          <w:szCs w:val="18"/>
          <w:b w:val="1"/>
          <w:bCs w:val="1"/>
          <w:color w:val="auto"/>
        </w:rPr>
        <w:t xml:space="preserve"> Section 7.03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“Specified Dollar Amount” </w:t>
      </w:r>
      <w:r>
        <w:rPr>
          <w:rFonts w:ascii="Times New Roman" w:cs="Times New Roman" w:eastAsia="Times New Roman" w:hAnsi="Times New Roman"/>
          <w:sz w:val="18"/>
          <w:szCs w:val="18"/>
          <w:color w:val="auto"/>
        </w:rPr>
        <w:t>means, with respect to the Conversion of a Note to which Combination Settlement applies, the maximum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 per $1,000 principal amount of such Note deliverable upon such Conversion (excluding cash in lieu of any fractional share of Common Stock);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in no event will the Specified Dollar Amount be less than $1,000 per $1,000 principal amount of such Note.</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“Stock Price” </w:t>
      </w:r>
      <w:r>
        <w:rPr>
          <w:rFonts w:ascii="Times New Roman" w:cs="Times New Roman" w:eastAsia="Times New Roman" w:hAnsi="Times New Roman"/>
          <w:sz w:val="18"/>
          <w:szCs w:val="18"/>
          <w:color w:val="auto"/>
        </w:rPr>
        <w:t>has the following meaning for any Make-Whole Fundamental Change: (A) if the holders of Common Stock receive only cash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consideration for their shares of Common Stock in such Make-Whole Fundamental Change and such Make-Whole Fundamental Change is pursuant to </w:t>
      </w:r>
      <w:r>
        <w:rPr>
          <w:rFonts w:ascii="Times New Roman" w:cs="Times New Roman" w:eastAsia="Times New Roman" w:hAnsi="Times New Roman"/>
          <w:sz w:val="18"/>
          <w:szCs w:val="18"/>
          <w:b w:val="1"/>
          <w:bCs w:val="1"/>
          <w:color w:val="auto"/>
        </w:rPr>
        <w:t xml:space="preserve">clause (B) </w:t>
      </w:r>
      <w:r>
        <w:rPr>
          <w:rFonts w:ascii="Times New Roman" w:cs="Times New Roman" w:eastAsia="Times New Roman" w:hAnsi="Times New Roman"/>
          <w:sz w:val="18"/>
          <w:szCs w:val="18"/>
          <w:color w:val="auto"/>
        </w:rPr>
        <w:t>of the definition of “Fundamental Change,” then the Stock Price is the amount of cash paid per share of Common Stock in such Make-Whole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Fundamental Change; and (B) in all other cases, the Stock Price is the average of the Last Reported Sale Prices per share of Common Stock for the five (5) consecutive Trading Days ending on, and including, the Trading Day immediately before the Make-Whole Fundamental Change Effective Date of such Make-Whole Fundamental Change.</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“Subsidiary” </w:t>
      </w:r>
      <w:r>
        <w:rPr>
          <w:rFonts w:ascii="Times New Roman" w:cs="Times New Roman" w:eastAsia="Times New Roman" w:hAnsi="Times New Roman"/>
          <w:sz w:val="18"/>
          <w:szCs w:val="18"/>
          <w:color w:val="auto"/>
        </w:rPr>
        <w:t>means, with respect to any Person, (A) any corporation, association or other business entity (other than a partnership or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“Trading Day” </w:t>
      </w:r>
      <w:r>
        <w:rPr>
          <w:rFonts w:ascii="Times New Roman" w:cs="Times New Roman" w:eastAsia="Times New Roman" w:hAnsi="Times New Roman"/>
          <w:sz w:val="18"/>
          <w:szCs w:val="18"/>
          <w:color w:val="auto"/>
        </w:rPr>
        <w:t>means any day on which (A) trading in the Common Stock generally occurs on the principal U.S. national or regional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“Trading Price” </w:t>
      </w:r>
      <w:r>
        <w:rPr>
          <w:rFonts w:ascii="Times New Roman" w:cs="Times New Roman" w:eastAsia="Times New Roman" w:hAnsi="Times New Roman"/>
          <w:sz w:val="18"/>
          <w:szCs w:val="18"/>
          <w:color w:val="auto"/>
        </w:rPr>
        <w:t>of the Notes on any Trading Day means the average of the secondary market bid quotations, expressed as a cash amount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$1,000 principal amount of Notes, obtained by the Bid Solicitation Agent for one million dollars ($1,000,000) (or such lesser amount as may then be outstanding) in principal amount of Notes at approximately 3:30 p.m., New York City time, on such Trading Day from three (3) nationally recognized independent securities dealers selected by the Company, which may include any of the Initial Purchasers;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three (3) such bids cannot reasonably be obtained by the Bid Solicitation Agent but two (2) such bids are obtained, then the average of the two (2) bids will be used, and if only one (1) such bid can reasonably be obtained by the Bid Solicitation Agent, then that one (1) bid will be used. If, on any Trading Day, (A) the Bid Solicitation Agent cannot reasonably obtain at least one (1) bid for one million dollars ($1,000,000) (or such lesser amount as may then be outstanding) in principal amount of Notes from a nationally recognized independent securities dealer; (B) the Company is not acting as the Bid Solicitation Agent and the Company fails to instruct the Bid Solicitation Agent to obtain bids when required; or (C) the Bid Solicitation Agent fails to solicit bids when required, then, in each case, the Trading Price per $1,000 principal amount of Notes on such Trading Day will be deemed to be less than ninety eight percent (98%) of the product of the Last Reported Sale Price per share of Common Stock on such Trading Day and the Conversion Rate on such Trading Day.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“Transfer-Restricted Security” </w:t>
      </w:r>
      <w:r>
        <w:rPr>
          <w:rFonts w:ascii="Times New Roman" w:cs="Times New Roman" w:eastAsia="Times New Roman" w:hAnsi="Times New Roman"/>
          <w:sz w:val="18"/>
          <w:szCs w:val="18"/>
          <w:color w:val="auto"/>
        </w:rPr>
        <w:t>means any Security that constitutes a “restricted security” (as defined in Rule 144);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will cease to be a Transfer-Restricted Security upon the earliest to occur of the following events:</w:t>
      </w:r>
    </w:p>
    <w:p>
      <w:pPr>
        <w:spacing w:after="0" w:line="207" w:lineRule="exact"/>
        <w:rPr>
          <w:sz w:val="20"/>
          <w:szCs w:val="20"/>
          <w:color w:val="auto"/>
        </w:rPr>
      </w:pPr>
    </w:p>
    <w:p>
      <w:pPr>
        <w:ind w:firstLine="656"/>
        <w:spacing w:after="0" w:line="282" w:lineRule="auto"/>
        <w:tabs>
          <w:tab w:leader="none" w:pos="1402"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Security is sold or otherwise transferred to a Person (other than the Company or an Affiliate of the Company) pursuant to a registration statement that was effective under the Securities Act at the time of such sale or transfer;</w:t>
      </w:r>
    </w:p>
    <w:p>
      <w:pPr>
        <w:spacing w:after="0" w:line="161" w:lineRule="exact"/>
        <w:rPr>
          <w:rFonts w:ascii="Times New Roman" w:cs="Times New Roman" w:eastAsia="Times New Roman" w:hAnsi="Times New Roman"/>
          <w:sz w:val="18"/>
          <w:szCs w:val="18"/>
          <w:color w:val="010000"/>
        </w:rPr>
      </w:pPr>
    </w:p>
    <w:p>
      <w:pPr>
        <w:jc w:val="both"/>
        <w:ind w:firstLine="656"/>
        <w:spacing w:after="0" w:line="266" w:lineRule="auto"/>
        <w:tabs>
          <w:tab w:leader="none" w:pos="1206"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Security is sold or otherwise transferred to a Person (other than the Company or an Affiliate of the Company)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and</w:t>
      </w:r>
    </w:p>
    <w:p>
      <w:pPr>
        <w:spacing w:after="0" w:line="175" w:lineRule="exact"/>
        <w:rPr>
          <w:rFonts w:ascii="Times New Roman" w:cs="Times New Roman" w:eastAsia="Times New Roman" w:hAnsi="Times New Roman"/>
          <w:sz w:val="18"/>
          <w:szCs w:val="18"/>
          <w:color w:val="010000"/>
        </w:rPr>
      </w:pPr>
    </w:p>
    <w:p>
      <w:pPr>
        <w:jc w:val="both"/>
        <w:ind w:firstLine="656"/>
        <w:spacing w:after="0" w:line="266" w:lineRule="auto"/>
        <w:tabs>
          <w:tab w:leader="none" w:pos="1317"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Security is eligible for resale, by a Person that is not an Affiliate of the Company and that has not been an Affiliate of the Company during the immediately preceding three (3) months, pursuant to Rule 144 without any limitations thereunder as to volume, manner of sale, availability of current public information or notice.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is under no obligation to determine whether any Security is a Transfer-Restricted Security and may conclusively rely on an Officer’s Certificate with respect thereto.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“Trust Indenture Act” </w:t>
      </w:r>
      <w:r>
        <w:rPr>
          <w:rFonts w:ascii="Times New Roman" w:cs="Times New Roman" w:eastAsia="Times New Roman" w:hAnsi="Times New Roman"/>
          <w:sz w:val="18"/>
          <w:szCs w:val="18"/>
          <w:color w:val="auto"/>
        </w:rPr>
        <w:t>means the U.S. Trust Indenture Act of 1939,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“Trustee” </w:t>
      </w:r>
      <w:r>
        <w:rPr>
          <w:rFonts w:ascii="Times New Roman" w:cs="Times New Roman" w:eastAsia="Times New Roman" w:hAnsi="Times New Roman"/>
          <w:sz w:val="18"/>
          <w:szCs w:val="18"/>
          <w:color w:val="auto"/>
        </w:rPr>
        <w:t>means the Person named as such in the first paragraph of this Indenture until a successor replaces it in accordance with the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Indenture and, thereafter, means such successor.</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“VWAP Market Disruption Event” </w:t>
      </w:r>
      <w:r>
        <w:rPr>
          <w:rFonts w:ascii="Times New Roman" w:cs="Times New Roman" w:eastAsia="Times New Roman" w:hAnsi="Times New Roman"/>
          <w:sz w:val="18"/>
          <w:szCs w:val="18"/>
          <w:color w:val="auto"/>
        </w:rPr>
        <w:t>means, with respect to any date, (A) the failure by the principal U.S. national or regional securities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“VWAP Trading Day” </w:t>
      </w:r>
      <w:r>
        <w:rPr>
          <w:rFonts w:ascii="Times New Roman" w:cs="Times New Roman" w:eastAsia="Times New Roman" w:hAnsi="Times New Roman"/>
          <w:sz w:val="18"/>
          <w:szCs w:val="18"/>
          <w:color w:val="auto"/>
        </w:rPr>
        <w:t>means a day on which (A) there is no VWAP Market Disruption Event; and (B) trading in the Common Stock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“Wholly Owned Subsidiary” </w:t>
      </w:r>
      <w:r>
        <w:rPr>
          <w:rFonts w:ascii="Times New Roman" w:cs="Times New Roman" w:eastAsia="Times New Roman" w:hAnsi="Times New Roman"/>
          <w:sz w:val="18"/>
          <w:szCs w:val="18"/>
          <w:color w:val="auto"/>
        </w:rPr>
        <w:t>of a Person means any Subsidiary of such Person all of the outstanding Capital Stock or other ownership interests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(other than directors’ qualifying shares) are owned by such Person or one or more Wholly Owned Subsidiaries of such Person.</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010000"/>
              </w:rPr>
              <w:t>Section 1.02</w:t>
            </w:r>
          </w:p>
        </w:tc>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DEFINITIONS.</w:t>
            </w:r>
          </w:p>
        </w:tc>
        <w:tc>
          <w:tcPr>
            <w:tcW w:w="4480" w:type="dxa"/>
            <w:vAlign w:val="bottom"/>
          </w:tcPr>
          <w:p>
            <w:pPr>
              <w:spacing w:after="0"/>
              <w:rPr>
                <w:sz w:val="20"/>
                <w:szCs w:val="20"/>
                <w:color w:val="auto"/>
              </w:rPr>
            </w:pP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5460" w:type="dxa"/>
            <w:vAlign w:val="bottom"/>
          </w:tcPr>
          <w:p>
            <w:pPr>
              <w:spacing w:after="0"/>
              <w:rPr>
                <w:sz w:val="24"/>
                <w:szCs w:val="24"/>
                <w:color w:val="auto"/>
              </w:rPr>
            </w:pP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w w:val="98"/>
              </w:rPr>
              <w:t>Additional Shares</w:t>
            </w:r>
          </w:p>
        </w:tc>
        <w:tc>
          <w:tcPr>
            <w:tcW w:w="5460" w:type="dxa"/>
            <w:vAlign w:val="bottom"/>
          </w:tcPr>
          <w:p>
            <w:pPr>
              <w:spacing w:after="0"/>
              <w:rPr>
                <w:sz w:val="18"/>
                <w:szCs w:val="18"/>
                <w:color w:val="auto"/>
              </w:rPr>
            </w:pP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5.07(A)</w:t>
            </w: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Combination Event</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6.01(A)</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Cash Settlement</w:t>
            </w:r>
          </w:p>
        </w:tc>
        <w:tc>
          <w:tcPr>
            <w:tcW w:w="5460" w:type="dxa"/>
            <w:vAlign w:val="bottom"/>
          </w:tcPr>
          <w:p>
            <w:pPr>
              <w:spacing w:after="0"/>
              <w:rPr>
                <w:sz w:val="18"/>
                <w:szCs w:val="18"/>
                <w:color w:val="auto"/>
              </w:rPr>
            </w:pP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5.03(A)</w:t>
            </w: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Combination Settlement</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5.03(A)</w:t>
            </w: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Change Event</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5.09(A)(iv)</w:t>
            </w: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Agent</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2.06(A)</w:t>
            </w: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Consideration</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5.03(B)(i)</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Default Interest</w:t>
            </w:r>
          </w:p>
        </w:tc>
        <w:tc>
          <w:tcPr>
            <w:tcW w:w="5460" w:type="dxa"/>
            <w:vAlign w:val="bottom"/>
          </w:tcPr>
          <w:p>
            <w:pPr>
              <w:spacing w:after="0"/>
              <w:rPr>
                <w:sz w:val="18"/>
                <w:szCs w:val="18"/>
                <w:color w:val="auto"/>
              </w:rPr>
            </w:pP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2.05(B)</w:t>
            </w: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Defaulted Amount</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2.05(B)</w:t>
            </w: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Additional Interest</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3.04(C)(i)</w:t>
            </w: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Additional Interest Demand Request</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3.04(C)(i)</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Event of Default</w:t>
            </w:r>
          </w:p>
        </w:tc>
        <w:tc>
          <w:tcPr>
            <w:tcW w:w="5460" w:type="dxa"/>
            <w:vAlign w:val="bottom"/>
          </w:tcPr>
          <w:p>
            <w:pPr>
              <w:spacing w:after="0"/>
              <w:rPr>
                <w:sz w:val="18"/>
                <w:szCs w:val="18"/>
                <w:color w:val="auto"/>
              </w:rPr>
            </w:pP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7.01(A)</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5460" w:type="dxa"/>
            <w:vAlign w:val="bottom"/>
          </w:tcPr>
          <w:p>
            <w:pPr>
              <w:spacing w:after="0"/>
              <w:rPr>
                <w:sz w:val="18"/>
                <w:szCs w:val="18"/>
                <w:color w:val="auto"/>
              </w:rPr>
            </w:pP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5.05(A)(v)</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Expiration Time</w:t>
            </w:r>
          </w:p>
        </w:tc>
        <w:tc>
          <w:tcPr>
            <w:tcW w:w="5460" w:type="dxa"/>
            <w:vAlign w:val="bottom"/>
          </w:tcPr>
          <w:p>
            <w:pPr>
              <w:spacing w:after="0"/>
              <w:rPr>
                <w:sz w:val="18"/>
                <w:szCs w:val="18"/>
                <w:color w:val="auto"/>
              </w:rPr>
            </w:pP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5.05(A)(v)</w:t>
            </w: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Fundamental Change Notice</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4.02(E)</w:t>
            </w: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Fundamental Change Repurchase Right</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4.02(A)</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Initial Notes</w:t>
            </w:r>
          </w:p>
        </w:tc>
        <w:tc>
          <w:tcPr>
            <w:tcW w:w="5460" w:type="dxa"/>
            <w:vAlign w:val="bottom"/>
          </w:tcPr>
          <w:p>
            <w:pPr>
              <w:spacing w:after="0"/>
              <w:rPr>
                <w:sz w:val="18"/>
                <w:szCs w:val="18"/>
                <w:color w:val="auto"/>
              </w:rPr>
            </w:pP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2.03(A)</w:t>
            </w: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Measurement Period</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5.01(C)(i)(2)</w:t>
            </w: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of Election to Pay Deferred Additional Interest</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3.04(C)(i)</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5460" w:type="dxa"/>
            <w:vAlign w:val="bottom"/>
          </w:tcPr>
          <w:p>
            <w:pPr>
              <w:spacing w:after="0"/>
              <w:rPr>
                <w:sz w:val="18"/>
                <w:szCs w:val="18"/>
                <w:color w:val="auto"/>
              </w:rPr>
            </w:pP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2.06(A)</w:t>
            </w: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Redemption Notice</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4.03(F)</w:t>
            </w: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Reference Property</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5.09(A)(iv)</w:t>
            </w: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Reference Property Unit</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5.09(A)(iv)</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Register</w:t>
            </w:r>
          </w:p>
        </w:tc>
        <w:tc>
          <w:tcPr>
            <w:tcW w:w="5460" w:type="dxa"/>
            <w:vAlign w:val="bottom"/>
          </w:tcPr>
          <w:p>
            <w:pPr>
              <w:spacing w:after="0"/>
              <w:rPr>
                <w:sz w:val="18"/>
                <w:szCs w:val="18"/>
                <w:color w:val="auto"/>
              </w:rPr>
            </w:pP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2.06(B)</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Registrar</w:t>
            </w:r>
          </w:p>
        </w:tc>
        <w:tc>
          <w:tcPr>
            <w:tcW w:w="5460" w:type="dxa"/>
            <w:vAlign w:val="bottom"/>
          </w:tcPr>
          <w:p>
            <w:pPr>
              <w:spacing w:after="0"/>
              <w:rPr>
                <w:sz w:val="18"/>
                <w:szCs w:val="18"/>
                <w:color w:val="auto"/>
              </w:rPr>
            </w:pP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2.06(A)</w:t>
            </w: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Reporting Event of Default</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7.03(A)</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Specified Courts</w:t>
            </w:r>
          </w:p>
        </w:tc>
        <w:tc>
          <w:tcPr>
            <w:tcW w:w="5460" w:type="dxa"/>
            <w:vAlign w:val="bottom"/>
          </w:tcPr>
          <w:p>
            <w:pPr>
              <w:spacing w:after="0"/>
              <w:rPr>
                <w:sz w:val="18"/>
                <w:szCs w:val="18"/>
                <w:color w:val="auto"/>
              </w:rPr>
            </w:pP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11.07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Spin-Off</w:t>
            </w:r>
          </w:p>
        </w:tc>
        <w:tc>
          <w:tcPr>
            <w:tcW w:w="5460" w:type="dxa"/>
            <w:vAlign w:val="bottom"/>
          </w:tcPr>
          <w:p>
            <w:pPr>
              <w:spacing w:after="0"/>
              <w:rPr>
                <w:sz w:val="18"/>
                <w:szCs w:val="18"/>
                <w:color w:val="auto"/>
              </w:rPr>
            </w:pP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5.05(A)(iii)(2)</w:t>
            </w: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Spin-Off Valuation Period</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5.05(A)(iii)(2)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Successor Entity</w:t>
            </w:r>
          </w:p>
        </w:tc>
        <w:tc>
          <w:tcPr>
            <w:tcW w:w="5460" w:type="dxa"/>
            <w:vAlign w:val="bottom"/>
          </w:tcPr>
          <w:p>
            <w:pPr>
              <w:spacing w:after="0"/>
              <w:rPr>
                <w:sz w:val="18"/>
                <w:szCs w:val="18"/>
                <w:color w:val="auto"/>
              </w:rPr>
            </w:pP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6.01(A)(i)</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Successor Person</w:t>
            </w:r>
          </w:p>
        </w:tc>
        <w:tc>
          <w:tcPr>
            <w:tcW w:w="5460" w:type="dxa"/>
            <w:vAlign w:val="bottom"/>
          </w:tcPr>
          <w:p>
            <w:pPr>
              <w:spacing w:after="0"/>
              <w:rPr>
                <w:sz w:val="18"/>
                <w:szCs w:val="18"/>
                <w:color w:val="auto"/>
              </w:rPr>
            </w:pP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5.09(A)(iv)</w:t>
            </w: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Tender/Exchange Offer Valuation Period</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5.05(A)(v)</w:t>
            </w:r>
          </w:p>
        </w:tc>
      </w:tr>
      <w:tr>
        <w:trPr>
          <w:trHeight w:val="234"/>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Trading Price Condition</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5.01(C)(i)(2)</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010000"/>
              </w:rPr>
              <w:t>Section 1.03</w:t>
            </w:r>
          </w:p>
        </w:tc>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RULES OF CONSTRUCTION.</w:t>
            </w:r>
          </w:p>
        </w:tc>
        <w:tc>
          <w:tcPr>
            <w:tcW w:w="4480" w:type="dxa"/>
            <w:vAlign w:val="bottom"/>
          </w:tcPr>
          <w:p>
            <w:pPr>
              <w:spacing w:after="0"/>
              <w:rPr>
                <w:sz w:val="24"/>
                <w:szCs w:val="24"/>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Indenture:</w:t>
      </w:r>
    </w:p>
    <w:p>
      <w:pPr>
        <w:spacing w:after="0" w:line="225" w:lineRule="exact"/>
        <w:rPr>
          <w:sz w:val="20"/>
          <w:szCs w:val="20"/>
          <w:color w:val="auto"/>
        </w:rPr>
      </w:pPr>
    </w:p>
    <w:p>
      <w:pPr>
        <w:ind w:left="1320" w:hanging="664"/>
        <w:spacing w:after="0"/>
        <w:tabs>
          <w:tab w:leader="none" w:pos="132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“or” is not exclusive;</w:t>
      </w:r>
    </w:p>
    <w:p>
      <w:pPr>
        <w:spacing w:after="0" w:line="225"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“including” means “including without limitation”;</w:t>
      </w:r>
    </w:p>
    <w:p>
      <w:pPr>
        <w:spacing w:after="0" w:line="225"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“will” expresses a command;</w:t>
      </w:r>
    </w:p>
    <w:p>
      <w:pPr>
        <w:spacing w:after="0" w:line="225" w:lineRule="exact"/>
        <w:rPr>
          <w:rFonts w:ascii="Times New Roman" w:cs="Times New Roman" w:eastAsia="Times New Roman" w:hAnsi="Times New Roman"/>
          <w:sz w:val="18"/>
          <w:szCs w:val="18"/>
          <w:color w:val="010000"/>
        </w:rPr>
      </w:pPr>
    </w:p>
    <w:p>
      <w:pPr>
        <w:ind w:left="1320" w:hanging="664"/>
        <w:spacing w:after="0"/>
        <w:tabs>
          <w:tab w:leader="none" w:pos="132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“average” of a set of numerical values refers to the arithmetic average of such numerical values;</w:t>
      </w:r>
    </w:p>
    <w:p>
      <w:pPr>
        <w:spacing w:after="0" w:line="225" w:lineRule="exact"/>
        <w:rPr>
          <w:rFonts w:ascii="Times New Roman" w:cs="Times New Roman" w:eastAsia="Times New Roman" w:hAnsi="Times New Roman"/>
          <w:sz w:val="18"/>
          <w:szCs w:val="18"/>
          <w:color w:val="010000"/>
        </w:rPr>
      </w:pPr>
    </w:p>
    <w:p>
      <w:pPr>
        <w:jc w:val="both"/>
        <w:ind w:firstLine="656"/>
        <w:spacing w:after="0" w:line="266" w:lineRule="auto"/>
        <w:tabs>
          <w:tab w:leader="none" w:pos="1427"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w:t>
      </w:r>
    </w:p>
    <w:p>
      <w:pPr>
        <w:spacing w:after="0" w:line="175" w:lineRule="exact"/>
        <w:rPr>
          <w:rFonts w:ascii="Times New Roman" w:cs="Times New Roman" w:eastAsia="Times New Roman" w:hAnsi="Times New Roman"/>
          <w:sz w:val="18"/>
          <w:szCs w:val="18"/>
          <w:color w:val="010000"/>
        </w:rPr>
      </w:pPr>
    </w:p>
    <w:p>
      <w:pPr>
        <w:ind w:left="1320" w:hanging="664"/>
        <w:spacing w:after="0"/>
        <w:tabs>
          <w:tab w:leader="none" w:pos="132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words in the singular include the plural and in the plural include the singular, unless the context requires otherwise;</w:t>
      </w:r>
    </w:p>
    <w:p>
      <w:pPr>
        <w:spacing w:after="0" w:line="225" w:lineRule="exact"/>
        <w:rPr>
          <w:rFonts w:ascii="Times New Roman" w:cs="Times New Roman" w:eastAsia="Times New Roman" w:hAnsi="Times New Roman"/>
          <w:sz w:val="18"/>
          <w:szCs w:val="18"/>
          <w:color w:val="010000"/>
        </w:rPr>
      </w:pPr>
    </w:p>
    <w:p>
      <w:pPr>
        <w:ind w:firstLine="656"/>
        <w:spacing w:after="0" w:line="282" w:lineRule="auto"/>
        <w:tabs>
          <w:tab w:leader="none" w:pos="1306"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“herein,” “hereof’ and other words of similar import refer to this Indenture as a whole and not to any particular Article, Section or other subdivision of this Indenture, unless the context requires otherwise;</w:t>
      </w:r>
    </w:p>
    <w:p>
      <w:pPr>
        <w:spacing w:after="0" w:line="161" w:lineRule="exact"/>
        <w:rPr>
          <w:rFonts w:ascii="Times New Roman" w:cs="Times New Roman" w:eastAsia="Times New Roman" w:hAnsi="Times New Roman"/>
          <w:sz w:val="18"/>
          <w:szCs w:val="18"/>
          <w:color w:val="010000"/>
        </w:rPr>
      </w:pPr>
    </w:p>
    <w:p>
      <w:pPr>
        <w:ind w:left="1320" w:hanging="664"/>
        <w:spacing w:after="0"/>
        <w:tabs>
          <w:tab w:leader="none" w:pos="132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references to currency mean the lawful currency of the United States of America, unless the context requires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ind w:left="1340" w:hanging="684"/>
        <w:spacing w:after="0"/>
        <w:tabs>
          <w:tab w:leader="none" w:pos="1340"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exhibits, schedules and other attachments to this Indenture are deemed to form part of this Indenture; and</w:t>
      </w:r>
    </w:p>
    <w:p>
      <w:pPr>
        <w:spacing w:after="0" w:line="225" w:lineRule="exact"/>
        <w:rPr>
          <w:rFonts w:ascii="Times New Roman" w:cs="Times New Roman" w:eastAsia="Times New Roman" w:hAnsi="Times New Roman"/>
          <w:sz w:val="18"/>
          <w:szCs w:val="18"/>
          <w:color w:val="010000"/>
        </w:rPr>
      </w:pPr>
    </w:p>
    <w:p>
      <w:pPr>
        <w:ind w:firstLine="656"/>
        <w:spacing w:after="0" w:line="282" w:lineRule="auto"/>
        <w:tabs>
          <w:tab w:leader="none" w:pos="1333"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term “interest,” when used with respect to a Note, means any Special Interest, Additional Interest or Default Interest, in each case to the extent the same is payable on the Notes, unless the context requires otherwise.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NOTES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2.01</w:t>
      </w:r>
      <w:r>
        <w:rPr>
          <w:sz w:val="20"/>
          <w:szCs w:val="20"/>
          <w:color w:val="auto"/>
        </w:rPr>
        <w:tab/>
      </w:r>
      <w:r>
        <w:rPr>
          <w:rFonts w:ascii="Times New Roman" w:cs="Times New Roman" w:eastAsia="Times New Roman" w:hAnsi="Times New Roman"/>
          <w:sz w:val="17"/>
          <w:szCs w:val="17"/>
          <w:b w:val="1"/>
          <w:bCs w:val="1"/>
          <w:color w:val="auto"/>
        </w:rPr>
        <w:t>FORM, DATING AND DENOMINATIONS.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The Notes and the Trustee’s certificate of authentication will be substantially in the form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The Notes will bear the legends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xml:space="preserve"> and may bear notations, legends or endorsements required by law, stock exchange rule or usage or the Depositary. Each Note will be dated as of the date of its authentication.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Except to the extent otherwise provided in a Company Order delivered to the Trustee in connection with the issuance and authentication thereof, the Notes will be issued initially in the form of one or more Global Notes. Global Notes may be exchanged for Physical Notes, and Physical Notes may be exchanged for Global Notes, only as provided in </w:t>
      </w:r>
      <w:r>
        <w:rPr>
          <w:rFonts w:ascii="Times New Roman" w:cs="Times New Roman" w:eastAsia="Times New Roman" w:hAnsi="Times New Roman"/>
          <w:sz w:val="18"/>
          <w:szCs w:val="18"/>
          <w:b w:val="1"/>
          <w:bCs w:val="1"/>
          <w:color w:val="auto"/>
        </w:rPr>
        <w:t>Section 2.10</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Notes will be issuable only in registered form without interest coupons and only in Authorized Denominations.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certificate representing a Note will bear a unique registration number that is not affixed to any other certificate representing another outstanding Note.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terms contained in the Notes constitute part of this Indenture, and, to the extent applicable, the Company and the Trustee, by their execution and delivery of this Indenture, agree to such terms and to be bound thereby;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to the extent that any provision of any Note conflicts with the provisions of this Indenture, the provisions of this Indenture will control for purposes of this Indenture and such Note.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2.02</w:t>
      </w:r>
      <w:r>
        <w:rPr>
          <w:sz w:val="20"/>
          <w:szCs w:val="20"/>
          <w:color w:val="auto"/>
        </w:rPr>
        <w:tab/>
      </w:r>
      <w:r>
        <w:rPr>
          <w:rFonts w:ascii="Times New Roman" w:cs="Times New Roman" w:eastAsia="Times New Roman" w:hAnsi="Times New Roman"/>
          <w:sz w:val="17"/>
          <w:szCs w:val="17"/>
          <w:b w:val="1"/>
          <w:bCs w:val="1"/>
          <w:color w:val="auto"/>
        </w:rPr>
        <w:t>EXECUTION, AUTHENTICATION AND DELIVERY.</w:t>
      </w:r>
    </w:p>
    <w:p>
      <w:pPr>
        <w:spacing w:after="0" w:line="225" w:lineRule="exact"/>
        <w:rPr>
          <w:sz w:val="20"/>
          <w:szCs w:val="20"/>
          <w:color w:val="auto"/>
        </w:rPr>
      </w:pPr>
    </w:p>
    <w:p>
      <w:pPr>
        <w:jc w:val="both"/>
        <w:ind w:firstLine="656"/>
        <w:spacing w:after="0" w:line="268" w:lineRule="auto"/>
        <w:tabs>
          <w:tab w:leader="none" w:pos="1406"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Due Execution by the Company. </w:t>
      </w:r>
      <w:r>
        <w:rPr>
          <w:rFonts w:ascii="Times New Roman" w:cs="Times New Roman" w:eastAsia="Times New Roman" w:hAnsi="Times New Roman"/>
          <w:sz w:val="18"/>
          <w:szCs w:val="18"/>
          <w:color w:val="auto"/>
        </w:rPr>
        <w:t>At least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duly authorized Officer will sign the Notes on behalf of the Company by manual,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or facsimile signature. A Note’s validity will not be affected by the failure of any Officer whose signature is on any Note to hold, at the time such Note is authenticated, the same or any other office at the Company.</w:t>
      </w:r>
    </w:p>
    <w:p>
      <w:pPr>
        <w:spacing w:after="0" w:line="172" w:lineRule="exact"/>
        <w:rPr>
          <w:rFonts w:ascii="Times New Roman" w:cs="Times New Roman" w:eastAsia="Times New Roman" w:hAnsi="Times New Roman"/>
          <w:sz w:val="18"/>
          <w:szCs w:val="18"/>
          <w:color w:val="010000"/>
        </w:rPr>
      </w:pPr>
    </w:p>
    <w:p>
      <w:pPr>
        <w:ind w:left="1340" w:hanging="684"/>
        <w:spacing w:after="0"/>
        <w:tabs>
          <w:tab w:leader="none" w:pos="1340"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Authentication by the Trustee and Delivery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010000"/>
        </w:rPr>
      </w:pPr>
    </w:p>
    <w:p>
      <w:pPr>
        <w:ind w:left="660" w:firstLine="644"/>
        <w:spacing w:after="0" w:line="282" w:lineRule="auto"/>
        <w:tabs>
          <w:tab w:leader="none" w:pos="202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Note will be valid until it is authenticated by the Trustee. A Note will be deemed to be duly authenticated only when an authorized signatory of the Trustee (or a duly appointed authenticating agent) manually signs the certificate of authentication of such Note.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04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will cause an authorized signatory of the Trustee (or a duly appointed authenticating agent) to manually sign the certificate of authentication of a Note only if (1) the Company delivers such Note to the Trustee; (2) such Note is executed by the Company in accordance with </w:t>
      </w:r>
      <w:r>
        <w:rPr>
          <w:rFonts w:ascii="Times New Roman" w:cs="Times New Roman" w:eastAsia="Times New Roman" w:hAnsi="Times New Roman"/>
          <w:sz w:val="18"/>
          <w:szCs w:val="18"/>
          <w:b w:val="1"/>
          <w:bCs w:val="1"/>
          <w:color w:val="auto"/>
        </w:rPr>
        <w:t>Section 2.02(A)</w:t>
      </w:r>
      <w:r>
        <w:rPr>
          <w:rFonts w:ascii="Times New Roman" w:cs="Times New Roman" w:eastAsia="Times New Roman" w:hAnsi="Times New Roman"/>
          <w:sz w:val="18"/>
          <w:szCs w:val="18"/>
          <w:color w:val="auto"/>
        </w:rPr>
        <w:t>; and (3) the Company delivers a Company Order to the Trustee that (a) requests the Trustee to authenticate such Note; and (b) sets forth the name of the Holder of such Note and the date as of which such Note is to be authenticated. If such Company Order also requests the Trustee to deliver such Note to any Holder or to the Depositary, then the Trustee will promptly deliver such Note in accordance with such Company Order.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both"/>
        <w:ind w:left="660" w:firstLine="644"/>
        <w:spacing w:after="0" w:line="258" w:lineRule="auto"/>
        <w:tabs>
          <w:tab w:leader="none" w:pos="217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appoint an authenticating agent acceptable to the Company to authenticate Notes. A duly appointed authenticating agent may authenticate Notes whenever the Trustee may do so under this Indenture, and a Note authenticated as provided in this Indenture by such an agent will be deemed, for purposes of this Indenture, to be authenticated by the Trustee. Each duly appointed authenticating agent will have the same rights to deal with the Company as the Trustee would have if it were performing the duties that the authenticating agent was validly appointed to undertake.</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2.03</w:t>
      </w:r>
      <w:r>
        <w:rPr>
          <w:sz w:val="20"/>
          <w:szCs w:val="20"/>
          <w:color w:val="auto"/>
        </w:rPr>
        <w:tab/>
      </w:r>
      <w:r>
        <w:rPr>
          <w:rFonts w:ascii="Times New Roman" w:cs="Times New Roman" w:eastAsia="Times New Roman" w:hAnsi="Times New Roman"/>
          <w:sz w:val="18"/>
          <w:szCs w:val="18"/>
          <w:b w:val="1"/>
          <w:bCs w:val="1"/>
          <w:color w:val="auto"/>
        </w:rPr>
        <w:t>INITIAL NOTES AND ADDITIONAL NOTES.</w:t>
      </w:r>
    </w:p>
    <w:p>
      <w:pPr>
        <w:spacing w:after="0" w:line="227" w:lineRule="exact"/>
        <w:rPr>
          <w:sz w:val="20"/>
          <w:szCs w:val="20"/>
          <w:color w:val="auto"/>
        </w:rPr>
      </w:pPr>
    </w:p>
    <w:p>
      <w:pPr>
        <w:jc w:val="both"/>
        <w:ind w:firstLine="656"/>
        <w:spacing w:after="0" w:line="267" w:lineRule="auto"/>
        <w:tabs>
          <w:tab w:leader="none" w:pos="1357" w:val="left"/>
        </w:tabs>
        <w:numPr>
          <w:ilvl w:val="0"/>
          <w:numId w:val="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Initial Notes. </w:t>
      </w:r>
      <w:r>
        <w:rPr>
          <w:rFonts w:ascii="Times New Roman" w:cs="Times New Roman" w:eastAsia="Times New Roman" w:hAnsi="Times New Roman"/>
          <w:sz w:val="18"/>
          <w:szCs w:val="18"/>
          <w:color w:val="auto"/>
        </w:rPr>
        <w:t>On the Issue Date, there will be originally issued three hundred twenty million dollars ($320,000,000) aggregate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 of Notes, subject to the provisions of this Indenture (including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Notes issued pursuant to this </w:t>
      </w:r>
      <w:r>
        <w:rPr>
          <w:rFonts w:ascii="Times New Roman" w:cs="Times New Roman" w:eastAsia="Times New Roman" w:hAnsi="Times New Roman"/>
          <w:sz w:val="18"/>
          <w:szCs w:val="18"/>
          <w:b w:val="1"/>
          <w:bCs w:val="1"/>
          <w:color w:val="auto"/>
        </w:rPr>
        <w:t>Section 2.03(A)</w:t>
      </w:r>
      <w:r>
        <w:rPr>
          <w:rFonts w:ascii="Times New Roman" w:cs="Times New Roman" w:eastAsia="Times New Roman" w:hAnsi="Times New Roman"/>
          <w:sz w:val="18"/>
          <w:szCs w:val="18"/>
          <w:color w:val="auto"/>
        </w:rPr>
        <w:t xml:space="preserve">, and any Notes issued in exchange therefor or in substitution thereof, are referred to in this Indenture as the </w:t>
      </w:r>
      <w:r>
        <w:rPr>
          <w:rFonts w:ascii="Times New Roman" w:cs="Times New Roman" w:eastAsia="Times New Roman" w:hAnsi="Times New Roman"/>
          <w:sz w:val="18"/>
          <w:szCs w:val="18"/>
          <w:b w:val="1"/>
          <w:bCs w:val="1"/>
          <w:color w:val="auto"/>
        </w:rPr>
        <w:t>“Initial Notes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171" w:lineRule="exact"/>
        <w:rPr>
          <w:rFonts w:ascii="Times New Roman" w:cs="Times New Roman" w:eastAsia="Times New Roman" w:hAnsi="Times New Roman"/>
          <w:sz w:val="18"/>
          <w:szCs w:val="18"/>
          <w:color w:val="010000"/>
        </w:rPr>
      </w:pPr>
    </w:p>
    <w:p>
      <w:pPr>
        <w:jc w:val="both"/>
        <w:ind w:firstLine="656"/>
        <w:spacing w:after="0" w:line="256" w:lineRule="auto"/>
        <w:tabs>
          <w:tab w:leader="none" w:pos="1207" w:val="left"/>
        </w:tabs>
        <w:numPr>
          <w:ilvl w:val="0"/>
          <w:numId w:val="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Additional Notes. </w:t>
      </w:r>
      <w:r>
        <w:rPr>
          <w:rFonts w:ascii="Times New Roman" w:cs="Times New Roman" w:eastAsia="Times New Roman" w:hAnsi="Times New Roman"/>
          <w:sz w:val="18"/>
          <w:szCs w:val="18"/>
          <w:color w:val="auto"/>
        </w:rPr>
        <w:t>Without the consent of any Holder, the Company may, subject to the provisions of this Indenture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2.02</w:t>
      </w:r>
      <w:r>
        <w:rPr>
          <w:rFonts w:ascii="Times New Roman" w:cs="Times New Roman" w:eastAsia="Times New Roman" w:hAnsi="Times New Roman"/>
          <w:sz w:val="18"/>
          <w:szCs w:val="18"/>
          <w:color w:val="auto"/>
        </w:rPr>
        <w:t>), originally issue additional Notes with the same terms as the Initial Notes (except, to the extent applicable, with respect to the date on which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Interest or Additional Interest begins to accrue on such additional Notes and the Last Original Issue Date of such additional Notes), which additional Notes will, subject to the foregoing, be considered to be part of the same series of, and rank equally and ratably with all other, Notes issued under this Indenture;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if any such additional Notes (and any Notes that are resold after such Notes have been purchased or otherwise acquired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its Subsidiaries) are not fungible with other Notes issued under this Indenture for purposes of federal income tax or federal securities laws or, if applicable, the Depositary Procedures, then such additional or resold Notes will be identified by a separate CUSIP number or by no CUSIP number.</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2.04</w:t>
      </w:r>
      <w:r>
        <w:rPr>
          <w:sz w:val="20"/>
          <w:szCs w:val="20"/>
          <w:color w:val="auto"/>
        </w:rPr>
        <w:tab/>
      </w:r>
      <w:r>
        <w:rPr>
          <w:rFonts w:ascii="Times New Roman" w:cs="Times New Roman" w:eastAsia="Times New Roman" w:hAnsi="Times New Roman"/>
          <w:sz w:val="17"/>
          <w:szCs w:val="17"/>
          <w:b w:val="1"/>
          <w:bCs w:val="1"/>
          <w:color w:val="auto"/>
        </w:rPr>
        <w:t>METHOD OF PAYMENT.</w:t>
      </w:r>
    </w:p>
    <w:p>
      <w:pPr>
        <w:spacing w:after="0" w:line="227" w:lineRule="exact"/>
        <w:rPr>
          <w:sz w:val="20"/>
          <w:szCs w:val="20"/>
          <w:color w:val="auto"/>
        </w:rPr>
      </w:pPr>
    </w:p>
    <w:p>
      <w:pPr>
        <w:jc w:val="both"/>
        <w:ind w:firstLine="656"/>
        <w:spacing w:after="0" w:line="261" w:lineRule="auto"/>
        <w:tabs>
          <w:tab w:leader="none" w:pos="1298" w:val="left"/>
        </w:tabs>
        <w:numPr>
          <w:ilvl w:val="1"/>
          <w:numId w:val="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Global Notes. </w:t>
      </w:r>
      <w:r>
        <w:rPr>
          <w:rFonts w:ascii="Times New Roman" w:cs="Times New Roman" w:eastAsia="Times New Roman" w:hAnsi="Times New Roman"/>
          <w:sz w:val="18"/>
          <w:szCs w:val="18"/>
          <w:color w:val="auto"/>
        </w:rPr>
        <w:t>The Company will pay, or cause the Paying Agent to pay, the principal (whether due upon maturity on the Maturity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on a Redemption Date or repurchase on a Fundamental Change Repurchase Date or otherwise) of, Special Interest, if any, or Additional Interest, if any, on, and any cash Conversion Consideration for, any Global Note to the Depositary by wire transfer of immediately available funds no later than the time the same is due as provided in this Indenture.</w:t>
      </w:r>
    </w:p>
    <w:p>
      <w:pPr>
        <w:spacing w:after="0" w:line="179" w:lineRule="exact"/>
        <w:rPr>
          <w:rFonts w:ascii="Times New Roman" w:cs="Times New Roman" w:eastAsia="Times New Roman" w:hAnsi="Times New Roman"/>
          <w:sz w:val="18"/>
          <w:szCs w:val="18"/>
          <w:color w:val="010000"/>
        </w:rPr>
      </w:pPr>
    </w:p>
    <w:p>
      <w:pPr>
        <w:jc w:val="both"/>
        <w:ind w:firstLine="656"/>
        <w:spacing w:after="0" w:line="252" w:lineRule="auto"/>
        <w:tabs>
          <w:tab w:leader="none" w:pos="1185" w:val="left"/>
        </w:tabs>
        <w:numPr>
          <w:ilvl w:val="1"/>
          <w:numId w:val="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Physical Notes. </w:t>
      </w:r>
      <w:r>
        <w:rPr>
          <w:rFonts w:ascii="Times New Roman" w:cs="Times New Roman" w:eastAsia="Times New Roman" w:hAnsi="Times New Roman"/>
          <w:sz w:val="18"/>
          <w:szCs w:val="18"/>
          <w:color w:val="auto"/>
        </w:rPr>
        <w:t>The Company will pay, or cause the Paying Agent to pay, the principal (whether due upon maturity on the Maturity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on a Redemption Date or repurchase on a Fundamental Change Repurchase Date or otherwise) of, Special Interest, if any, or Additional Interest, if any, on, and any cash Conversion Consideration for, any Physical Note no later than the time the same is due as provided in this Indenture as follows: (i) if the principal amount of such Physical Note is at least five million dollars ($5,000,000) (or such lower amount as the Company may choose in its sole and absolute discretion) and the Holder of such Physical Note entitled to such payment has delivered to the Paying Agent or the Trustee, no later than the time set forth in the immediately following sentence, a written request that the Company make such payment by wire transfer to an account of such Holder within the United States, by wire transfer of immediately available funds to such account; and (ii) in all other cases, by check mailed to the address of the Holder of such Physical Note entitled to such payment as set forth in the Register. To be timely, such written request must be so delivered no later than the Close of Business on the following date: (x) with respect to the payment of any Special Interest or Additional Interest, if any, due on an Interest Payment Date, the immediately preceding Interest Record Date; (y) with respect to any cash Conversion Consideration, the relevant Conversion Date; and</w:t>
      </w:r>
    </w:p>
    <w:p>
      <w:pPr>
        <w:spacing w:after="0" w:line="7" w:lineRule="exact"/>
        <w:rPr>
          <w:rFonts w:ascii="Times New Roman" w:cs="Times New Roman" w:eastAsia="Times New Roman" w:hAnsi="Times New Roman"/>
          <w:sz w:val="18"/>
          <w:szCs w:val="18"/>
          <w:color w:val="010000"/>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payment, the date that is fifteen (15) calendar days immediately before the date such payment is due.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2.05</w:t>
      </w:r>
      <w:r>
        <w:rPr>
          <w:sz w:val="20"/>
          <w:szCs w:val="20"/>
          <w:color w:val="auto"/>
        </w:rPr>
        <w:tab/>
      </w:r>
      <w:r>
        <w:rPr>
          <w:rFonts w:ascii="Times New Roman" w:cs="Times New Roman" w:eastAsia="Times New Roman" w:hAnsi="Times New Roman"/>
          <w:sz w:val="18"/>
          <w:szCs w:val="18"/>
          <w:b w:val="1"/>
          <w:bCs w:val="1"/>
          <w:color w:val="auto"/>
        </w:rPr>
        <w:t>NO REGULAR INTEREST; ACCRUAL AND PAYMENT OF SPECIAL INTEREST AND ADDITIONAL INTEREST; DEFAULTED AMOUNTS; WHEN PAYMENT DATE IS NOT A BUSINESS DAY.</w:t>
      </w:r>
    </w:p>
    <w:p>
      <w:pPr>
        <w:spacing w:after="0" w:line="157" w:lineRule="exact"/>
        <w:rPr>
          <w:sz w:val="20"/>
          <w:szCs w:val="20"/>
          <w:color w:val="auto"/>
        </w:rPr>
      </w:pPr>
    </w:p>
    <w:p>
      <w:pPr>
        <w:jc w:val="both"/>
        <w:ind w:firstLine="656"/>
        <w:spacing w:after="0" w:line="254" w:lineRule="auto"/>
        <w:tabs>
          <w:tab w:leader="none" w:pos="1339" w:val="left"/>
        </w:tabs>
        <w:numPr>
          <w:ilvl w:val="0"/>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No Regular Interest; Accrual and Payment of Special Interest and Additional Interest. </w:t>
      </w:r>
      <w:r>
        <w:rPr>
          <w:rFonts w:ascii="Times New Roman" w:cs="Times New Roman" w:eastAsia="Times New Roman" w:hAnsi="Times New Roman"/>
          <w:sz w:val="18"/>
          <w:szCs w:val="18"/>
          <w:color w:val="auto"/>
        </w:rPr>
        <w:t>The Notes will not bear regular interest,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principal amount of the Notes will not accrete;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Additional Interest and Special Interest will accrue on the Notes to the extent, and only to the extent, provided in </w:t>
      </w:r>
      <w:r>
        <w:rPr>
          <w:rFonts w:ascii="Times New Roman" w:cs="Times New Roman" w:eastAsia="Times New Roman" w:hAnsi="Times New Roman"/>
          <w:sz w:val="18"/>
          <w:szCs w:val="18"/>
          <w:b w:val="1"/>
          <w:bCs w:val="1"/>
          <w:color w:val="auto"/>
        </w:rPr>
        <w:t>Sections 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7.03</w:t>
      </w:r>
      <w:r>
        <w:rPr>
          <w:rFonts w:ascii="Times New Roman" w:cs="Times New Roman" w:eastAsia="Times New Roman" w:hAnsi="Times New Roman"/>
          <w:sz w:val="18"/>
          <w:szCs w:val="18"/>
          <w:color w:val="auto"/>
        </w:rPr>
        <w:t xml:space="preserve">, respectively. If any Special Interest or Additional Interest has accrued on any Note, then such interest will be payable in arrears on the next Interest Payment Date to the Holder of such Note as of the Close of Business on the immediately preceding Interest Record Date. The amount of any such Special Interest or Additional Interest that is payable on any applicable Interest Payment Date will be the amount of unpaid Special Interest or Additional Interest, as applicable, that has accrued from, and including, the last date as of which such interest has been paid or duly provided for (or if later, the date as of which such interest has begun to accrue, as provided in </w:t>
      </w:r>
      <w:r>
        <w:rPr>
          <w:rFonts w:ascii="Times New Roman" w:cs="Times New Roman" w:eastAsia="Times New Roman" w:hAnsi="Times New Roman"/>
          <w:sz w:val="18"/>
          <w:szCs w:val="18"/>
          <w:b w:val="1"/>
          <w:bCs w:val="1"/>
          <w:color w:val="auto"/>
        </w:rPr>
        <w:t>Section 3.04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7.03</w:t>
      </w:r>
      <w:r>
        <w:rPr>
          <w:rFonts w:ascii="Times New Roman" w:cs="Times New Roman" w:eastAsia="Times New Roman" w:hAnsi="Times New Roman"/>
          <w:sz w:val="18"/>
          <w:szCs w:val="18"/>
          <w:color w:val="auto"/>
        </w:rPr>
        <w:t xml:space="preserve">, as applicable) to, but excluding, such Interest Payment Date (or, if earlier, the date as of which such interest has ceased to accrue, as provided in </w:t>
      </w:r>
      <w:r>
        <w:rPr>
          <w:rFonts w:ascii="Times New Roman" w:cs="Times New Roman" w:eastAsia="Times New Roman" w:hAnsi="Times New Roman"/>
          <w:sz w:val="18"/>
          <w:szCs w:val="18"/>
          <w:b w:val="1"/>
          <w:bCs w:val="1"/>
          <w:color w:val="auto"/>
        </w:rPr>
        <w:t>Section 3.04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7.03</w:t>
      </w:r>
      <w:r>
        <w:rPr>
          <w:rFonts w:ascii="Times New Roman" w:cs="Times New Roman" w:eastAsia="Times New Roman" w:hAnsi="Times New Roman"/>
          <w:sz w:val="18"/>
          <w:szCs w:val="18"/>
          <w:color w:val="auto"/>
        </w:rPr>
        <w:t>, as applicable). Additional Interest and Special Interest, if any, on the Notes will be computed on the basis of a 360-day year comprised of twelve 30-day months.</w:t>
      </w:r>
    </w:p>
    <w:p>
      <w:pPr>
        <w:spacing w:after="0" w:line="183" w:lineRule="exact"/>
        <w:rPr>
          <w:rFonts w:ascii="Times New Roman" w:cs="Times New Roman" w:eastAsia="Times New Roman" w:hAnsi="Times New Roman"/>
          <w:sz w:val="18"/>
          <w:szCs w:val="18"/>
          <w:color w:val="010000"/>
        </w:rPr>
      </w:pPr>
    </w:p>
    <w:p>
      <w:pPr>
        <w:jc w:val="both"/>
        <w:ind w:firstLine="656"/>
        <w:spacing w:after="0" w:line="254" w:lineRule="auto"/>
        <w:tabs>
          <w:tab w:leader="none" w:pos="1396" w:val="left"/>
        </w:tabs>
        <w:numPr>
          <w:ilvl w:val="0"/>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Defaulted Amounts. </w:t>
      </w:r>
      <w:r>
        <w:rPr>
          <w:rFonts w:ascii="Times New Roman" w:cs="Times New Roman" w:eastAsia="Times New Roman" w:hAnsi="Times New Roman"/>
          <w:sz w:val="18"/>
          <w:szCs w:val="18"/>
          <w:color w:val="auto"/>
        </w:rPr>
        <w:t>If the Company fails to pay any amount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“Defaulted Amount</w:t>
      </w:r>
      <w:r>
        <w:rPr>
          <w:rFonts w:ascii="Times New Roman" w:cs="Times New Roman" w:eastAsia="Times New Roman" w:hAnsi="Times New Roman"/>
          <w:sz w:val="18"/>
          <w:szCs w:val="18"/>
          <w:color w:val="auto"/>
        </w:rPr>
        <w:t>”) payable on a Note on or before the due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 as provided in this Indenture, then, regardless of whether such failure constitutes an Event of Default, (i) such Defaulted Amount will forthwith cease to be payable to the Holder of such Note otherwise entitled to such payment; (ii) to the extent lawful, interest (</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xml:space="preserve">) will accrue on such Defaulted Amount for each day, if any, during the period from, and including, such due date to, but excluding, the date of payment of such Defaulted Amount and Default Interest, which Default Interest will accrue on each such day at the combined rate at which Special Interest and Additional Interest accrues on such Note on such day (it being understood, for the avoidance of doubt, that no Default Interest will accrue on such Note on any day on which no Special Interest or Additional Interest accrues on such Note); (iii) such Defaulted Amount and Default Interest will be paid on a payment date selected by the Company to the Holder of such Note as of the Close of Business on a special record date selected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special record date must be no more than fifteen (15), nor less than ten (10), calendar days before such payment date; and (iv) at least fifteen (15) calendar days before such special record date, the Company will send notice to the Trustee and the Holders that states such special record date, such payment date and the amount of such Defaulted Amount and Default Interest to be paid on such payment date.</w:t>
      </w:r>
    </w:p>
    <w:p>
      <w:pPr>
        <w:spacing w:after="0" w:line="184" w:lineRule="exact"/>
        <w:rPr>
          <w:rFonts w:ascii="Times New Roman" w:cs="Times New Roman" w:eastAsia="Times New Roman" w:hAnsi="Times New Roman"/>
          <w:sz w:val="18"/>
          <w:szCs w:val="18"/>
          <w:color w:val="010000"/>
        </w:rPr>
      </w:pPr>
    </w:p>
    <w:p>
      <w:pPr>
        <w:jc w:val="both"/>
        <w:ind w:firstLine="656"/>
        <w:spacing w:after="0" w:line="258" w:lineRule="auto"/>
        <w:tabs>
          <w:tab w:leader="none" w:pos="1261" w:val="left"/>
        </w:tabs>
        <w:numPr>
          <w:ilvl w:val="0"/>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Delay of Payment When Payment Date is Not a Business Day. </w:t>
      </w:r>
      <w:r>
        <w:rPr>
          <w:rFonts w:ascii="Times New Roman" w:cs="Times New Roman" w:eastAsia="Times New Roman" w:hAnsi="Times New Roman"/>
          <w:sz w:val="18"/>
          <w:szCs w:val="18"/>
          <w:color w:val="auto"/>
        </w:rPr>
        <w:t>If the due date for a payment on a Note as provided in this Indenture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Business Day, then, notwithstanding anything to the contrary in this Indenture or the Notes, such payment may be made on the immediately following Business Day with the same force and effect as if such payment were made on such due date (and, for the avoidance of doubt,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2.06</w:t>
      </w:r>
      <w:r>
        <w:rPr>
          <w:sz w:val="20"/>
          <w:szCs w:val="20"/>
          <w:color w:val="auto"/>
        </w:rPr>
        <w:tab/>
      </w:r>
      <w:r>
        <w:rPr>
          <w:rFonts w:ascii="Times New Roman" w:cs="Times New Roman" w:eastAsia="Times New Roman" w:hAnsi="Times New Roman"/>
          <w:sz w:val="17"/>
          <w:szCs w:val="17"/>
          <w:b w:val="1"/>
          <w:bCs w:val="1"/>
          <w:color w:val="auto"/>
        </w:rPr>
        <w:t>REGISTRAR, PAYING AGENT AND CONVERSION AGENT.</w:t>
      </w:r>
    </w:p>
    <w:p>
      <w:pPr>
        <w:spacing w:after="0" w:line="227" w:lineRule="exact"/>
        <w:rPr>
          <w:sz w:val="20"/>
          <w:szCs w:val="20"/>
          <w:color w:val="auto"/>
        </w:rPr>
      </w:pPr>
    </w:p>
    <w:p>
      <w:pPr>
        <w:jc w:val="both"/>
        <w:ind w:firstLine="656"/>
        <w:spacing w:after="0" w:line="255" w:lineRule="auto"/>
        <w:tabs>
          <w:tab w:leader="none" w:pos="1226"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The Company will maintain one or more offices or agencies in the continental United States where Notes may be presented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registration of transfer or for exchange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xml:space="preserve">”); (ii) an office or agency in the continental United States where Notes may be presented for payment (the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xml:space="preserve">); and (iii) an office or agency in the continental United States where Notes may be presented for Conversion (the </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If the Company fails to maintain a Registrar, Paying Agent or Conversion Agent, then the Trustee will act as such and will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compensation therefore in accordance with this Indenture and any other agreement between the Trustee and the Company. For the avoidance of doubt, the Company or any of its Subsidiaries may act as Registrar, Paying Agent or Conversion Agent. Notwithstanding anything to the contrary in this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2.06(A)</w:t>
      </w:r>
      <w:r>
        <w:rPr>
          <w:rFonts w:ascii="Times New Roman" w:cs="Times New Roman" w:eastAsia="Times New Roman" w:hAnsi="Times New Roman"/>
          <w:sz w:val="18"/>
          <w:szCs w:val="18"/>
          <w:color w:val="auto"/>
        </w:rPr>
        <w:t>, each of the Registrar, Paying Agent and Conversion Agent with respect to any Global Note must at all times be a Person that is eligible to act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capacity under the Depositary Procedures.</w:t>
      </w:r>
    </w:p>
    <w:p>
      <w:pPr>
        <w:spacing w:after="0" w:line="182" w:lineRule="exact"/>
        <w:rPr>
          <w:rFonts w:ascii="Times New Roman" w:cs="Times New Roman" w:eastAsia="Times New Roman" w:hAnsi="Times New Roman"/>
          <w:sz w:val="18"/>
          <w:szCs w:val="18"/>
          <w:color w:val="010000"/>
        </w:rPr>
      </w:pPr>
    </w:p>
    <w:p>
      <w:pPr>
        <w:jc w:val="both"/>
        <w:ind w:firstLine="656"/>
        <w:spacing w:after="0" w:line="262" w:lineRule="auto"/>
        <w:tabs>
          <w:tab w:leader="none" w:pos="1347"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Duties of the Registrar. </w:t>
      </w:r>
      <w:r>
        <w:rPr>
          <w:rFonts w:ascii="Times New Roman" w:cs="Times New Roman" w:eastAsia="Times New Roman" w:hAnsi="Times New Roman"/>
          <w:sz w:val="18"/>
          <w:szCs w:val="18"/>
          <w:color w:val="auto"/>
        </w:rPr>
        <w:t>The Registrar will keep a record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of the names and addresses of the Holders, the Notes held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Holder and the transfer, exchange, repurchase, Redemption and Conversion of Notes. Absent manifest error, the entries in the Register will be conclusive and the Company and the Trustee may treat each Person whose name is recorded as a Holder in the Register as a Holder for all purposes. The Register will be in written form or in any form capable of being converted into written form reasonably promptly.</w:t>
      </w:r>
    </w:p>
    <w:p>
      <w:pPr>
        <w:spacing w:after="0" w:line="178" w:lineRule="exact"/>
        <w:rPr>
          <w:rFonts w:ascii="Times New Roman" w:cs="Times New Roman" w:eastAsia="Times New Roman" w:hAnsi="Times New Roman"/>
          <w:sz w:val="18"/>
          <w:szCs w:val="18"/>
          <w:color w:val="010000"/>
        </w:rPr>
      </w:pPr>
    </w:p>
    <w:p>
      <w:pPr>
        <w:jc w:val="both"/>
        <w:ind w:firstLine="656"/>
        <w:spacing w:after="0" w:line="257" w:lineRule="auto"/>
        <w:tabs>
          <w:tab w:leader="none" w:pos="1243"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Co-Agents; Company’s Right to Appoint Successor Registrars, Paying Agents and Conversion Agents. </w:t>
      </w:r>
      <w:r>
        <w:rPr>
          <w:rFonts w:ascii="Times New Roman" w:cs="Times New Roman" w:eastAsia="Times New Roman" w:hAnsi="Times New Roman"/>
          <w:sz w:val="18"/>
          <w:szCs w:val="18"/>
          <w:color w:val="auto"/>
        </w:rPr>
        <w:t>The Company may appoint one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more co-Registrars, co-Paying Agents and co-Conversion Agents, each of whom will be deemed to be a Registrar, Paying Agent or Conversion Agent, as applicable, under this Indenture. Subject to </w:t>
      </w:r>
      <w:r>
        <w:rPr>
          <w:rFonts w:ascii="Times New Roman" w:cs="Times New Roman" w:eastAsia="Times New Roman" w:hAnsi="Times New Roman"/>
          <w:sz w:val="18"/>
          <w:szCs w:val="18"/>
          <w:b w:val="1"/>
          <w:bCs w:val="1"/>
          <w:color w:val="auto"/>
        </w:rPr>
        <w:t>Section 2.06(A)</w:t>
      </w:r>
      <w:r>
        <w:rPr>
          <w:rFonts w:ascii="Times New Roman" w:cs="Times New Roman" w:eastAsia="Times New Roman" w:hAnsi="Times New Roman"/>
          <w:sz w:val="18"/>
          <w:szCs w:val="18"/>
          <w:color w:val="auto"/>
        </w:rPr>
        <w:t>, the Company may change any Registrar, Paying Agent or Conversion Agent (including appointing itself or any of its Subsidiaries to act in such capacity) without notice to any Holder. The Company will notify the Trustee (and, upon request, any Holder) of the name and address of each Note Agent, if any, not a party to this Indenture and will enter into an appropriate agency agreement with each such Note Agent, which agreement will implement the provisions of this Indenture that relate to such Note Agent.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both"/>
        <w:ind w:firstLine="656"/>
        <w:spacing w:after="0" w:line="261" w:lineRule="auto"/>
        <w:tabs>
          <w:tab w:leader="none" w:pos="1239"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Initial Appointments. </w:t>
      </w:r>
      <w:r>
        <w:rPr>
          <w:rFonts w:ascii="Times New Roman" w:cs="Times New Roman" w:eastAsia="Times New Roman" w:hAnsi="Times New Roman"/>
          <w:sz w:val="18"/>
          <w:szCs w:val="18"/>
          <w:color w:val="auto"/>
        </w:rPr>
        <w:t>The Company appoints the Trustee as the initial Paying Agent, the initial Registrar and the initial Conversion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designates the office of the Trustee at U.S. Bank Trust Company, National Association, 1 California Street, Suite 1000, San Francisco, California 94111, Attention: David A. Jason, Vice President (Life360, Inc. Administrator) as the offices for the same (or such other address as the Trustee or applicable Note Agent may designate from time to time by notice to the Holders and the Company).</w:t>
      </w:r>
    </w:p>
    <w:p>
      <w:pPr>
        <w:spacing w:after="0" w:line="17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2.07</w:t>
      </w:r>
      <w:r>
        <w:rPr>
          <w:sz w:val="20"/>
          <w:szCs w:val="20"/>
          <w:color w:val="auto"/>
        </w:rPr>
        <w:tab/>
      </w:r>
      <w:r>
        <w:rPr>
          <w:rFonts w:ascii="Times New Roman" w:cs="Times New Roman" w:eastAsia="Times New Roman" w:hAnsi="Times New Roman"/>
          <w:sz w:val="17"/>
          <w:szCs w:val="17"/>
          <w:b w:val="1"/>
          <w:bCs w:val="1"/>
          <w:color w:val="auto"/>
        </w:rPr>
        <w:t>PAYING AGENT AND CONVERSION AGENT TO HOLD PROPERTY IN TRUST.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will require each Paying Agent or Conversion Agent that is not the Trustee to agree in writing that such Note Agent will (A) hold in trust for the benefit of Holders or the Trustee all money and other property held by such Note Agent for payment or delivery due on the Notes; and</w:t>
      </w:r>
    </w:p>
    <w:p>
      <w:pPr>
        <w:jc w:val="both"/>
        <w:ind w:firstLine="8"/>
        <w:spacing w:after="0" w:line="251" w:lineRule="auto"/>
        <w:tabs>
          <w:tab w:leader="none" w:pos="2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the Trustee of any default by the Company in making any such payment or delivery. The Company, at any time, may, and the Trustee, while any Default continues, may, require a Paying Agent or Conversion Agent to pay or deliver, as applicable, all money and other property held by it to the Trustee, after which payment or delivery, as applicable, such Note Agent (if not the Company or any of its Subsidiaries) will have no further liability for such money or property. If the Company or any of its Subsidiaries acts as Paying Agent or Conversion Agent, then (A) it will segregate and hold in a separate trust fund for the benefit of the Holders or the Trustee all money and other property held by it as Paying Agent or Conversion Agent; and (B) references in this Indenture or the Notes to the Paying Agent or Conversion Agent holding cash or other property, or to the delivery of cash or other property to the Paying Agent or Conversion Agent, in each case for payment or delivery to any Holders or the Trustee or with respect to the Notes, will be deemed to refer to cash or other property so segregated and held separately, or to the segregation and separate holding of such cash or other property, respectively. Upon the occurrence of any event pursuant to </w:t>
      </w:r>
      <w:r>
        <w:rPr>
          <w:rFonts w:ascii="Times New Roman" w:cs="Times New Roman" w:eastAsia="Times New Roman" w:hAnsi="Times New Roman"/>
          <w:sz w:val="18"/>
          <w:szCs w:val="18"/>
          <w:b w:val="1"/>
          <w:bCs w:val="1"/>
          <w:color w:val="auto"/>
        </w:rPr>
        <w:t>clause (viii)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(ix)</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color w:val="auto"/>
        </w:rPr>
        <w:t xml:space="preserve"> with respect to the Company (or with respect to any Subsidiary of the Company acting as Paying Agent or Conversion Agent), the Trustee will serve as the Paying Agent or Conversion Agent, as applicable, for the Notes.</w:t>
      </w:r>
    </w:p>
    <w:p>
      <w:pPr>
        <w:spacing w:after="0" w:line="1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2.08</w:t>
      </w:r>
      <w:r>
        <w:rPr>
          <w:sz w:val="20"/>
          <w:szCs w:val="20"/>
          <w:color w:val="auto"/>
        </w:rPr>
        <w:tab/>
      </w:r>
      <w:r>
        <w:rPr>
          <w:rFonts w:ascii="Times New Roman" w:cs="Times New Roman" w:eastAsia="Times New Roman" w:hAnsi="Times New Roman"/>
          <w:sz w:val="17"/>
          <w:szCs w:val="17"/>
          <w:b w:val="1"/>
          <w:bCs w:val="1"/>
          <w:color w:val="auto"/>
        </w:rPr>
        <w:t>HOLDER LISTS.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Trustee is not the Registrar, then the Company will furnish to the Trustee, no later than seven (7) Business Days before each Interest Payment Date, and at such other times as the Trustee may request, a list, in such form and as of such date or time as the Trustee may reasonably require, of the names and addresses of the Holders.</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2.09</w:t>
      </w:r>
      <w:r>
        <w:rPr>
          <w:sz w:val="20"/>
          <w:szCs w:val="20"/>
          <w:color w:val="auto"/>
        </w:rPr>
        <w:tab/>
      </w:r>
      <w:r>
        <w:rPr>
          <w:rFonts w:ascii="Times New Roman" w:cs="Times New Roman" w:eastAsia="Times New Roman" w:hAnsi="Times New Roman"/>
          <w:sz w:val="17"/>
          <w:szCs w:val="17"/>
          <w:b w:val="1"/>
          <w:bCs w:val="1"/>
          <w:color w:val="auto"/>
        </w:rPr>
        <w:t>LEGENDS.</w:t>
      </w:r>
    </w:p>
    <w:p>
      <w:pPr>
        <w:spacing w:after="0" w:line="227" w:lineRule="exact"/>
        <w:rPr>
          <w:sz w:val="20"/>
          <w:szCs w:val="20"/>
          <w:color w:val="auto"/>
        </w:rPr>
      </w:pPr>
    </w:p>
    <w:p>
      <w:pPr>
        <w:ind w:right="20" w:firstLine="656"/>
        <w:spacing w:after="0" w:line="284" w:lineRule="auto"/>
        <w:tabs>
          <w:tab w:leader="none" w:pos="1352" w:val="left"/>
        </w:tabs>
        <w:numPr>
          <w:ilvl w:val="0"/>
          <w:numId w:val="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Global Note Legend. </w:t>
      </w:r>
      <w:r>
        <w:rPr>
          <w:rFonts w:ascii="Times New Roman" w:cs="Times New Roman" w:eastAsia="Times New Roman" w:hAnsi="Times New Roman"/>
          <w:sz w:val="18"/>
          <w:szCs w:val="18"/>
          <w:color w:val="auto"/>
        </w:rPr>
        <w:t>Each Global Note will bear the Global Note Legend (or any similar legend, not inconsistent with this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the Depositary for such Global Note).</w:t>
      </w:r>
    </w:p>
    <w:p>
      <w:pPr>
        <w:spacing w:after="0" w:line="158"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Non-Affiliate Legend. </w:t>
      </w:r>
      <w:r>
        <w:rPr>
          <w:rFonts w:ascii="Times New Roman" w:cs="Times New Roman" w:eastAsia="Times New Roman" w:hAnsi="Times New Roman"/>
          <w:sz w:val="18"/>
          <w:szCs w:val="18"/>
          <w:color w:val="auto"/>
        </w:rPr>
        <w:t>Each Note will bear the Non-Affiliate Legend.</w:t>
      </w:r>
    </w:p>
    <w:p>
      <w:pPr>
        <w:spacing w:after="0" w:line="223"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Restricted Note Legend. </w:t>
      </w:r>
      <w:r>
        <w:rPr>
          <w:rFonts w:ascii="Times New Roman" w:cs="Times New Roman" w:eastAsia="Times New Roman" w:hAnsi="Times New Roman"/>
          <w:sz w:val="18"/>
          <w:szCs w:val="18"/>
          <w:color w:val="auto"/>
        </w:rPr>
        <w:t>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that is a Transfer-Restricted Security will bear the Restricted Note Legend; and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00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Note is issued in exchange for, in substitution of, or to effect a partial Conversion of, another Note (such other Note being referred to as the “old Note” for purposes of this </w:t>
      </w:r>
      <w:r>
        <w:rPr>
          <w:rFonts w:ascii="Times New Roman" w:cs="Times New Roman" w:eastAsia="Times New Roman" w:hAnsi="Times New Roman"/>
          <w:sz w:val="18"/>
          <w:szCs w:val="18"/>
          <w:b w:val="1"/>
          <w:bCs w:val="1"/>
          <w:color w:val="auto"/>
        </w:rPr>
        <w:t>Section 2.09(C)(ii)</w:t>
      </w:r>
      <w:r>
        <w:rPr>
          <w:rFonts w:ascii="Times New Roman" w:cs="Times New Roman" w:eastAsia="Times New Roman" w:hAnsi="Times New Roman"/>
          <w:sz w:val="18"/>
          <w:szCs w:val="18"/>
          <w:color w:val="auto"/>
        </w:rPr>
        <w:t xml:space="preserve">), including pursuant to </w:t>
      </w:r>
      <w:r>
        <w:rPr>
          <w:rFonts w:ascii="Times New Roman" w:cs="Times New Roman" w:eastAsia="Times New Roman" w:hAnsi="Times New Roman"/>
          <w:sz w:val="18"/>
          <w:szCs w:val="18"/>
          <w:b w:val="1"/>
          <w:bCs w:val="1"/>
          <w:color w:val="auto"/>
        </w:rPr>
        <w:t>Section 2.10(B)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2.10(C)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2.13</w:t>
      </w:r>
      <w:r>
        <w:rPr>
          <w:rFonts w:ascii="Times New Roman" w:cs="Times New Roman" w:eastAsia="Times New Roman" w:hAnsi="Times New Roman"/>
          <w:sz w:val="18"/>
          <w:szCs w:val="18"/>
          <w:color w:val="auto"/>
        </w:rPr>
        <w:t xml:space="preserve">, then such Note will bear the Restricted Note Legend if such old Note bore the Restricted Note Legend at the time of such exchange or substitution, or on the related Conversion Date with respect to such Conversion, as applicable;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Note need not bear the Restricted Note Legend if such Note does not constitute a Transfer-Restricted Security immediately after such exchange or substitution, or as of such Conversion Date, as applicable.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ind w:firstLine="656"/>
        <w:spacing w:after="0" w:line="284" w:lineRule="auto"/>
        <w:tabs>
          <w:tab w:leader="none" w:pos="1258" w:val="left"/>
        </w:tabs>
        <w:numPr>
          <w:ilvl w:val="0"/>
          <w:numId w:val="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Other Legends. </w:t>
      </w:r>
      <w:r>
        <w:rPr>
          <w:rFonts w:ascii="Times New Roman" w:cs="Times New Roman" w:eastAsia="Times New Roman" w:hAnsi="Times New Roman"/>
          <w:sz w:val="18"/>
          <w:szCs w:val="18"/>
          <w:color w:val="auto"/>
        </w:rPr>
        <w:t>A Note may bear any other legend or text, not inconsistent with this Indenture, as may be required by applicable law or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securities exchange or automated quotation system on which such Note is traded or quoted.</w:t>
      </w:r>
    </w:p>
    <w:p>
      <w:pPr>
        <w:spacing w:after="0" w:line="156" w:lineRule="exact"/>
        <w:rPr>
          <w:rFonts w:ascii="Times New Roman" w:cs="Times New Roman" w:eastAsia="Times New Roman" w:hAnsi="Times New Roman"/>
          <w:sz w:val="18"/>
          <w:szCs w:val="18"/>
          <w:color w:val="010000"/>
        </w:rPr>
      </w:pPr>
    </w:p>
    <w:p>
      <w:pPr>
        <w:ind w:firstLine="656"/>
        <w:spacing w:after="0" w:line="286" w:lineRule="auto"/>
        <w:tabs>
          <w:tab w:leader="none" w:pos="1238" w:val="left"/>
        </w:tabs>
        <w:numPr>
          <w:ilvl w:val="0"/>
          <w:numId w:val="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Acknowledgment and Agreement by the Holders. </w:t>
      </w:r>
      <w:r>
        <w:rPr>
          <w:rFonts w:ascii="Times New Roman" w:cs="Times New Roman" w:eastAsia="Times New Roman" w:hAnsi="Times New Roman"/>
          <w:sz w:val="18"/>
          <w:szCs w:val="18"/>
          <w:color w:val="auto"/>
        </w:rPr>
        <w:t>A Holder’s acceptance of any Note bearing any legend required by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such Holder’s acknowledgment of, and agreement to comply with, the restrictions set forth in such legend.</w:t>
      </w:r>
    </w:p>
    <w:p>
      <w:pPr>
        <w:spacing w:after="0" w:line="156" w:lineRule="exact"/>
        <w:rPr>
          <w:rFonts w:ascii="Times New Roman" w:cs="Times New Roman" w:eastAsia="Times New Roman" w:hAnsi="Times New Roman"/>
          <w:sz w:val="18"/>
          <w:szCs w:val="18"/>
          <w:color w:val="010000"/>
        </w:rPr>
      </w:pPr>
    </w:p>
    <w:p>
      <w:pPr>
        <w:ind w:left="1280" w:hanging="624"/>
        <w:spacing w:after="0"/>
        <w:tabs>
          <w:tab w:leader="none" w:pos="1280" w:val="left"/>
        </w:tabs>
        <w:numPr>
          <w:ilvl w:val="0"/>
          <w:numId w:val="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Restricted Stock Legend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010000"/>
        </w:rPr>
      </w:pPr>
    </w:p>
    <w:p>
      <w:pPr>
        <w:jc w:val="both"/>
        <w:ind w:left="660" w:firstLine="644"/>
        <w:spacing w:after="0" w:line="261" w:lineRule="auto"/>
        <w:tabs>
          <w:tab w:leader="none" w:pos="197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Conversion Share will bear the Restricted Stock Legend if the Note upon the Conversion of which such Conversion Share was issued was (or would have been had it not been Converted) a Transfer-Restricted Security at the time such Conversion Share was issued;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such Conversion Share need not bear the Restricted Stock Legend if the Company determines, in its reasonable discretion,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such Conversion Share need not bear the Restricted Stock Legend.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2" w:lineRule="auto"/>
        <w:tabs>
          <w:tab w:leader="none" w:pos="191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Section 2.09(F)</w:t>
      </w:r>
      <w:r>
        <w:rPr>
          <w:rFonts w:ascii="Times New Roman" w:cs="Times New Roman" w:eastAsia="Times New Roman" w:hAnsi="Times New Roman"/>
          <w:sz w:val="18"/>
          <w:szCs w:val="18"/>
          <w:color w:val="auto"/>
        </w:rPr>
        <w:t xml:space="preserve">, a Conversion Share need not bear a Restricted Stock Legend if such Conversion Share is issued in an uncertificated form that does not permit affixing legends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Company takes measures (including the assignment thereto of a “restricted” CUSIP number) that it reasonably deems appropriate to enforce the transfer restrictions referred to in the Restricted Stock Legend.</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2.10</w:t>
      </w:r>
      <w:r>
        <w:rPr>
          <w:sz w:val="20"/>
          <w:szCs w:val="20"/>
          <w:color w:val="auto"/>
        </w:rPr>
        <w:tab/>
      </w:r>
      <w:r>
        <w:rPr>
          <w:rFonts w:ascii="Times New Roman" w:cs="Times New Roman" w:eastAsia="Times New Roman" w:hAnsi="Times New Roman"/>
          <w:sz w:val="17"/>
          <w:szCs w:val="17"/>
          <w:b w:val="1"/>
          <w:bCs w:val="1"/>
          <w:color w:val="auto"/>
        </w:rPr>
        <w:t>TRANSFERS AND EXCHANGES; CERTAIN TRANSFER RESTRICTIONS.</w:t>
      </w:r>
    </w:p>
    <w:p>
      <w:pPr>
        <w:spacing w:after="0" w:line="229" w:lineRule="exact"/>
        <w:rPr>
          <w:sz w:val="20"/>
          <w:szCs w:val="20"/>
          <w:color w:val="auto"/>
        </w:rPr>
      </w:pPr>
    </w:p>
    <w:p>
      <w:pPr>
        <w:ind w:left="1360" w:hanging="704"/>
        <w:spacing w:after="0"/>
        <w:tabs>
          <w:tab w:leader="none" w:pos="1360" w:val="left"/>
        </w:tabs>
        <w:numPr>
          <w:ilvl w:val="0"/>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Provisions Applicable to All Transfers and Exchanges.</w:t>
      </w:r>
    </w:p>
    <w:p>
      <w:pPr>
        <w:spacing w:after="0" w:line="221" w:lineRule="exact"/>
        <w:rPr>
          <w:rFonts w:ascii="Times New Roman" w:cs="Times New Roman" w:eastAsia="Times New Roman" w:hAnsi="Times New Roman"/>
          <w:sz w:val="18"/>
          <w:szCs w:val="18"/>
          <w:color w:val="010000"/>
        </w:rPr>
      </w:pPr>
    </w:p>
    <w:p>
      <w:pPr>
        <w:ind w:left="660" w:firstLine="644"/>
        <w:spacing w:after="0" w:line="286" w:lineRule="auto"/>
        <w:tabs>
          <w:tab w:leader="none" w:pos="194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Subject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2.10</w:t>
      </w:r>
      <w:r>
        <w:rPr>
          <w:rFonts w:ascii="Times New Roman" w:cs="Times New Roman" w:eastAsia="Times New Roman" w:hAnsi="Times New Roman"/>
          <w:sz w:val="18"/>
          <w:szCs w:val="18"/>
          <w:color w:val="auto"/>
        </w:rPr>
        <w:t>, Physical Notes and beneficial interests in Global Notes may be transferred or exchanged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and the Registrar will record each such transfer or exchange in the Register.</w:t>
      </w:r>
    </w:p>
    <w:p>
      <w:pPr>
        <w:spacing w:after="0" w:line="156"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0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Transferred and Exchanged Notes Remain Valid Obligations of the Company. </w:t>
      </w:r>
      <w:r>
        <w:rPr>
          <w:rFonts w:ascii="Times New Roman" w:cs="Times New Roman" w:eastAsia="Times New Roman" w:hAnsi="Times New Roman"/>
          <w:sz w:val="18"/>
          <w:szCs w:val="18"/>
          <w:color w:val="auto"/>
        </w:rPr>
        <w:t>Each Note issued upon transfer or exchange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 Note (such other Note being referred to as the “old Note” for purposes of this </w:t>
      </w:r>
      <w:r>
        <w:rPr>
          <w:rFonts w:ascii="Times New Roman" w:cs="Times New Roman" w:eastAsia="Times New Roman" w:hAnsi="Times New Roman"/>
          <w:sz w:val="18"/>
          <w:szCs w:val="18"/>
          <w:b w:val="1"/>
          <w:bCs w:val="1"/>
          <w:color w:val="auto"/>
        </w:rPr>
        <w:t>Section 2.10(A)(ii)</w:t>
      </w:r>
      <w:r>
        <w:rPr>
          <w:rFonts w:ascii="Times New Roman" w:cs="Times New Roman" w:eastAsia="Times New Roman" w:hAnsi="Times New Roman"/>
          <w:sz w:val="18"/>
          <w:szCs w:val="18"/>
          <w:color w:val="auto"/>
        </w:rPr>
        <w:t>) or portion thereof in accordance with this Indenture will be the valid obligation of the Company, evidencing the same indebtedness, and entitled to the same benefits under this Indenture, as such old Note or portion thereof, as applicable.</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96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Services Charge; Transfer Taxes. </w:t>
      </w:r>
      <w:r>
        <w:rPr>
          <w:rFonts w:ascii="Times New Roman" w:cs="Times New Roman" w:eastAsia="Times New Roman" w:hAnsi="Times New Roman"/>
          <w:sz w:val="18"/>
          <w:szCs w:val="18"/>
          <w:color w:val="auto"/>
        </w:rPr>
        <w:t>The Company, the Trustee and the Note Agents will not impose any service charge 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Holder for any transfer, exchange or Conversion of Notes, but the Company, the Trustee, the Registrar and the Conversion Agent may require payment of a sum sufficient to cover any transfer tax or similar governmental charge that may be imposed in connection with any transfer, exchange or Conversion of Notes, other than exchanges pursuant to </w:t>
      </w:r>
      <w:r>
        <w:rPr>
          <w:rFonts w:ascii="Times New Roman" w:cs="Times New Roman" w:eastAsia="Times New Roman" w:hAnsi="Times New Roman"/>
          <w:sz w:val="18"/>
          <w:szCs w:val="18"/>
          <w:b w:val="1"/>
          <w:bCs w:val="1"/>
          <w:color w:val="auto"/>
        </w:rPr>
        <w:t>Section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2.17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8.05</w:t>
      </w:r>
      <w:r>
        <w:rPr>
          <w:rFonts w:ascii="Times New Roman" w:cs="Times New Roman" w:eastAsia="Times New Roman" w:hAnsi="Times New Roman"/>
          <w:sz w:val="18"/>
          <w:szCs w:val="18"/>
          <w:color w:val="auto"/>
        </w:rPr>
        <w:t xml:space="preserve"> not involving any transfer and subject to the provisions of </w:t>
      </w:r>
      <w:r>
        <w:rPr>
          <w:rFonts w:ascii="Times New Roman" w:cs="Times New Roman" w:eastAsia="Times New Roman" w:hAnsi="Times New Roman"/>
          <w:sz w:val="18"/>
          <w:szCs w:val="18"/>
          <w:b w:val="1"/>
          <w:bCs w:val="1"/>
          <w:color w:val="auto"/>
        </w:rPr>
        <w:t>Section 5.02(E)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7" w:lineRule="auto"/>
        <w:tabs>
          <w:tab w:leader="none" w:pos="19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Transfers and Exchanges Must Be in Authorized Denominations. </w:t>
      </w:r>
      <w:r>
        <w:rPr>
          <w:rFonts w:ascii="Times New Roman" w:cs="Times New Roman" w:eastAsia="Times New Roman" w:hAnsi="Times New Roman"/>
          <w:sz w:val="18"/>
          <w:szCs w:val="18"/>
          <w:color w:val="auto"/>
        </w:rPr>
        <w:t>Notwithstanding anything to the contrary in this Indenture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Notes, a Note may not be transferred or exchanged in part unless the portion to be so transferred or exchanged is in an Authorized Denomination.</w:t>
      </w:r>
    </w:p>
    <w:p>
      <w:pPr>
        <w:spacing w:after="0" w:line="17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5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Trustee’s Disclaimer. </w:t>
      </w:r>
      <w:r>
        <w:rPr>
          <w:rFonts w:ascii="Times New Roman" w:cs="Times New Roman" w:eastAsia="Times New Roman" w:hAnsi="Times New Roman"/>
          <w:sz w:val="18"/>
          <w:szCs w:val="18"/>
          <w:color w:val="auto"/>
        </w:rPr>
        <w:t>The Trustee will have no obligation or duty to monitor, determine or inquire as to compliance with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restrictions imposed under this Indenture or applicable law with respect to any Security, other than to require the delivery of such certificates or other documentation or evidence as expressly required by this Indenture and to examine the same to determine substantial compliance as to form with the requirements of this Indenture.</w:t>
      </w:r>
    </w:p>
    <w:p>
      <w:pPr>
        <w:spacing w:after="0" w:line="177"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Each Note issued upon transfer of or in exchange for, another Note will bear each legend, if any, required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2.09</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jc w:val="both"/>
        <w:ind w:left="4" w:firstLine="644"/>
        <w:spacing w:after="0" w:line="267" w:lineRule="auto"/>
        <w:tabs>
          <w:tab w:leader="none" w:pos="124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Settlement of Transfers and Exchanges. </w:t>
      </w:r>
      <w:r>
        <w:rPr>
          <w:rFonts w:ascii="Times New Roman" w:cs="Times New Roman" w:eastAsia="Times New Roman" w:hAnsi="Times New Roman"/>
          <w:sz w:val="18"/>
          <w:szCs w:val="18"/>
          <w:color w:val="auto"/>
        </w:rPr>
        <w:t>Upon satisfaction of the requirements of this Indenture to effect a transfer or exchange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Note, the Company will cause such transfer or exchange to be effected as soon as reasonably practicable but in no event later than the second (2nd) Business Day after the date of such satisfaction.</w:t>
      </w:r>
    </w:p>
    <w:p>
      <w:pPr>
        <w:spacing w:after="0" w:line="171" w:lineRule="exact"/>
        <w:rPr>
          <w:rFonts w:ascii="Times New Roman" w:cs="Times New Roman" w:eastAsia="Times New Roman" w:hAnsi="Times New Roman"/>
          <w:sz w:val="18"/>
          <w:szCs w:val="18"/>
          <w:color w:val="auto"/>
        </w:rPr>
      </w:pPr>
    </w:p>
    <w:p>
      <w:pPr>
        <w:jc w:val="both"/>
        <w:ind w:left="4" w:firstLine="644"/>
        <w:spacing w:after="0" w:line="262" w:lineRule="auto"/>
        <w:tabs>
          <w:tab w:leader="none" w:pos="125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Interpretation. </w:t>
      </w:r>
      <w:r>
        <w:rPr>
          <w:rFonts w:ascii="Times New Roman" w:cs="Times New Roman" w:eastAsia="Times New Roman" w:hAnsi="Times New Roman"/>
          <w:sz w:val="18"/>
          <w:szCs w:val="18"/>
          <w:color w:val="auto"/>
        </w:rPr>
        <w:t>For the avoidance of doubt, and subject to the terms of this Indenture, as used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2.10</w:t>
      </w:r>
      <w:r>
        <w:rPr>
          <w:rFonts w:ascii="Times New Roman" w:cs="Times New Roman" w:eastAsia="Times New Roman" w:hAnsi="Times New Roman"/>
          <w:sz w:val="18"/>
          <w:szCs w:val="18"/>
          <w:color w:val="auto"/>
        </w:rPr>
        <w:t>, an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Global Note or a Physical Note includes (x) an exchange effected for the sole purpose of removing any Restricted Note Legend affixed to such Global Note or Physical Note; and (y) if such Global Note or Physical Note is identified by a “restricted” CUSIP number, an exchange effected for the sole purpose of causing such Global Note or Physical Note to be identified by an “unrestricted” CUSIP number.</w:t>
      </w:r>
    </w:p>
    <w:p>
      <w:pPr>
        <w:spacing w:after="0" w:line="178"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Transfers and Exchanges of Global Notes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left="4" w:firstLine="644"/>
        <w:spacing w:after="0" w:line="258" w:lineRule="auto"/>
        <w:tabs>
          <w:tab w:leader="none" w:pos="132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Certain Restrictions. </w:t>
      </w:r>
      <w:r>
        <w:rPr>
          <w:rFonts w:ascii="Times New Roman" w:cs="Times New Roman" w:eastAsia="Times New Roman" w:hAnsi="Times New Roman"/>
          <w:sz w:val="18"/>
          <w:szCs w:val="18"/>
          <w:color w:val="auto"/>
        </w:rPr>
        <w:t>Subject to the immediately following sentence, no Global Note may be transferred or exchanged in whole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except (x) by the Depositary to a nominee of the Depositary; (y) by a nominee of the Depositary to the Depositary or to another nominee of the Depositary; or (z) by the Depositary or any such nominee to a successor Depositary or a nominee of such successor Depositary. No Global Note (or any portion thereof) may be transferred to, or exchanged for, a Physical Note;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Global Note will be exchanged, pursuant to customary procedures, for one or more Physical Notes if:</w:t>
      </w:r>
    </w:p>
    <w:p>
      <w:pPr>
        <w:spacing w:after="0" w:line="185"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2119" w:val="left"/>
        </w:tabs>
        <w:numPr>
          <w:ilvl w:val="2"/>
          <w:numId w:val="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(x) the Depositary notifies the Company or the Trustee that the Depositary is unwilling or unable to continue as depositary for such Global Note or (y) the Depositary ceases to be a “clearing agency” registered under Section 17A of the Exchange Act and, in each case, the Company fails to appoint a successor Depositary within ninety (90) days of such notice or cessation;</w:t>
      </w:r>
    </w:p>
    <w:p>
      <w:pPr>
        <w:spacing w:after="0" w:line="175" w:lineRule="exact"/>
        <w:rPr>
          <w:rFonts w:ascii="Times New Roman" w:cs="Times New Roman" w:eastAsia="Times New Roman" w:hAnsi="Times New Roman"/>
          <w:sz w:val="18"/>
          <w:szCs w:val="18"/>
          <w:color w:val="010000"/>
        </w:rPr>
      </w:pPr>
    </w:p>
    <w:p>
      <w:pPr>
        <w:jc w:val="both"/>
        <w:ind w:left="644" w:firstLine="652"/>
        <w:spacing w:after="0" w:line="266" w:lineRule="auto"/>
        <w:tabs>
          <w:tab w:leader="none" w:pos="1919" w:val="left"/>
        </w:tabs>
        <w:numPr>
          <w:ilvl w:val="2"/>
          <w:numId w:val="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 Event of Default has occurred and is continuing and the Company, the Trustee or the Registrar has received a written request from the Depositary, or from a holder of a beneficial interest in such Global Note, to exchange such Global Note or beneficial interest, as applicable, for one or more Physical Notes; or</w:t>
      </w:r>
    </w:p>
    <w:p>
      <w:pPr>
        <w:spacing w:after="0" w:line="175" w:lineRule="exact"/>
        <w:rPr>
          <w:rFonts w:ascii="Times New Roman" w:cs="Times New Roman" w:eastAsia="Times New Roman" w:hAnsi="Times New Roman"/>
          <w:sz w:val="18"/>
          <w:szCs w:val="18"/>
          <w:color w:val="010000"/>
        </w:rPr>
      </w:pPr>
    </w:p>
    <w:p>
      <w:pPr>
        <w:ind w:left="644" w:firstLine="652"/>
        <w:spacing w:after="0" w:line="282" w:lineRule="auto"/>
        <w:tabs>
          <w:tab w:leader="none" w:pos="1962" w:val="left"/>
        </w:tabs>
        <w:numPr>
          <w:ilvl w:val="2"/>
          <w:numId w:val="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in its sole discretion, permits the exchange of any beneficial interest in such Global Note for one or more Physical Notes at the request of the owner of such beneficial interest.</w:t>
      </w:r>
    </w:p>
    <w:p>
      <w:pPr>
        <w:spacing w:after="0" w:line="159" w:lineRule="exact"/>
        <w:rPr>
          <w:rFonts w:ascii="Times New Roman" w:cs="Times New Roman" w:eastAsia="Times New Roman" w:hAnsi="Times New Roman"/>
          <w:sz w:val="18"/>
          <w:szCs w:val="18"/>
          <w:color w:val="010000"/>
        </w:rPr>
      </w:pPr>
    </w:p>
    <w:p>
      <w:pPr>
        <w:ind w:left="4" w:firstLine="644"/>
        <w:spacing w:after="0" w:line="284" w:lineRule="auto"/>
        <w:tabs>
          <w:tab w:leader="none" w:pos="123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Effecting Transfers and Exchanges. </w:t>
      </w:r>
      <w:r>
        <w:rPr>
          <w:rFonts w:ascii="Times New Roman" w:cs="Times New Roman" w:eastAsia="Times New Roman" w:hAnsi="Times New Roman"/>
          <w:sz w:val="18"/>
          <w:szCs w:val="18"/>
          <w:color w:val="auto"/>
        </w:rPr>
        <w:t>Upon satisfaction of the requirements of this Indenture to effect a transfer or exchange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Note (or any portion thereof):</w:t>
      </w:r>
    </w:p>
    <w:p>
      <w:pPr>
        <w:spacing w:after="0" w:line="160" w:lineRule="exact"/>
        <w:rPr>
          <w:rFonts w:ascii="Times New Roman" w:cs="Times New Roman" w:eastAsia="Times New Roman" w:hAnsi="Times New Roman"/>
          <w:sz w:val="18"/>
          <w:szCs w:val="18"/>
          <w:color w:val="auto"/>
        </w:rPr>
      </w:pPr>
    </w:p>
    <w:p>
      <w:pPr>
        <w:jc w:val="both"/>
        <w:ind w:left="644" w:firstLine="652"/>
        <w:spacing w:after="0" w:line="261" w:lineRule="auto"/>
        <w:tabs>
          <w:tab w:leader="none" w:pos="1882" w:val="left"/>
        </w:tabs>
        <w:numPr>
          <w:ilvl w:val="2"/>
          <w:numId w:val="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Trustee will reflect any resulting decrease of the principal amount of such Global Note by notation on the “Schedule of Exchanges of Interests in the Global Note” forming part of such Global Note (and, if such notation results in such Global Note having a principal amount of zero, then the Company may (but is not required to) instruct the Trustee to cancel such Global Note pursuant to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010000"/>
        </w:rPr>
      </w:pPr>
    </w:p>
    <w:p>
      <w:pPr>
        <w:jc w:val="both"/>
        <w:ind w:left="644" w:firstLine="652"/>
        <w:spacing w:after="0" w:line="266" w:lineRule="auto"/>
        <w:tabs>
          <w:tab w:leader="none" w:pos="2091" w:val="left"/>
        </w:tabs>
        <w:numPr>
          <w:ilvl w:val="2"/>
          <w:numId w:val="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required to effect such transfer or exchange, then the Trustee will reflect any resulting increase of the principal amount of any other Global Note by notation on the “Schedule of Exchanges of Interests in the Global Note” forming part of such other Global Note;</w:t>
      </w:r>
    </w:p>
    <w:p>
      <w:pPr>
        <w:spacing w:after="0" w:line="175" w:lineRule="exact"/>
        <w:rPr>
          <w:rFonts w:ascii="Times New Roman" w:cs="Times New Roman" w:eastAsia="Times New Roman" w:hAnsi="Times New Roman"/>
          <w:sz w:val="18"/>
          <w:szCs w:val="18"/>
          <w:color w:val="010000"/>
        </w:rPr>
      </w:pPr>
    </w:p>
    <w:p>
      <w:pPr>
        <w:ind w:left="644" w:firstLine="652"/>
        <w:spacing w:after="0" w:line="282" w:lineRule="auto"/>
        <w:tabs>
          <w:tab w:leader="none" w:pos="1950" w:val="left"/>
        </w:tabs>
        <w:numPr>
          <w:ilvl w:val="2"/>
          <w:numId w:val="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required to effect such transfer or exchange,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a new Global Note bearing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010000"/>
        </w:rPr>
      </w:pPr>
    </w:p>
    <w:p>
      <w:pPr>
        <w:jc w:val="both"/>
        <w:ind w:left="644" w:firstLine="652"/>
        <w:spacing w:after="0" w:line="258" w:lineRule="auto"/>
        <w:tabs>
          <w:tab w:leader="none" w:pos="2039" w:val="left"/>
        </w:tabs>
        <w:numPr>
          <w:ilvl w:val="2"/>
          <w:numId w:val="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such Global Note (or such portion thereof), or any beneficial interest therein, is to be exchanged for one or more Physical Notes,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one or more Physical Notes that (x) are in Authorized Denominations and have an aggregate principal amount equal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principal amount of such Global Note to be so exchanged; (y) are registered in such name(s) as the Depositary specifies (or as otherwise determined pursuant to customary procedures);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355"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9" w:right="339" w:bottom="1440" w:gutter="0" w:footer="0" w:header="0"/>
        </w:sectPr>
      </w:pPr>
    </w:p>
    <w:bookmarkStart w:id="26" w:name="page27"/>
    <w:bookmarkEnd w:id="26"/>
    <w:p>
      <w:pPr>
        <w:ind w:left="4" w:right="20" w:firstLine="644"/>
        <w:spacing w:after="0" w:line="284" w:lineRule="auto"/>
        <w:tabs>
          <w:tab w:leader="none" w:pos="133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Depositary Procedures. </w:t>
      </w:r>
      <w:r>
        <w:rPr>
          <w:rFonts w:ascii="Times New Roman" w:cs="Times New Roman" w:eastAsia="Times New Roman" w:hAnsi="Times New Roman"/>
          <w:sz w:val="18"/>
          <w:szCs w:val="18"/>
          <w:color w:val="auto"/>
        </w:rPr>
        <w:t>Each transfer or exchange of a beneficial interest in any Global Note will be made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Depositary Procedures.</w:t>
      </w:r>
    </w:p>
    <w:p>
      <w:pPr>
        <w:spacing w:after="0" w:line="158"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Transfers and Exchanges of Physical Notes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010000"/>
        </w:rPr>
      </w:pPr>
    </w:p>
    <w:p>
      <w:pPr>
        <w:jc w:val="both"/>
        <w:ind w:left="4" w:firstLine="644"/>
        <w:spacing w:after="0" w:line="257" w:lineRule="auto"/>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Requirements for Transfers and Exchanges. </w:t>
      </w:r>
      <w:r>
        <w:rPr>
          <w:rFonts w:ascii="Times New Roman" w:cs="Times New Roman" w:eastAsia="Times New Roman" w:hAnsi="Times New Roman"/>
          <w:sz w:val="18"/>
          <w:szCs w:val="18"/>
          <w:color w:val="auto"/>
        </w:rPr>
        <w:t>Subject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2.10</w:t>
      </w:r>
      <w:r>
        <w:rPr>
          <w:rFonts w:ascii="Times New Roman" w:cs="Times New Roman" w:eastAsia="Times New Roman" w:hAnsi="Times New Roman"/>
          <w:sz w:val="18"/>
          <w:szCs w:val="18"/>
          <w:color w:val="auto"/>
        </w:rPr>
        <w:t>, a Holder of a Physical Note may (x) transfer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Physical Note (or any portion thereof in an Authorized Denomination) to one or more other Person(s); (y) exchange such Physical Note (or any portion thereof in an Authorized Denomination) for one or more other Physical Notes in Authorized Denominations having an aggregate principal amount equal to the aggregate principal amount of the Physical Note (or portion thereof) to be so exchanged; and (z) if then permitted by the Depositary Procedures, transfer such Physical Note (or any portion thereof in an Authorized Denomination) in exchange for a beneficial interest in one or more Global Notes;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to effect any such transfer or exchange, such Holder must:</w:t>
      </w:r>
    </w:p>
    <w:p>
      <w:pPr>
        <w:spacing w:after="0" w:line="186" w:lineRule="exact"/>
        <w:rPr>
          <w:rFonts w:ascii="Times New Roman" w:cs="Times New Roman" w:eastAsia="Times New Roman" w:hAnsi="Times New Roman"/>
          <w:sz w:val="18"/>
          <w:szCs w:val="18"/>
          <w:color w:val="auto"/>
        </w:rPr>
      </w:pPr>
    </w:p>
    <w:p>
      <w:pPr>
        <w:ind w:left="644" w:firstLine="652"/>
        <w:spacing w:after="0" w:line="282" w:lineRule="auto"/>
        <w:tabs>
          <w:tab w:leader="none" w:pos="2164" w:val="left"/>
        </w:tabs>
        <w:numPr>
          <w:ilvl w:val="2"/>
          <w:numId w:val="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surrender such Physical Note to be transferred or exchanged to the office of the Registrar, together with any endorsements or transfer instruments reasonably required by the Company, the Trustee or the Registrar; and</w:t>
      </w:r>
    </w:p>
    <w:p>
      <w:pPr>
        <w:spacing w:after="0" w:line="157" w:lineRule="exact"/>
        <w:rPr>
          <w:rFonts w:ascii="Times New Roman" w:cs="Times New Roman" w:eastAsia="Times New Roman" w:hAnsi="Times New Roman"/>
          <w:sz w:val="18"/>
          <w:szCs w:val="18"/>
          <w:color w:val="010000"/>
        </w:rPr>
      </w:pPr>
    </w:p>
    <w:p>
      <w:pPr>
        <w:ind w:left="1964" w:hanging="668"/>
        <w:spacing w:after="0"/>
        <w:tabs>
          <w:tab w:leader="none" w:pos="1964" w:val="left"/>
        </w:tabs>
        <w:numPr>
          <w:ilvl w:val="2"/>
          <w:numId w:val="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deliver such certificates, documentation or evidence as may be required pursuant to </w:t>
      </w:r>
      <w:r>
        <w:rPr>
          <w:rFonts w:ascii="Times New Roman" w:cs="Times New Roman" w:eastAsia="Times New Roman" w:hAnsi="Times New Roman"/>
          <w:sz w:val="18"/>
          <w:szCs w:val="18"/>
          <w:b w:val="1"/>
          <w:bCs w:val="1"/>
          <w:color w:val="auto"/>
        </w:rPr>
        <w:t>Section 2.10(D)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010000"/>
        </w:rPr>
      </w:pPr>
    </w:p>
    <w:p>
      <w:pPr>
        <w:jc w:val="both"/>
        <w:ind w:left="4" w:firstLine="644"/>
        <w:spacing w:after="0" w:line="267" w:lineRule="auto"/>
        <w:tabs>
          <w:tab w:leader="none" w:pos="124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Effecting Transfers and Exchanges. </w:t>
      </w:r>
      <w:r>
        <w:rPr>
          <w:rFonts w:ascii="Times New Roman" w:cs="Times New Roman" w:eastAsia="Times New Roman" w:hAnsi="Times New Roman"/>
          <w:sz w:val="18"/>
          <w:szCs w:val="18"/>
          <w:color w:val="auto"/>
        </w:rPr>
        <w:t>Upon the satisfaction of the requirements of this Indenture to effect a transfer or exchange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Physical Note (such Physical Note being referred to as the “old Physical Note” for purposes of this </w:t>
      </w:r>
      <w:r>
        <w:rPr>
          <w:rFonts w:ascii="Times New Roman" w:cs="Times New Roman" w:eastAsia="Times New Roman" w:hAnsi="Times New Roman"/>
          <w:sz w:val="18"/>
          <w:szCs w:val="18"/>
          <w:b w:val="1"/>
          <w:bCs w:val="1"/>
          <w:color w:val="auto"/>
        </w:rPr>
        <w:t>Section 2.10(C)(ii)</w:t>
      </w:r>
      <w:r>
        <w:rPr>
          <w:rFonts w:ascii="Times New Roman" w:cs="Times New Roman" w:eastAsia="Times New Roman" w:hAnsi="Times New Roman"/>
          <w:sz w:val="18"/>
          <w:szCs w:val="18"/>
          <w:color w:val="auto"/>
        </w:rPr>
        <w:t>) of a Holder (or any portion of such old Physical Note in an Authorized Denomination):</w:t>
      </w:r>
    </w:p>
    <w:p>
      <w:pPr>
        <w:spacing w:after="0" w:line="171" w:lineRule="exact"/>
        <w:rPr>
          <w:rFonts w:ascii="Times New Roman" w:cs="Times New Roman" w:eastAsia="Times New Roman" w:hAnsi="Times New Roman"/>
          <w:sz w:val="18"/>
          <w:szCs w:val="18"/>
          <w:color w:val="auto"/>
        </w:rPr>
      </w:pPr>
    </w:p>
    <w:p>
      <w:pPr>
        <w:ind w:left="1964" w:hanging="668"/>
        <w:spacing w:after="0"/>
        <w:tabs>
          <w:tab w:leader="none" w:pos="1964" w:val="left"/>
        </w:tabs>
        <w:numPr>
          <w:ilvl w:val="2"/>
          <w:numId w:val="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such old Physical Note will be promptly cancelled pursuant to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010000"/>
        </w:rPr>
      </w:pPr>
    </w:p>
    <w:p>
      <w:pPr>
        <w:jc w:val="both"/>
        <w:ind w:left="644" w:firstLine="652"/>
        <w:spacing w:after="0" w:line="261" w:lineRule="auto"/>
        <w:tabs>
          <w:tab w:leader="none" w:pos="2035" w:val="left"/>
        </w:tabs>
        <w:numPr>
          <w:ilvl w:val="2"/>
          <w:numId w:val="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such old Physical Note is to be so transferred or exchanged only in part,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Physical Notes that (x) are in Authorized Denominations and have an aggregate principal amount equal to the principal amount of such old Physical Note not to be so transferred or exchanged; (y) are registered in the name of such Holder;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010000"/>
        </w:rPr>
      </w:pPr>
    </w:p>
    <w:p>
      <w:pPr>
        <w:ind w:left="1964" w:hanging="668"/>
        <w:spacing w:after="0"/>
        <w:tabs>
          <w:tab w:leader="none" w:pos="1964" w:val="left"/>
        </w:tabs>
        <w:numPr>
          <w:ilvl w:val="2"/>
          <w:numId w:val="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case of a transfer:</w:t>
      </w:r>
    </w:p>
    <w:p>
      <w:pPr>
        <w:spacing w:after="0" w:line="225" w:lineRule="exact"/>
        <w:rPr>
          <w:rFonts w:ascii="Times New Roman" w:cs="Times New Roman" w:eastAsia="Times New Roman" w:hAnsi="Times New Roman"/>
          <w:sz w:val="18"/>
          <w:szCs w:val="18"/>
          <w:color w:val="010000"/>
        </w:rPr>
      </w:pPr>
    </w:p>
    <w:p>
      <w:pPr>
        <w:jc w:val="both"/>
        <w:ind w:left="644" w:firstLine="1300"/>
        <w:spacing w:after="0" w:line="253" w:lineRule="auto"/>
        <w:tabs>
          <w:tab w:leader="none" w:pos="2703" w:val="left"/>
        </w:tabs>
        <w:numPr>
          <w:ilvl w:val="3"/>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Depositary or a nominee thereof that will hold its interest in such old Physical Note (or such portion thereof) to be so transferred in the form of one or more Global Notes, the Trustee will reflect an increase of the principal amount of one or more existing Global Notes by notation on the “Schedule of Exchanges of Interests in the Global Note” forming part of such Global Note(s), which increase(s) are in Authorized Denominations and aggregate to the principal amount to be so transferred, and which Global Note(s)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such transfer cannot be so effected by notation on one or more existing Global Notes (whether because no Global Notes bearing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xml:space="preserve"> then exist, because any such increase will result in any Global Note having an aggregate principal amount exceeding the maximum aggregate principal amount permitted by the Depositary or otherwise),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Global Notes that (x) are in Authorized Denominations and have an aggregate principal amount equal to the principal amount that is to be so transferred but that is not effected by notation as provided above; and (y)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and</w:t>
      </w:r>
    </w:p>
    <w:p>
      <w:pPr>
        <w:spacing w:after="0" w:line="363"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9" w:right="339" w:bottom="1440" w:gutter="0" w:footer="0" w:header="0"/>
        </w:sectPr>
      </w:pPr>
    </w:p>
    <w:bookmarkStart w:id="27" w:name="page28"/>
    <w:bookmarkEnd w:id="27"/>
    <w:p>
      <w:pPr>
        <w:jc w:val="both"/>
        <w:ind w:left="1300" w:firstLine="1300"/>
        <w:spacing w:after="0" w:line="258" w:lineRule="auto"/>
        <w:tabs>
          <w:tab w:leader="none" w:pos="3235" w:val="left"/>
        </w:tabs>
        <w:numPr>
          <w:ilvl w:val="3"/>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 transferee that will hold its interest in such old Physical Note (or such portion thereof) to be so transferred in the form of one or more Physical Notes,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Physical Notes that (x) are in Authorized Denominations and have an aggregate principal amount equal to the principal amount to be so transferred; (y) are registered in the name of such transferee;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479" w:val="left"/>
        </w:tabs>
        <w:numPr>
          <w:ilvl w:val="2"/>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 the case of an exchange,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Physical Notes that (x) are in Authorized Denominations and have an aggregate principal amount equal to the principal amount to be so exchanged; (y) are registered in the name of the Person to whom such old Physical Note was registered;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177" w:lineRule="exact"/>
        <w:rPr>
          <w:rFonts w:ascii="Times New Roman" w:cs="Times New Roman" w:eastAsia="Times New Roman" w:hAnsi="Times New Roman"/>
          <w:sz w:val="18"/>
          <w:szCs w:val="18"/>
          <w:color w:val="010000"/>
        </w:rPr>
      </w:pPr>
    </w:p>
    <w:p>
      <w:pPr>
        <w:ind w:firstLine="656"/>
        <w:spacing w:after="0" w:line="284" w:lineRule="auto"/>
        <w:tabs>
          <w:tab w:leader="none" w:pos="1285" w:val="left"/>
        </w:tabs>
        <w:numPr>
          <w:ilvl w:val="0"/>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Requirement to Deliver Documentation and Other Evidence. </w:t>
      </w:r>
      <w:r>
        <w:rPr>
          <w:rFonts w:ascii="Times New Roman" w:cs="Times New Roman" w:eastAsia="Times New Roman" w:hAnsi="Times New Roman"/>
          <w:sz w:val="18"/>
          <w:szCs w:val="18"/>
          <w:color w:val="auto"/>
        </w:rPr>
        <w:t>If a Holder of any Note that is identified by a “restricted” CUSIP number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bears a Restricted Note Legend or is a Transfer-Restricted Security requests to:</w:t>
      </w:r>
    </w:p>
    <w:p>
      <w:pPr>
        <w:spacing w:after="0" w:line="160"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such Note to be identified by an “unrestricted” CUSIP number;</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such Restricted Note Legend; or</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such Note to the name of another Person,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then the Company, the Trustee and the Registrar may refuse to effect such identification, removal or transfer, as applicable, unless there is delivered to the Company, the Trustee and the Registrar such certificates or other documentation or evidence as the Company, the Trustee and the Registrar may reasonably require to determine that such identification, removal or transfer, as applicable, complies with the Securities Act and other applicable securities laws;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no such certificates, documentation or evidence need be so delivered on or after the Free Trade Date with respect to such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the Company determines, in its reasonable discretion, that such Note is not eligible to be offered, sold or otherwise transferred pursuant to Rule 144 or otherwise without any requirements as to volume, manner of sale, availability of current public information or notice under the Securities Act.</w:t>
      </w:r>
    </w:p>
    <w:p>
      <w:pPr>
        <w:spacing w:after="0" w:line="185" w:lineRule="exact"/>
        <w:rPr>
          <w:sz w:val="20"/>
          <w:szCs w:val="20"/>
          <w:color w:val="auto"/>
        </w:rPr>
      </w:pPr>
    </w:p>
    <w:p>
      <w:pPr>
        <w:jc w:val="both"/>
        <w:ind w:firstLine="656"/>
        <w:spacing w:after="0" w:line="256" w:lineRule="auto"/>
        <w:tabs>
          <w:tab w:leader="none" w:pos="1305"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Transfers of Notes Subject to Redemption, Repurchase or Conversion. </w:t>
      </w:r>
      <w:r>
        <w:rPr>
          <w:rFonts w:ascii="Times New Roman" w:cs="Times New Roman" w:eastAsia="Times New Roman" w:hAnsi="Times New Roman"/>
          <w:sz w:val="18"/>
          <w:szCs w:val="18"/>
          <w:color w:val="auto"/>
        </w:rPr>
        <w:t>Notwithstanding anything to the contrary in this Indenture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Notes, the Company, the Trustee and the Registrar will not be required to register the transfer of or exchange any Note that (i) has been surrendered for Conversion, except to the extent that any portion of such Note is not subject to Conversion; (ii) is subject to a Fundamental Change Repurchase Notice validly delivered, and not withdrawn, pursuant to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 except to the extent that any portion of such Note is not subject to such notice or the Company fails to pay the applicable Fundamental Change Repurchase Price when due; or (iii) has been selected for Redemption pursuant to a Redemption Notice, except to the extent that any portion of such Note is not subject to Redemption or the Company fails to pay the applicable Redemption Price when due.</w:t>
      </w:r>
    </w:p>
    <w:p>
      <w:pPr>
        <w:spacing w:after="0" w:line="181" w:lineRule="exact"/>
        <w:rPr>
          <w:sz w:val="20"/>
          <w:szCs w:val="20"/>
          <w:color w:val="auto"/>
        </w:rPr>
      </w:pPr>
    </w:p>
    <w:p>
      <w:pPr>
        <w:ind w:left="1300" w:right="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2.11</w:t>
      </w:r>
      <w:r>
        <w:rPr>
          <w:sz w:val="20"/>
          <w:szCs w:val="20"/>
          <w:color w:val="auto"/>
        </w:rPr>
        <w:tab/>
      </w:r>
      <w:r>
        <w:rPr>
          <w:rFonts w:ascii="Times New Roman" w:cs="Times New Roman" w:eastAsia="Times New Roman" w:hAnsi="Times New Roman"/>
          <w:sz w:val="18"/>
          <w:szCs w:val="18"/>
          <w:b w:val="1"/>
          <w:bCs w:val="1"/>
          <w:color w:val="auto"/>
        </w:rPr>
        <w:t>EXCHANGE AND CANCELLATION OF NOTES TO BE CONVERTED OR TO BE REPURCHASED PURSUANT TO A REPURCHASE UPON FUNDAMENTAL CHANGE OR REDEMPTION.</w:t>
      </w:r>
    </w:p>
    <w:p>
      <w:pPr>
        <w:spacing w:after="0" w:line="157" w:lineRule="exact"/>
        <w:rPr>
          <w:sz w:val="20"/>
          <w:szCs w:val="20"/>
          <w:color w:val="auto"/>
        </w:rPr>
      </w:pPr>
    </w:p>
    <w:p>
      <w:pPr>
        <w:jc w:val="both"/>
        <w:ind w:firstLine="656"/>
        <w:spacing w:after="0" w:line="254" w:lineRule="auto"/>
        <w:tabs>
          <w:tab w:leader="none" w:pos="1168"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Partial Conversions of Physical Notes and Partial Repurchases of Physical Notes Pursuant to a Repurchase Upon Fundamental Change or Redemption</w:t>
      </w:r>
      <w:r>
        <w:rPr>
          <w:rFonts w:ascii="Times New Roman" w:cs="Times New Roman" w:eastAsia="Times New Roman" w:hAnsi="Times New Roman"/>
          <w:sz w:val="18"/>
          <w:szCs w:val="18"/>
          <w:color w:val="auto"/>
        </w:rPr>
        <w:t>. If only a portion of a Physical Note of a Holder is to be Converted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repurchased pursuant to a Repurchase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Fundamental Change or Redemption, then, as soon as reasonably practicable after such Physical Note is surrendered for such Conversion or repurchase, as applicable, the Company will cause such Physical Note to be exchanged, pursuant and subject to </w:t>
      </w:r>
      <w:r>
        <w:rPr>
          <w:rFonts w:ascii="Times New Roman" w:cs="Times New Roman" w:eastAsia="Times New Roman" w:hAnsi="Times New Roman"/>
          <w:sz w:val="18"/>
          <w:szCs w:val="18"/>
          <w:b w:val="1"/>
          <w:bCs w:val="1"/>
          <w:color w:val="auto"/>
        </w:rPr>
        <w:t>Section 2.10(C)</w:t>
      </w:r>
      <w:r>
        <w:rPr>
          <w:rFonts w:ascii="Times New Roman" w:cs="Times New Roman" w:eastAsia="Times New Roman" w:hAnsi="Times New Roman"/>
          <w:sz w:val="18"/>
          <w:szCs w:val="18"/>
          <w:color w:val="auto"/>
        </w:rPr>
        <w:t xml:space="preserve">, for (i) one or more Physical Notes that are in Authorized Denominations and have an aggregate principal amount equal to the principal amount of such Physical Note that is not to be so Converted or repurchased, as applicable, and deliver such Physical Note(s) to such Holder; and (ii) a Physical Note having a principal amount equal to the principal amount to be so Converted or repurchased, as applicable, which Physical Note will be Converted or repurchased, as applicable, pursuant to the terms of this Indenture; provided, however, that the Physical Note referred to in this </w:t>
      </w:r>
      <w:r>
        <w:rPr>
          <w:rFonts w:ascii="Times New Roman" w:cs="Times New Roman" w:eastAsia="Times New Roman" w:hAnsi="Times New Roman"/>
          <w:sz w:val="18"/>
          <w:szCs w:val="18"/>
          <w:b w:val="1"/>
          <w:bCs w:val="1"/>
          <w:color w:val="auto"/>
        </w:rPr>
        <w:t>clause (ii)</w:t>
      </w:r>
      <w:r>
        <w:rPr>
          <w:rFonts w:ascii="Times New Roman" w:cs="Times New Roman" w:eastAsia="Times New Roman" w:hAnsi="Times New Roman"/>
          <w:sz w:val="18"/>
          <w:szCs w:val="18"/>
          <w:color w:val="auto"/>
        </w:rPr>
        <w:t xml:space="preserve"> need not be issued at any time after which such principal amount subject to such Conversion or repurchase, as applicable, is deemed to cease to be outstanding pursuant to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1440" w:hanging="784"/>
        <w:spacing w:after="0"/>
        <w:tabs>
          <w:tab w:leader="none" w:pos="1440"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Cancellation of Notes that Are Converted and Notes that Are Repurchased Pursuant to a Repurchase Upon Fundamental Change or</w:t>
      </w:r>
    </w:p>
    <w:p>
      <w:pPr>
        <w:spacing w:after="0" w:line="29"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010000"/>
        </w:rPr>
      </w:pPr>
    </w:p>
    <w:p>
      <w:pPr>
        <w:jc w:val="both"/>
        <w:ind w:left="660" w:firstLine="644"/>
        <w:spacing w:after="0" w:line="255" w:lineRule="auto"/>
        <w:tabs>
          <w:tab w:leader="none" w:pos="188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Physical Notes. </w:t>
      </w:r>
      <w:r>
        <w:rPr>
          <w:rFonts w:ascii="Times New Roman" w:cs="Times New Roman" w:eastAsia="Times New Roman" w:hAnsi="Times New Roman"/>
          <w:sz w:val="18"/>
          <w:szCs w:val="18"/>
          <w:color w:val="auto"/>
        </w:rPr>
        <w:t>If a Physical Note (or any portion thereof that has not theretofore been exchanged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2.11(A)</w:t>
      </w:r>
      <w:r>
        <w:rPr>
          <w:rFonts w:ascii="Times New Roman" w:cs="Times New Roman" w:eastAsia="Times New Roman" w:hAnsi="Times New Roman"/>
          <w:sz w:val="18"/>
          <w:szCs w:val="18"/>
          <w:color w:val="auto"/>
        </w:rPr>
        <w: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 Holder is to be Converted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or repurchased pursuant to a Repurchase Upon Fundamental Change or Redemption, then, promptly after the later of the time such Physical Note (or such portion) is deemed to cease to be outstanding pursuant to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 xml:space="preserve"> and the time such Physical Note is surrendered for such Conversion or repurchase, as applicable, (1) such Physical Note will be cancelled pursuant to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 and (2) in the case of a partial Conversion or repurchase, as applicable, the Company will issue, execute and deliver to such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Physical Notes that (x) are in Authorized Denominations and have an aggregate principal amount equal to the principal amount of such Physical Note that is not to be so Converted or repurchased, as applicable; (y) are registered in the name of such Holder;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left="660" w:firstLine="644"/>
        <w:spacing w:after="0" w:line="257" w:lineRule="auto"/>
        <w:tabs>
          <w:tab w:leader="none" w:pos="202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 Notes. </w:t>
      </w:r>
      <w:r>
        <w:rPr>
          <w:rFonts w:ascii="Times New Roman" w:cs="Times New Roman" w:eastAsia="Times New Roman" w:hAnsi="Times New Roman"/>
          <w:sz w:val="18"/>
          <w:szCs w:val="18"/>
          <w:color w:val="auto"/>
        </w:rPr>
        <w:t>If a Global Note (or any portion thereof) is to be Converted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repurchased pursuant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Repurchase Upon Fundamental Change or Redemption, then, promptly after the time such Note (or such portion) is deemed to cease to be outstanding pursuant to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 xml:space="preserve">, the Trustee will reflect a decrease of the principal amount of such Global Note in an amount equal to the principal amount of such Global Note to be so Converted or repurchased, as applicable, by notation on the “Schedule of Exchanges of Interests in the Global Note” forming part of such Global Note (and, if the principal amount of such Global Note is zero following such notation, cancel such Global Note pursuant to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2.12</w:t>
      </w:r>
      <w:r>
        <w:rPr>
          <w:sz w:val="20"/>
          <w:szCs w:val="20"/>
          <w:color w:val="auto"/>
        </w:rPr>
        <w:tab/>
      </w:r>
      <w:r>
        <w:rPr>
          <w:rFonts w:ascii="Times New Roman" w:cs="Times New Roman" w:eastAsia="Times New Roman" w:hAnsi="Times New Roman"/>
          <w:sz w:val="17"/>
          <w:szCs w:val="17"/>
          <w:b w:val="1"/>
          <w:bCs w:val="1"/>
          <w:color w:val="auto"/>
        </w:rPr>
        <w:t>Removal of Transfer Restrictions.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Without limiting the generality of any other provision of this Indenture (including </w:t>
      </w:r>
      <w:r>
        <w:rPr>
          <w:rFonts w:ascii="Times New Roman" w:cs="Times New Roman" w:eastAsia="Times New Roman" w:hAnsi="Times New Roman"/>
          <w:sz w:val="18"/>
          <w:szCs w:val="18"/>
          <w:b w:val="1"/>
          <w:bCs w:val="1"/>
          <w:color w:val="auto"/>
        </w:rPr>
        <w:t>Section 3.04</w:t>
      </w:r>
      <w:r>
        <w:rPr>
          <w:rFonts w:ascii="Times New Roman" w:cs="Times New Roman" w:eastAsia="Times New Roman" w:hAnsi="Times New Roman"/>
          <w:sz w:val="18"/>
          <w:szCs w:val="18"/>
          <w:color w:val="auto"/>
        </w:rPr>
        <w:t xml:space="preserve">), the Restricted Note Legend affixed to any Note will be deemed, pursuant to this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 xml:space="preserve"> and the footnote to such Restricted Note Legend, to be removed therefrom upon the Company’s delivery to the Trustee of notice, signed on behalf of the Company by one (1) of its Officers, to such effect (and, for the avoidance of doubt, such notice need not be accompanied by an Officer’s Certificate or an Opinion of Counsel in order to be effective to cause such Restricted Note Legend to be deemed to be removed from such Note). If such Note bears a “restricted” CUSIP or ISIN number at the time of such delivery, then, upon such delivery, such Note will be deemed, pursuant to this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 xml:space="preserve"> and the footnotes to the CUSIP and ISIN numbers set forth on the face of the certificate representing such Note, to thereafter bear the “unrestricted” CUSIP and ISIN numbers identified in such footnotes;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such Note is a Global Note and the Depositary thereof requires a mandatory exchange or other procedure to cause such Global Note to be identified by “unrestricted” CUSIP and ISIN numbers in the facilities of such Depositary, then (i) the Company will effect such exchange or procedure as soon as reasonably practicable; and (ii) for purposes of </w:t>
      </w:r>
      <w:r>
        <w:rPr>
          <w:rFonts w:ascii="Times New Roman" w:cs="Times New Roman" w:eastAsia="Times New Roman" w:hAnsi="Times New Roman"/>
          <w:sz w:val="18"/>
          <w:szCs w:val="18"/>
          <w:b w:val="1"/>
          <w:bCs w:val="1"/>
          <w:color w:val="auto"/>
        </w:rPr>
        <w:t>Section 3.04</w:t>
      </w:r>
      <w:r>
        <w:rPr>
          <w:rFonts w:ascii="Times New Roman" w:cs="Times New Roman" w:eastAsia="Times New Roman" w:hAnsi="Times New Roman"/>
          <w:sz w:val="18"/>
          <w:szCs w:val="18"/>
          <w:color w:val="auto"/>
        </w:rPr>
        <w:t xml:space="preserve"> and the definition of Freely Tradable, such Global Note will not be deemed to be identified by “unrestricted” CUSIP and ISIN numbers until such time as such exchange or procedure is effected.</w:t>
      </w:r>
    </w:p>
    <w:p>
      <w:pPr>
        <w:spacing w:after="0" w:line="18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2.13</w:t>
      </w:r>
      <w:r>
        <w:rPr>
          <w:sz w:val="20"/>
          <w:szCs w:val="20"/>
          <w:color w:val="auto"/>
        </w:rPr>
        <w:tab/>
      </w:r>
      <w:r>
        <w:rPr>
          <w:rFonts w:ascii="Times New Roman" w:cs="Times New Roman" w:eastAsia="Times New Roman" w:hAnsi="Times New Roman"/>
          <w:sz w:val="17"/>
          <w:szCs w:val="17"/>
          <w:b w:val="1"/>
          <w:bCs w:val="1"/>
          <w:color w:val="auto"/>
        </w:rPr>
        <w:t>REPLACEMENT NOTES.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If a Holder of any Note claims that such Note has been mutilated, lost, destroyed or wrongfully taken,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a replacement Note upon surrender to the Trustee of such mutilated Note, or upon delivery to the Trustee of evidence of such loss, destruction or wrongful taking reasonably satisfactory to the Trustee and the Company. In the case of a lost, destroyed or wrongfully taken Note, the Company and the Trustee may require the Holder thereof to provide such security or indemnity that is reasonably satisfactory to the Company and the Trustee to protect the Company and the Trustee from any loss that any of them may suffer if such Note is replaced.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Every replacement Note issued pursuant to this </w:t>
      </w:r>
      <w:r>
        <w:rPr>
          <w:rFonts w:ascii="Times New Roman" w:cs="Times New Roman" w:eastAsia="Times New Roman" w:hAnsi="Times New Roman"/>
          <w:sz w:val="18"/>
          <w:szCs w:val="18"/>
          <w:b w:val="1"/>
          <w:bCs w:val="1"/>
          <w:color w:val="auto"/>
        </w:rPr>
        <w:t>Section 2.13</w:t>
      </w:r>
      <w:r>
        <w:rPr>
          <w:rFonts w:ascii="Times New Roman" w:cs="Times New Roman" w:eastAsia="Times New Roman" w:hAnsi="Times New Roman"/>
          <w:sz w:val="18"/>
          <w:szCs w:val="18"/>
          <w:color w:val="auto"/>
        </w:rPr>
        <w:t xml:space="preserve"> will be an additional obligation of the Company and will be entitled to all of the benefits of this Indenture equally and ratably with all other Notes issued under this Indenture.</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2.14</w:t>
      </w:r>
      <w:r>
        <w:rPr>
          <w:sz w:val="20"/>
          <w:szCs w:val="20"/>
          <w:color w:val="auto"/>
        </w:rPr>
        <w:tab/>
      </w:r>
      <w:r>
        <w:rPr>
          <w:rFonts w:ascii="Times New Roman" w:cs="Times New Roman" w:eastAsia="Times New Roman" w:hAnsi="Times New Roman"/>
          <w:sz w:val="17"/>
          <w:szCs w:val="17"/>
          <w:b w:val="1"/>
          <w:bCs w:val="1"/>
          <w:color w:val="auto"/>
        </w:rPr>
        <w:t>REGISTERED HOLDERS; CERTAIN RIGHTS WITH RESPECT TO GLOBAL NOTES.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Except to the extent rights hereunder are expressly granted to owners of beneficial interests of Notes, only the Holder of a Note will have rights under this Indenture as the owner of such Note. Without limiting the generality of the foregoing, Depositary Participants will have no rights as such under this Indenture with respect to any Global Note held on their behalf by the Depositary or its nominee, or by the Trustee as its custodian, and the Company, the Trustee and the Note Agents, and their respective agents, may treat the Depositary as the absolute owner of such Global Note for all purposes whatsoever;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the Holder of any Global Note may grant proxies and otherwise authorize any Person, including Depositary Participants and Persons that hold interests in Notes through Depositary Participants, to take any action that such Holder is entitled to take with respect to such Global Note under this Indenture or the Notes; and (B) the Company and the Trustee, and their respective agents, may give effect to any written certification, proxy or other authorization furnished by the Depositary.</w:t>
      </w:r>
    </w:p>
    <w:p>
      <w:pPr>
        <w:spacing w:after="0" w:line="1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2.15</w:t>
      </w:r>
      <w:r>
        <w:rPr>
          <w:sz w:val="20"/>
          <w:szCs w:val="20"/>
          <w:color w:val="auto"/>
        </w:rPr>
        <w:tab/>
      </w:r>
      <w:r>
        <w:rPr>
          <w:rFonts w:ascii="Times New Roman" w:cs="Times New Roman" w:eastAsia="Times New Roman" w:hAnsi="Times New Roman"/>
          <w:sz w:val="17"/>
          <w:szCs w:val="17"/>
          <w:b w:val="1"/>
          <w:bCs w:val="1"/>
          <w:color w:val="auto"/>
        </w:rPr>
        <w:t>CANCELLATION.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may at any time deliver Notes to the Trustee for cancellation. The Registrar, the Paying Agent and the Conversion Agent will forward to the Trustee each Note duly surrendered to them for transfer, exchange, payment or Conversion. The Trustee will promptly cancel all Notes so surrendered to it in accordance with its customary procedures. Without limiting the generality of </w:t>
      </w:r>
      <w:r>
        <w:rPr>
          <w:rFonts w:ascii="Times New Roman" w:cs="Times New Roman" w:eastAsia="Times New Roman" w:hAnsi="Times New Roman"/>
          <w:sz w:val="18"/>
          <w:szCs w:val="18"/>
          <w:b w:val="1"/>
          <w:bCs w:val="1"/>
          <w:color w:val="auto"/>
        </w:rPr>
        <w:t>Section 2.03(B)</w:t>
      </w:r>
      <w:r>
        <w:rPr>
          <w:rFonts w:ascii="Times New Roman" w:cs="Times New Roman" w:eastAsia="Times New Roman" w:hAnsi="Times New Roman"/>
          <w:sz w:val="18"/>
          <w:szCs w:val="18"/>
          <w:color w:val="auto"/>
        </w:rPr>
        <w:t>, the Company may not originally issue new Notes to replace Notes that it has paid or that have been cancelled upon transfer, exchange, payment or Conversion.</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2.16</w:t>
      </w:r>
      <w:r>
        <w:rPr>
          <w:sz w:val="20"/>
          <w:szCs w:val="20"/>
          <w:color w:val="auto"/>
        </w:rPr>
        <w:tab/>
      </w:r>
      <w:r>
        <w:rPr>
          <w:rFonts w:ascii="Times New Roman" w:cs="Times New Roman" w:eastAsia="Times New Roman" w:hAnsi="Times New Roman"/>
          <w:sz w:val="17"/>
          <w:szCs w:val="17"/>
          <w:b w:val="1"/>
          <w:bCs w:val="1"/>
          <w:color w:val="auto"/>
        </w:rPr>
        <w:t>NOTES HELD BY THE COMPANY OR ITS AFFILIATES.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 xml:space="preserve">, in determining whether the Holders of the required aggregate principal amount of Notes have concurred in any direction, waiver or consent, Notes owned by the Company or any of its Affiliates will be deemed not to be outstanding;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for purposes of determining whether the Trustee is protected in relying on any such direction, waiver or consent, only Notes that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Responsible Officer of the Trustee knows are so owned will be so disregarded.</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2.17</w:t>
      </w:r>
      <w:r>
        <w:rPr>
          <w:sz w:val="20"/>
          <w:szCs w:val="20"/>
          <w:color w:val="auto"/>
        </w:rPr>
        <w:tab/>
      </w:r>
      <w:r>
        <w:rPr>
          <w:rFonts w:ascii="Times New Roman" w:cs="Times New Roman" w:eastAsia="Times New Roman" w:hAnsi="Times New Roman"/>
          <w:sz w:val="17"/>
          <w:szCs w:val="17"/>
          <w:b w:val="1"/>
          <w:bCs w:val="1"/>
          <w:color w:val="auto"/>
        </w:rPr>
        <w:t>TEMPORARY NOTES.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Until definitive Notes are ready for delivery, the Company may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temporary Notes. Temporary Notes will be substantially in the form of definitive Notes but may have variations that the Company considers appropriate for temporary Notes. The Company will promptly prepare,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definitive Notes in exchange for temporary Notes. Until so exchanged, each temporary Note will in all respects be entitled to the same benefits under this Indenture as definitive Notes.</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2.18</w:t>
      </w:r>
      <w:r>
        <w:rPr>
          <w:sz w:val="20"/>
          <w:szCs w:val="20"/>
          <w:color w:val="auto"/>
        </w:rPr>
        <w:tab/>
      </w:r>
      <w:r>
        <w:rPr>
          <w:rFonts w:ascii="Times New Roman" w:cs="Times New Roman" w:eastAsia="Times New Roman" w:hAnsi="Times New Roman"/>
          <w:sz w:val="17"/>
          <w:szCs w:val="17"/>
          <w:b w:val="1"/>
          <w:bCs w:val="1"/>
          <w:color w:val="auto"/>
        </w:rPr>
        <w:t>OUTSTANDING NOTES.</w:t>
      </w:r>
    </w:p>
    <w:p>
      <w:pPr>
        <w:spacing w:after="0" w:line="227" w:lineRule="exact"/>
        <w:rPr>
          <w:sz w:val="20"/>
          <w:szCs w:val="20"/>
          <w:color w:val="auto"/>
        </w:rPr>
      </w:pPr>
    </w:p>
    <w:p>
      <w:pPr>
        <w:jc w:val="both"/>
        <w:ind w:firstLine="656"/>
        <w:spacing w:after="0" w:line="258" w:lineRule="auto"/>
        <w:tabs>
          <w:tab w:leader="none" w:pos="1222" w:val="left"/>
        </w:tabs>
        <w:numPr>
          <w:ilvl w:val="0"/>
          <w:numId w:val="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The Notes that are outstanding at any time will be deemed to be those Notes that, at such time, have been duly executed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authenticated, excluding those Notes (or portions thereof) that have theretofore been (i) cancelled by the Trustee or delivered to the Trustee for cancellation in accordance with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 xml:space="preserve">; (ii) assigned a principal amount of zero by notation on the “Schedule of Exchanges of Interests in the Global Note” forming part of any a Global Note representing such Note; (iii) paid in full (including upon Conversion) in accordance with this Indenture; or (iv) deemed to cease to be outstanding to the extent provided in, and subject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010000"/>
        </w:rPr>
      </w:pPr>
    </w:p>
    <w:p>
      <w:pPr>
        <w:ind w:firstLine="656"/>
        <w:spacing w:after="0" w:line="286" w:lineRule="auto"/>
        <w:tabs>
          <w:tab w:leader="none" w:pos="1261" w:val="left"/>
        </w:tabs>
        <w:numPr>
          <w:ilvl w:val="0"/>
          <w:numId w:val="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Replaced Notes. </w:t>
      </w:r>
      <w:r>
        <w:rPr>
          <w:rFonts w:ascii="Times New Roman" w:cs="Times New Roman" w:eastAsia="Times New Roman" w:hAnsi="Times New Roman"/>
          <w:sz w:val="18"/>
          <w:szCs w:val="18"/>
          <w:color w:val="auto"/>
        </w:rPr>
        <w:t>If a Note is replaced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2.13</w:t>
      </w:r>
      <w:r>
        <w:rPr>
          <w:rFonts w:ascii="Times New Roman" w:cs="Times New Roman" w:eastAsia="Times New Roman" w:hAnsi="Times New Roman"/>
          <w:sz w:val="18"/>
          <w:szCs w:val="18"/>
          <w:color w:val="auto"/>
        </w:rPr>
        <w:t>, then such Note will cease to be outstanding at the time of its replacement,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unless the Trustee and the Company receive proof reasonably satisfactory to them that such Note is held by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purchaser” under applicable law.</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both"/>
        <w:ind w:firstLine="656"/>
        <w:spacing w:after="0" w:line="255" w:lineRule="auto"/>
        <w:tabs>
          <w:tab w:leader="none" w:pos="1518" w:val="left"/>
        </w:tabs>
        <w:numPr>
          <w:ilvl w:val="0"/>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Maturing Notes and Notes Called for Redemption or Subject to Repurchase. </w:t>
      </w:r>
      <w:r>
        <w:rPr>
          <w:rFonts w:ascii="Times New Roman" w:cs="Times New Roman" w:eastAsia="Times New Roman" w:hAnsi="Times New Roman"/>
          <w:sz w:val="18"/>
          <w:szCs w:val="18"/>
          <w:color w:val="auto"/>
        </w:rPr>
        <w:t>If, on a Redemption Date, a Fundamental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Repurchase Date or the Maturity Date, the Paying Agent holds money sufficient to pay the aggregate Redemption Price, Fundamental Change Repurchase Price or principal amount, respectively, together, in each case, with the aggregate interest, in each case due on such date, then (unless there occurs a Default in the payment of any such amount) (i) the Notes (or portions thereof) to be redeemed or repurchased, or that mature, on such date will be deemed, as of such date, to cease to be outstanding, except to the extent provided in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4.03(E)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5.02(D)</w:t>
      </w:r>
      <w:r>
        <w:rPr>
          <w:rFonts w:ascii="Times New Roman" w:cs="Times New Roman" w:eastAsia="Times New Roman" w:hAnsi="Times New Roman"/>
          <w:sz w:val="18"/>
          <w:szCs w:val="18"/>
          <w:color w:val="auto"/>
        </w:rPr>
        <w:t>; and (ii) the rights of the Holders of such Notes (or such portions thereof), as such, will terminate with respect to such Notes (or such portions thereof), other than the right to receive the Redemption Price, Fundamental Change Repurchase Price or principal amount, as applicable, of, and accrued and unpaid interest on, such Notes (or such portions thereof), in each case as provided in this Indenture.</w:t>
      </w:r>
    </w:p>
    <w:p>
      <w:pPr>
        <w:spacing w:after="0" w:line="184" w:lineRule="exact"/>
        <w:rPr>
          <w:rFonts w:ascii="Times New Roman" w:cs="Times New Roman" w:eastAsia="Times New Roman" w:hAnsi="Times New Roman"/>
          <w:sz w:val="18"/>
          <w:szCs w:val="18"/>
          <w:color w:val="010000"/>
        </w:rPr>
      </w:pPr>
    </w:p>
    <w:p>
      <w:pPr>
        <w:jc w:val="both"/>
        <w:ind w:firstLine="656"/>
        <w:spacing w:after="0" w:line="267" w:lineRule="auto"/>
        <w:tabs>
          <w:tab w:leader="none" w:pos="1397" w:val="left"/>
        </w:tabs>
        <w:numPr>
          <w:ilvl w:val="0"/>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Notes to Be Converted. </w:t>
      </w:r>
      <w:r>
        <w:rPr>
          <w:rFonts w:ascii="Times New Roman" w:cs="Times New Roman" w:eastAsia="Times New Roman" w:hAnsi="Times New Roman"/>
          <w:sz w:val="18"/>
          <w:szCs w:val="18"/>
          <w:color w:val="auto"/>
        </w:rPr>
        <w:t>At the Close of Business on the Conversion Date for any Note (or any portion thereof) to be Converted,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(or such portion) will (unless there occurs a Default in the delivery of the Conversion Consideration or interest due, pursuant to </w:t>
      </w:r>
      <w:r>
        <w:rPr>
          <w:rFonts w:ascii="Times New Roman" w:cs="Times New Roman" w:eastAsia="Times New Roman" w:hAnsi="Times New Roman"/>
          <w:sz w:val="18"/>
          <w:szCs w:val="18"/>
          <w:b w:val="1"/>
          <w:bCs w:val="1"/>
          <w:color w:val="auto"/>
        </w:rPr>
        <w:t>Section 5.03(B)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upon such Conversion) be deemed to cease to be outstanding, except to the extent provided in</w:t>
      </w:r>
      <w:r>
        <w:rPr>
          <w:rFonts w:ascii="Times New Roman" w:cs="Times New Roman" w:eastAsia="Times New Roman" w:hAnsi="Times New Roman"/>
          <w:sz w:val="18"/>
          <w:szCs w:val="18"/>
          <w:b w:val="1"/>
          <w:bCs w:val="1"/>
          <w:color w:val="auto"/>
        </w:rPr>
        <w:t xml:space="preserve"> Section 5.02(D)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5.08.</w:t>
      </w:r>
    </w:p>
    <w:p>
      <w:pPr>
        <w:spacing w:after="0" w:line="171" w:lineRule="exact"/>
        <w:rPr>
          <w:rFonts w:ascii="Times New Roman" w:cs="Times New Roman" w:eastAsia="Times New Roman" w:hAnsi="Times New Roman"/>
          <w:sz w:val="18"/>
          <w:szCs w:val="18"/>
          <w:color w:val="010000"/>
        </w:rPr>
      </w:pPr>
    </w:p>
    <w:p>
      <w:pPr>
        <w:jc w:val="both"/>
        <w:ind w:firstLine="656"/>
        <w:spacing w:after="0" w:line="268" w:lineRule="auto"/>
        <w:tabs>
          <w:tab w:leader="none" w:pos="1282" w:val="left"/>
        </w:tabs>
        <w:numPr>
          <w:ilvl w:val="0"/>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Cessation of Accrual of Interest. </w:t>
      </w:r>
      <w:r>
        <w:rPr>
          <w:rFonts w:ascii="Times New Roman" w:cs="Times New Roman" w:eastAsia="Times New Roman" w:hAnsi="Times New Roman"/>
          <w:sz w:val="18"/>
          <w:szCs w:val="18"/>
          <w:color w:val="auto"/>
        </w:rPr>
        <w:t>Except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4.03(E)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5.02(D)</w:t>
      </w:r>
      <w:r>
        <w:rPr>
          <w:rFonts w:ascii="Times New Roman" w:cs="Times New Roman" w:eastAsia="Times New Roman" w:hAnsi="Times New Roman"/>
          <w:sz w:val="18"/>
          <w:szCs w:val="18"/>
          <w:color w:val="auto"/>
        </w:rPr>
        <w:t>, no Special Interest or Additional Interest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accrue on any Note from and after the date that such Note is deemed, pursuant to this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 to cease to be outstanding, unless there occurs a default in the payment or delivery of any cash or other property due on such Note.</w:t>
      </w:r>
    </w:p>
    <w:p>
      <w:pPr>
        <w:spacing w:after="0" w:line="17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2.19</w:t>
      </w:r>
      <w:r>
        <w:rPr>
          <w:sz w:val="20"/>
          <w:szCs w:val="20"/>
          <w:color w:val="auto"/>
        </w:rPr>
        <w:tab/>
      </w:r>
      <w:r>
        <w:rPr>
          <w:rFonts w:ascii="Times New Roman" w:cs="Times New Roman" w:eastAsia="Times New Roman" w:hAnsi="Times New Roman"/>
          <w:sz w:val="17"/>
          <w:szCs w:val="17"/>
          <w:b w:val="1"/>
          <w:bCs w:val="1"/>
          <w:color w:val="auto"/>
        </w:rPr>
        <w:t>REPURCHASES BY THE COMPANY.</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 the Company and its Affiliates may, from time to time, repurchase Notes in open market purchases or otherwise, whether through private or public tender or exchange offers, cash settled swaps or other cash settled derivatives without delivering prior notice to Holders.</w:t>
      </w:r>
    </w:p>
    <w:p>
      <w:pPr>
        <w:spacing w:after="0" w:line="17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2.20</w:t>
      </w:r>
      <w:r>
        <w:rPr>
          <w:sz w:val="20"/>
          <w:szCs w:val="20"/>
          <w:color w:val="auto"/>
        </w:rPr>
        <w:tab/>
      </w:r>
      <w:r>
        <w:rPr>
          <w:rFonts w:ascii="Times New Roman" w:cs="Times New Roman" w:eastAsia="Times New Roman" w:hAnsi="Times New Roman"/>
          <w:sz w:val="17"/>
          <w:szCs w:val="17"/>
          <w:b w:val="1"/>
          <w:bCs w:val="1"/>
          <w:color w:val="auto"/>
        </w:rPr>
        <w:t>CUSIP AND ISIN NUMBERS.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 xml:space="preserve">, the Company may use one or more CUSIP or ISIN numbers to identify any of the Notes, and, if so, the Company and the Trustee will use such CUSIP or ISIN number(s) in notices to 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 the Trustee makes no representation as to the correctness or accuracy of any such CUSIP or ISIN number; and (ii) the effectiveness of any such notice will not be affected by any defect in, or omission of, any such CUSIP or ISIN number. The Company will promptly notify the Trustee of any change in the CUSIP or ISIN number(s) identifying any Notes.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3.01</w:t>
      </w:r>
      <w:r>
        <w:rPr>
          <w:sz w:val="20"/>
          <w:szCs w:val="20"/>
          <w:color w:val="auto"/>
        </w:rPr>
        <w:tab/>
      </w:r>
      <w:r>
        <w:rPr>
          <w:rFonts w:ascii="Times New Roman" w:cs="Times New Roman" w:eastAsia="Times New Roman" w:hAnsi="Times New Roman"/>
          <w:sz w:val="18"/>
          <w:szCs w:val="18"/>
          <w:b w:val="1"/>
          <w:bCs w:val="1"/>
          <w:color w:val="auto"/>
        </w:rPr>
        <w:t>Payment on Notes.</w:t>
      </w:r>
    </w:p>
    <w:p>
      <w:pPr>
        <w:spacing w:after="0" w:line="227" w:lineRule="exact"/>
        <w:rPr>
          <w:sz w:val="20"/>
          <w:szCs w:val="20"/>
          <w:color w:val="auto"/>
        </w:rPr>
      </w:pPr>
    </w:p>
    <w:p>
      <w:pPr>
        <w:ind w:firstLine="656"/>
        <w:spacing w:after="0" w:line="284" w:lineRule="auto"/>
        <w:tabs>
          <w:tab w:leader="none" w:pos="1307"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The Company will pay or cause to be paid all the principal of, the Fundamental Change Repurchase Price and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for, interest, if any, on, and other amounts due with respect to, the Notes on the dates and in the manner set forth in this Indenture.</w:t>
      </w:r>
    </w:p>
    <w:p>
      <w:pPr>
        <w:spacing w:after="0" w:line="158" w:lineRule="exact"/>
        <w:rPr>
          <w:rFonts w:ascii="Times New Roman" w:cs="Times New Roman" w:eastAsia="Times New Roman" w:hAnsi="Times New Roman"/>
          <w:sz w:val="18"/>
          <w:szCs w:val="18"/>
          <w:color w:val="010000"/>
        </w:rPr>
      </w:pPr>
    </w:p>
    <w:p>
      <w:pPr>
        <w:jc w:val="both"/>
        <w:ind w:firstLine="656"/>
        <w:spacing w:after="0" w:line="258" w:lineRule="auto"/>
        <w:tabs>
          <w:tab w:leader="none" w:pos="1275"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Deposit of Funds. </w:t>
      </w:r>
      <w:r>
        <w:rPr>
          <w:rFonts w:ascii="Times New Roman" w:cs="Times New Roman" w:eastAsia="Times New Roman" w:hAnsi="Times New Roman"/>
          <w:sz w:val="18"/>
          <w:szCs w:val="18"/>
          <w:color w:val="auto"/>
        </w:rPr>
        <w:t>Before 11:00 A.M., New York City time, on each Redemption Date, each Fundamental Change Repurchase Date,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Payment Date on which any Special Interest or Additional Interest is payable, and on the Maturity Date and each other date on which any cash amount is due on the Notes, the Company will deposit, or will cause there to be deposited, with the Paying Agent cash, in funds immediately available on such date, sufficient to pay the cash amount due on the applicable Notes on such date. The Paying Agent will return to the Company, as soon as practicable, any money not required for such purpose.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3.02</w:t>
      </w:r>
      <w:r>
        <w:rPr>
          <w:sz w:val="20"/>
          <w:szCs w:val="20"/>
          <w:color w:val="auto"/>
        </w:rPr>
        <w:tab/>
      </w:r>
      <w:r>
        <w:rPr>
          <w:rFonts w:ascii="Times New Roman" w:cs="Times New Roman" w:eastAsia="Times New Roman" w:hAnsi="Times New Roman"/>
          <w:sz w:val="17"/>
          <w:szCs w:val="17"/>
          <w:b w:val="1"/>
          <w:bCs w:val="1"/>
          <w:color w:val="auto"/>
        </w:rPr>
        <w:t>EXCHANGE ACT REPORTS.</w:t>
      </w:r>
    </w:p>
    <w:p>
      <w:pPr>
        <w:spacing w:after="0" w:line="227" w:lineRule="exact"/>
        <w:rPr>
          <w:sz w:val="20"/>
          <w:szCs w:val="20"/>
          <w:color w:val="auto"/>
        </w:rPr>
      </w:pPr>
    </w:p>
    <w:p>
      <w:pPr>
        <w:jc w:val="both"/>
        <w:ind w:firstLine="656"/>
        <w:spacing w:after="0" w:line="256" w:lineRule="auto"/>
        <w:tabs>
          <w:tab w:leader="none" w:pos="1379" w:val="left"/>
        </w:tabs>
        <w:numPr>
          <w:ilvl w:val="0"/>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The Company will send to the Trustee copies of all reports that the Company is required to file with the SEC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Section 13(a) or 15(d) of the Exchange Act within fifteen (15) calendar days after the date that the Company is required to file the same (after giving effect to all applicable grace periods under the Exchange Act);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need not send to the Trustee any material for which the Company has received, or is seeking in good faith and has not been denied, confidential treatment by the SEC. Any report that the Company files with the SEC through the EDGAR system (or any successor thereto) will be deemed to be sent to the Trustee at the time such report is so filed via the EDGAR system (or such successor). Upon the request of any Holder, the Trustee will provide to such Holder a copy of any report that the Company has sent the Trustee pursuant to this </w:t>
      </w:r>
      <w:r>
        <w:rPr>
          <w:rFonts w:ascii="Times New Roman" w:cs="Times New Roman" w:eastAsia="Times New Roman" w:hAnsi="Times New Roman"/>
          <w:sz w:val="18"/>
          <w:szCs w:val="18"/>
          <w:b w:val="1"/>
          <w:bCs w:val="1"/>
          <w:color w:val="auto"/>
        </w:rPr>
        <w:t>Section 3.02(A)</w:t>
      </w:r>
      <w:r>
        <w:rPr>
          <w:rFonts w:ascii="Times New Roman" w:cs="Times New Roman" w:eastAsia="Times New Roman" w:hAnsi="Times New Roman"/>
          <w:sz w:val="18"/>
          <w:szCs w:val="18"/>
          <w:color w:val="auto"/>
        </w:rPr>
        <w:t>, other than a report that is deemed to be sent to the Trustee pursuant to the preceding sentence.</w:t>
      </w:r>
    </w:p>
    <w:p>
      <w:pPr>
        <w:spacing w:after="0" w:line="182"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455" w:val="left"/>
        </w:tabs>
        <w:numPr>
          <w:ilvl w:val="0"/>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Trustee’s Disclaimer. </w:t>
      </w:r>
      <w:r>
        <w:rPr>
          <w:rFonts w:ascii="Times New Roman" w:cs="Times New Roman" w:eastAsia="Times New Roman" w:hAnsi="Times New Roman"/>
          <w:sz w:val="18"/>
          <w:szCs w:val="18"/>
          <w:color w:val="auto"/>
        </w:rPr>
        <w:t>The Trustee need not determine whether the Company has filed any material via the EDGAR system (or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successor). The sending or filing of reports pursuant to </w:t>
      </w:r>
      <w:r>
        <w:rPr>
          <w:rFonts w:ascii="Times New Roman" w:cs="Times New Roman" w:eastAsia="Times New Roman" w:hAnsi="Times New Roman"/>
          <w:sz w:val="18"/>
          <w:szCs w:val="18"/>
          <w:b w:val="1"/>
          <w:bCs w:val="1"/>
          <w:color w:val="auto"/>
        </w:rPr>
        <w:t>Section 3.02(A)</w:t>
      </w:r>
      <w:r>
        <w:rPr>
          <w:rFonts w:ascii="Times New Roman" w:cs="Times New Roman" w:eastAsia="Times New Roman" w:hAnsi="Times New Roman"/>
          <w:sz w:val="18"/>
          <w:szCs w:val="18"/>
          <w:color w:val="auto"/>
        </w:rPr>
        <w:t xml:space="preserve"> will not be deemed to constitute actual or constructive notice to the Trustee of any information contained, or determinable from information contained, therein, including the Company’s compliance with any of its covenants under this Indenture (as to which the Trustee is entitled to conclusively rely on an Officer’s Certificate).</w:t>
      </w:r>
    </w:p>
    <w:p>
      <w:pPr>
        <w:spacing w:after="0" w:line="17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3.03</w:t>
      </w:r>
      <w:r>
        <w:rPr>
          <w:sz w:val="20"/>
          <w:szCs w:val="20"/>
          <w:color w:val="auto"/>
        </w:rPr>
        <w:tab/>
      </w:r>
      <w:r>
        <w:rPr>
          <w:rFonts w:ascii="Times New Roman" w:cs="Times New Roman" w:eastAsia="Times New Roman" w:hAnsi="Times New Roman"/>
          <w:sz w:val="17"/>
          <w:szCs w:val="17"/>
          <w:b w:val="1"/>
          <w:bCs w:val="1"/>
          <w:color w:val="auto"/>
        </w:rPr>
        <w:t>RULE 144A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is not subject to Section 13 or 15(d) of the Exchange Act at any time when any Notes or shares of Common Stock issuable upon Conversion of the Notes are outstanding and constitute “restricted securities” (as defined in Rule 144), then the Company (or its successor) will promptly provide, to the Trustee and, upon written request, to any Holder, beneficial owner or prospective purchaser of such Notes or shares, the information required to be delivered pursuant to Rule 144A(d)(4) under the Securities Act to facilitate the resale of such Notes or shares pursuant to Rule 144A.</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3.04</w:t>
      </w:r>
      <w:r>
        <w:rPr>
          <w:sz w:val="20"/>
          <w:szCs w:val="20"/>
          <w:color w:val="auto"/>
        </w:rPr>
        <w:tab/>
      </w:r>
      <w:r>
        <w:rPr>
          <w:rFonts w:ascii="Times New Roman" w:cs="Times New Roman" w:eastAsia="Times New Roman" w:hAnsi="Times New Roman"/>
          <w:sz w:val="17"/>
          <w:szCs w:val="17"/>
          <w:b w:val="1"/>
          <w:bCs w:val="1"/>
          <w:color w:val="auto"/>
        </w:rPr>
        <w:t>ADDITIONAL INTEREST.</w:t>
      </w:r>
    </w:p>
    <w:p>
      <w:pPr>
        <w:spacing w:after="0" w:line="227" w:lineRule="exact"/>
        <w:rPr>
          <w:sz w:val="20"/>
          <w:szCs w:val="20"/>
          <w:color w:val="auto"/>
        </w:rPr>
      </w:pPr>
    </w:p>
    <w:p>
      <w:pPr>
        <w:ind w:left="1320" w:hanging="664"/>
        <w:spacing w:after="0"/>
        <w:tabs>
          <w:tab w:leader="none" w:pos="1320" w:val="left"/>
        </w:tabs>
        <w:numPr>
          <w:ilvl w:val="0"/>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Accrual of Additional Interest</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010000"/>
        </w:rPr>
      </w:pPr>
    </w:p>
    <w:p>
      <w:pPr>
        <w:ind w:left="660" w:firstLine="644"/>
        <w:spacing w:after="0" w:line="282" w:lineRule="auto"/>
        <w:tabs>
          <w:tab w:leader="none" w:pos="195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six (6) month period beginning on, and including, the date that is six (6) months after the Last Original Issue Date of any Note,</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578" w:val="left"/>
        </w:tabs>
        <w:numPr>
          <w:ilvl w:val="2"/>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fails to timely file any report (other than Form 8-K reports) that the Company is required to file with the SEC pursuant to Section 13 or 15(d) of the Exchange Act (after giving effect to all applicable grace periods thereunder); or</w:t>
      </w:r>
    </w:p>
    <w:p>
      <w:pPr>
        <w:spacing w:after="0" w:line="161" w:lineRule="exact"/>
        <w:rPr>
          <w:rFonts w:ascii="Times New Roman" w:cs="Times New Roman" w:eastAsia="Times New Roman" w:hAnsi="Times New Roman"/>
          <w:sz w:val="18"/>
          <w:szCs w:val="18"/>
          <w:color w:val="010000"/>
        </w:rPr>
      </w:pPr>
    </w:p>
    <w:p>
      <w:pPr>
        <w:ind w:left="2520" w:hanging="568"/>
        <w:spacing w:after="0"/>
        <w:tabs>
          <w:tab w:leader="none" w:pos="2520" w:val="left"/>
        </w:tabs>
        <w:numPr>
          <w:ilvl w:val="2"/>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Note is not otherwise Freely Tradable,</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then Additional Interest will accrue on such Note for each day during such period on which such failure is continuing or such Note is not Freely Tradable.</w:t>
      </w:r>
    </w:p>
    <w:p>
      <w:pPr>
        <w:spacing w:after="0" w:line="162" w:lineRule="exact"/>
        <w:rPr>
          <w:sz w:val="20"/>
          <w:szCs w:val="20"/>
          <w:color w:val="auto"/>
        </w:rPr>
      </w:pPr>
    </w:p>
    <w:p>
      <w:pPr>
        <w:ind w:left="660" w:right="20" w:firstLine="644"/>
        <w:spacing w:after="0" w:line="282" w:lineRule="auto"/>
        <w:tabs>
          <w:tab w:leader="none" w:pos="196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Additional Interest will accrue on a Note on each day on which such Note is not Freely Tradable on or after the De-Legending Deadline Date for such Note.</w:t>
      </w:r>
    </w:p>
    <w:p>
      <w:pPr>
        <w:spacing w:after="0" w:line="157" w:lineRule="exact"/>
        <w:rPr>
          <w:rFonts w:ascii="Times New Roman" w:cs="Times New Roman" w:eastAsia="Times New Roman" w:hAnsi="Times New Roman"/>
          <w:sz w:val="18"/>
          <w:szCs w:val="18"/>
          <w:color w:val="auto"/>
        </w:rPr>
      </w:pPr>
    </w:p>
    <w:p>
      <w:pPr>
        <w:jc w:val="both"/>
        <w:ind w:firstLine="656"/>
        <w:spacing w:after="0" w:line="257" w:lineRule="auto"/>
        <w:tabs>
          <w:tab w:leader="none" w:pos="1302" w:val="left"/>
        </w:tabs>
        <w:numPr>
          <w:ilvl w:val="0"/>
          <w:numId w:val="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Amount and Payment of Additional Interest. </w:t>
      </w:r>
      <w:r>
        <w:rPr>
          <w:rFonts w:ascii="Times New Roman" w:cs="Times New Roman" w:eastAsia="Times New Roman" w:hAnsi="Times New Roman"/>
          <w:sz w:val="18"/>
          <w:szCs w:val="18"/>
          <w:color w:val="auto"/>
        </w:rPr>
        <w:t>Any Additional Interest that accrues on a Note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3.04(A)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accrue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rate per annum equal to one quarter of one percent (0.25%) of the principal amount thereof for the first ninety (90) days on which Additional Interest accrues and, thereafter, at a rate per annum equal to one half of one percent (0.50%) of the principal amount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will Additional Interest, together with any Special Interest, accrue on any day on a Note at a combined rate per annum that exceeds one half of one percent (0.50%). For the avoidance of doubt, any Additional Interest that accrues on a Note will, subject to the proviso of the immediately preceding sentence, be in addition to any Special Interest that accrues on such Note.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ind w:left="1300" w:hanging="644"/>
        <w:spacing w:after="0"/>
        <w:tabs>
          <w:tab w:leader="none" w:pos="1300" w:val="left"/>
        </w:tabs>
        <w:numPr>
          <w:ilvl w:val="0"/>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Deferral of Additional Interest</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010000"/>
        </w:rPr>
      </w:pPr>
    </w:p>
    <w:p>
      <w:pPr>
        <w:jc w:val="both"/>
        <w:ind w:left="660" w:firstLine="644"/>
        <w:spacing w:after="0" w:line="253" w:lineRule="auto"/>
        <w:tabs>
          <w:tab w:leader="none" w:pos="189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Notwithstanding anything to the contrary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3.04</w:t>
      </w:r>
      <w:r>
        <w:rPr>
          <w:rFonts w:ascii="Times New Roman" w:cs="Times New Roman" w:eastAsia="Times New Roman" w:hAnsi="Times New Roman"/>
          <w:sz w:val="18"/>
          <w:szCs w:val="18"/>
          <w:color w:val="auto"/>
        </w:rPr>
        <w:t>, but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3.04(C)(iii)</w:t>
      </w:r>
      <w:r>
        <w:rPr>
          <w:rFonts w:ascii="Times New Roman" w:cs="Times New Roman" w:eastAsia="Times New Roman" w:hAnsi="Times New Roman"/>
          <w:sz w:val="18"/>
          <w:szCs w:val="18"/>
          <w:color w:val="auto"/>
        </w:rPr>
        <w:t>, Additional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that accrues on any Note for any period on or after the De-Legending Deadline Date of such Note will not be payable on any Interest Payment Date occurring on or after such De-Legending Deadline Date unless (1) a Holder (or an owner of a beneficial interest in a Global Note) has delivered to the Company and the Trustee, before the Interest Record Date immediately before such Interest Payment Date, a written notice (a </w:t>
      </w:r>
      <w:r>
        <w:rPr>
          <w:rFonts w:ascii="Times New Roman" w:cs="Times New Roman" w:eastAsia="Times New Roman" w:hAnsi="Times New Roman"/>
          <w:sz w:val="18"/>
          <w:szCs w:val="18"/>
          <w:b w:val="1"/>
          <w:bCs w:val="1"/>
          <w:color w:val="auto"/>
        </w:rPr>
        <w:t>“Deferred Additional Interest Demand Request”</w:t>
      </w:r>
      <w:r>
        <w:rPr>
          <w:rFonts w:ascii="Times New Roman" w:cs="Times New Roman" w:eastAsia="Times New Roman" w:hAnsi="Times New Roman"/>
          <w:sz w:val="18"/>
          <w:szCs w:val="18"/>
          <w:color w:val="auto"/>
        </w:rPr>
        <w:t>) demanding payment of Additional Interest; or (2) the Company, in its sole and absolute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discretion, elects, by sending notice of such election (a </w:t>
      </w:r>
      <w:r>
        <w:rPr>
          <w:rFonts w:ascii="Times New Roman" w:cs="Times New Roman" w:eastAsia="Times New Roman" w:hAnsi="Times New Roman"/>
          <w:sz w:val="18"/>
          <w:szCs w:val="18"/>
          <w:b w:val="1"/>
          <w:bCs w:val="1"/>
          <w:color w:val="auto"/>
        </w:rPr>
        <w:t>“Notice of Election to Pay Deferred Additional Interest”</w:t>
      </w:r>
      <w:r>
        <w:rPr>
          <w:rFonts w:ascii="Times New Roman" w:cs="Times New Roman" w:eastAsia="Times New Roman" w:hAnsi="Times New Roman"/>
          <w:sz w:val="18"/>
          <w:szCs w:val="18"/>
          <w:color w:val="auto"/>
        </w:rPr>
        <w:t xml:space="preserve">) to Holders (with a copy to the Trustee) before such Interest Record Date, to pay such Additional Interest on such Interest Payment Date (any accrued and unpaid Additional Interest that, in accordance with this sentence, is not paid on such Interest Payment Date is referred to as, </w:t>
      </w:r>
      <w:r>
        <w:rPr>
          <w:rFonts w:ascii="Times New Roman" w:cs="Times New Roman" w:eastAsia="Times New Roman" w:hAnsi="Times New Roman"/>
          <w:sz w:val="18"/>
          <w:szCs w:val="18"/>
          <w:b w:val="1"/>
          <w:bCs w:val="1"/>
          <w:color w:val="auto"/>
        </w:rPr>
        <w:t>“Deferred 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Without further action by the Company or any other Person, interest will accrue on such Deferred Additional Interest from,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such Interest Payment Date at a rate per annum equal to the combined rate at which Special Interest and Additional Interest accrues on the Notes to, but excluding, the date on which such Deferred Additional Interest, together with accrued interest thereon, is paid. Once any accrued and unpaid Additional Interest becomes payable on an Interest Payment Date (whether as a result of the delivery of a written notice pursuant to </w:t>
      </w:r>
      <w:r>
        <w:rPr>
          <w:rFonts w:ascii="Times New Roman" w:cs="Times New Roman" w:eastAsia="Times New Roman" w:hAnsi="Times New Roman"/>
          <w:sz w:val="18"/>
          <w:szCs w:val="18"/>
          <w:b w:val="1"/>
          <w:bCs w:val="1"/>
          <w:color w:val="auto"/>
        </w:rPr>
        <w:t xml:space="preserve">clause (1) </w:t>
      </w:r>
      <w:r>
        <w:rPr>
          <w:rFonts w:ascii="Times New Roman" w:cs="Times New Roman" w:eastAsia="Times New Roman" w:hAnsi="Times New Roman"/>
          <w:sz w:val="18"/>
          <w:szCs w:val="18"/>
          <w:color w:val="auto"/>
        </w:rPr>
        <w:t>above or, if earlier, the Company’s election to pay the same pursuant to</w:t>
      </w:r>
      <w:r>
        <w:rPr>
          <w:rFonts w:ascii="Times New Roman" w:cs="Times New Roman" w:eastAsia="Times New Roman" w:hAnsi="Times New Roman"/>
          <w:sz w:val="18"/>
          <w:szCs w:val="18"/>
          <w:b w:val="1"/>
          <w:bCs w:val="1"/>
          <w:color w:val="auto"/>
        </w:rPr>
        <w:t xml:space="preserve"> clause (2) </w:t>
      </w:r>
      <w:r>
        <w:rPr>
          <w:rFonts w:ascii="Times New Roman" w:cs="Times New Roman" w:eastAsia="Times New Roman" w:hAnsi="Times New Roman"/>
          <w:sz w:val="18"/>
          <w:szCs w:val="18"/>
          <w:color w:val="auto"/>
        </w:rPr>
        <w:t>above), Additional Interest will thereafter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subject to deferral pursuant to this </w:t>
      </w:r>
      <w:r>
        <w:rPr>
          <w:rFonts w:ascii="Times New Roman" w:cs="Times New Roman" w:eastAsia="Times New Roman" w:hAnsi="Times New Roman"/>
          <w:sz w:val="18"/>
          <w:szCs w:val="18"/>
          <w:b w:val="1"/>
          <w:bCs w:val="1"/>
          <w:color w:val="auto"/>
        </w:rPr>
        <w:t>Section 3.04(C)</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7" w:lineRule="auto"/>
        <w:tabs>
          <w:tab w:leader="none" w:pos="191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Interpretive Provisions. </w:t>
      </w:r>
      <w:r>
        <w:rPr>
          <w:rFonts w:ascii="Times New Roman" w:cs="Times New Roman" w:eastAsia="Times New Roman" w:hAnsi="Times New Roman"/>
          <w:sz w:val="18"/>
          <w:szCs w:val="18"/>
          <w:color w:val="auto"/>
        </w:rPr>
        <w:t>Each reference in this Indenture or the Notes to any accrued interest (including in the definitions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Redemption Price and the Fundamental Change Repurchase Price for any Note) or to any accrued Additional Interest includes, to the extent applicable, and without duplication, any Deferred Additional Interest, together with accrued and unpaid interest thereon. For the avoidance of doubt, the failure to pay any accrued and unpaid Additional Interest on an Interest Payment Date will not constitute a Default or an Event of Default under this Indenture or the Notes if such payment is deferred in accordance with </w:t>
      </w:r>
      <w:r>
        <w:rPr>
          <w:rFonts w:ascii="Times New Roman" w:cs="Times New Roman" w:eastAsia="Times New Roman" w:hAnsi="Times New Roman"/>
          <w:sz w:val="18"/>
          <w:szCs w:val="18"/>
          <w:b w:val="1"/>
          <w:bCs w:val="1"/>
          <w:color w:val="auto"/>
        </w:rPr>
        <w:t>Section 3.04(C)(i)</w:t>
      </w:r>
      <w:r>
        <w:rPr>
          <w:rFonts w:ascii="Times New Roman" w:cs="Times New Roman" w:eastAsia="Times New Roman" w:hAnsi="Times New Roman"/>
          <w:sz w:val="18"/>
          <w:szCs w:val="18"/>
          <w:color w:val="auto"/>
        </w:rPr>
        <w:t xml:space="preserve">. Otherwise, such a failure to pay will be subject to </w:t>
      </w:r>
      <w:r>
        <w:rPr>
          <w:rFonts w:ascii="Times New Roman" w:cs="Times New Roman" w:eastAsia="Times New Roman" w:hAnsi="Times New Roman"/>
          <w:sz w:val="18"/>
          <w:szCs w:val="18"/>
          <w:b w:val="1"/>
          <w:bCs w:val="1"/>
          <w:color w:val="auto"/>
        </w:rPr>
        <w:t>Section 7.01(A)(ii)</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or Extinguishment Upon Maturity. </w:t>
      </w:r>
      <w:r>
        <w:rPr>
          <w:rFonts w:ascii="Times New Roman" w:cs="Times New Roman" w:eastAsia="Times New Roman" w:hAnsi="Times New Roman"/>
          <w:sz w:val="18"/>
          <w:szCs w:val="18"/>
          <w:color w:val="auto"/>
        </w:rPr>
        <w:t>Notwithstanding anything to the contrary in this Indenture or the Notes, if (1)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unpaid Deferred Additional Interest exists on any Notes as of the Close of Business on the Interest Record Date immediately preceding the Maturity Date; (2) no Holder (or owner of a beneficial interest in a Global Note) has delivered a Deferred Additional Interest Demand Request in the manner set forth in </w:t>
      </w:r>
      <w:r>
        <w:rPr>
          <w:rFonts w:ascii="Times New Roman" w:cs="Times New Roman" w:eastAsia="Times New Roman" w:hAnsi="Times New Roman"/>
          <w:sz w:val="18"/>
          <w:szCs w:val="18"/>
          <w:b w:val="1"/>
          <w:bCs w:val="1"/>
          <w:color w:val="auto"/>
        </w:rPr>
        <w:t>Section 3.04(C)(i)</w:t>
      </w:r>
      <w:r>
        <w:rPr>
          <w:rFonts w:ascii="Times New Roman" w:cs="Times New Roman" w:eastAsia="Times New Roman" w:hAnsi="Times New Roman"/>
          <w:sz w:val="18"/>
          <w:szCs w:val="18"/>
          <w:color w:val="auto"/>
        </w:rPr>
        <w:t xml:space="preserve"> before such Interest Record Date; and (3) the Company has not sent a Notice of Election to Pay Deferred Additional Interest in the manner set forth in </w:t>
      </w:r>
      <w:r>
        <w:rPr>
          <w:rFonts w:ascii="Times New Roman" w:cs="Times New Roman" w:eastAsia="Times New Roman" w:hAnsi="Times New Roman"/>
          <w:sz w:val="18"/>
          <w:szCs w:val="18"/>
          <w:b w:val="1"/>
          <w:bCs w:val="1"/>
          <w:color w:val="auto"/>
        </w:rPr>
        <w:t>Section 3.04(C)(i)</w:t>
      </w:r>
      <w:r>
        <w:rPr>
          <w:rFonts w:ascii="Times New Roman" w:cs="Times New Roman" w:eastAsia="Times New Roman" w:hAnsi="Times New Roman"/>
          <w:sz w:val="18"/>
          <w:szCs w:val="18"/>
          <w:color w:val="auto"/>
        </w:rPr>
        <w:t xml:space="preserve"> before such Interest Record Date, then Deferred Additional Interest on each Note then outstanding will cease to accrue, and all Deferred Additional Interest, together with interest thereon, on such Note will be deemed to be extinguished on the following date: (a) if such Note is to be Converted, the Conversion Date for such Conversion (it being understood, for the avoidance of doubt, that the Conversion Consideration therefor need not include, and the amount referred to in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need not include, the payment of any such Deferred Additional Interest or any interest thereon); and (b) in all other cases, the later of (x) the Maturity Date; and (y) the first date on which the Company has repaid the principal of, and accrued and unpaid interest (other than such Deferred Additional Interest and any interest thereon) on, such Note in full.</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1393" w:val="left"/>
        </w:tabs>
        <w:numPr>
          <w:ilvl w:val="0"/>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Notice of Accrual of Additional Interest; Trustee’s Disclaimer. </w:t>
      </w:r>
      <w:r>
        <w:rPr>
          <w:rFonts w:ascii="Times New Roman" w:cs="Times New Roman" w:eastAsia="Times New Roman" w:hAnsi="Times New Roman"/>
          <w:sz w:val="18"/>
          <w:szCs w:val="18"/>
          <w:color w:val="auto"/>
        </w:rPr>
        <w:t>The Company will send notice to the Holder of each Note, and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Trustee, of the commencement and termination of any period in which Additional Interest accrues on such Note, except that no such notice is required in respect of any Additional Interest that is deferred in accordance with </w:t>
      </w:r>
      <w:r>
        <w:rPr>
          <w:rFonts w:ascii="Times New Roman" w:cs="Times New Roman" w:eastAsia="Times New Roman" w:hAnsi="Times New Roman"/>
          <w:sz w:val="18"/>
          <w:szCs w:val="18"/>
          <w:b w:val="1"/>
          <w:bCs w:val="1"/>
          <w:color w:val="auto"/>
        </w:rPr>
        <w:t>Section 3.04(C)</w:t>
      </w:r>
      <w:r>
        <w:rPr>
          <w:rFonts w:ascii="Times New Roman" w:cs="Times New Roman" w:eastAsia="Times New Roman" w:hAnsi="Times New Roman"/>
          <w:sz w:val="18"/>
          <w:szCs w:val="18"/>
          <w:color w:val="auto"/>
        </w:rPr>
        <w:t>. In addition, if Additional Interest accrues on any Note, then, no later than five (5) Business Days before each date on which such Additional Interest is to be paid, the Company will deliver an Officer’s Certificate to the Trustee and the Paying Agent stating (i) that the Company is obligated to pay Additional Interest on such Note on such date of payment; and (ii) the amount of such Additional Interest that is payable on such date of payment. The Trustee will have no duty to determine whether any Additional Interest is payable (or whether the same is deferred or is accruing interest) or the amount thereof and may assume without inquiry that no Additional Interest is payable or has been deferred until written notice of such Additional Interest has been provided to the Trustee by the Company.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ind w:firstLine="656"/>
        <w:spacing w:after="0" w:line="284" w:lineRule="auto"/>
        <w:tabs>
          <w:tab w:leader="none" w:pos="1319" w:val="left"/>
        </w:tabs>
        <w:numPr>
          <w:ilvl w:val="0"/>
          <w:numId w:val="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Exclusive Remedy. </w:t>
      </w:r>
      <w:r>
        <w:rPr>
          <w:rFonts w:ascii="Times New Roman" w:cs="Times New Roman" w:eastAsia="Times New Roman" w:hAnsi="Times New Roman"/>
          <w:sz w:val="18"/>
          <w:szCs w:val="18"/>
          <w:color w:val="auto"/>
        </w:rPr>
        <w:t>The accrual of Additional Interest will be the exclusive remedy available to Holders for the failure of their Notes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Freely Tradable.</w:t>
      </w:r>
    </w:p>
    <w:p>
      <w:pPr>
        <w:spacing w:after="0" w:line="15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3.05</w:t>
      </w:r>
      <w:r>
        <w:rPr>
          <w:sz w:val="20"/>
          <w:szCs w:val="20"/>
          <w:color w:val="auto"/>
        </w:rPr>
        <w:tab/>
      </w:r>
      <w:r>
        <w:rPr>
          <w:rFonts w:ascii="Times New Roman" w:cs="Times New Roman" w:eastAsia="Times New Roman" w:hAnsi="Times New Roman"/>
          <w:sz w:val="17"/>
          <w:szCs w:val="17"/>
          <w:b w:val="1"/>
          <w:bCs w:val="1"/>
          <w:color w:val="auto"/>
        </w:rPr>
        <w:t>COMPLIANCE AND DEFAULT CERTIFICATES.</w:t>
      </w:r>
    </w:p>
    <w:p>
      <w:pPr>
        <w:spacing w:after="0" w:line="227" w:lineRule="exact"/>
        <w:rPr>
          <w:sz w:val="20"/>
          <w:szCs w:val="20"/>
          <w:color w:val="auto"/>
        </w:rPr>
      </w:pPr>
    </w:p>
    <w:p>
      <w:pPr>
        <w:jc w:val="both"/>
        <w:ind w:firstLine="656"/>
        <w:spacing w:after="0" w:line="257" w:lineRule="auto"/>
        <w:tabs>
          <w:tab w:leader="none" w:pos="1352"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Annual Compliance Certificate. </w:t>
      </w:r>
      <w:r>
        <w:rPr>
          <w:rFonts w:ascii="Times New Roman" w:cs="Times New Roman" w:eastAsia="Times New Roman" w:hAnsi="Times New Roman"/>
          <w:sz w:val="18"/>
          <w:szCs w:val="18"/>
          <w:color w:val="auto"/>
        </w:rPr>
        <w:t>Within ninety (90) days after the last day of each fiscal year of the Company, beginning with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fiscal year ending after the date of this Indenture, the Company will deliver an Officer’s Certificate to the Trustee stating (i) that the signatory thereto has supervised a review of the activities of the Company and its Subsidiaries during such fiscal year with a view towards determining whether any Default or Event of Default has occurred; and (ii) whether, to such signatory’s knowledge, a Default or Event of Default has occurred or is continuing (and, if so, describing all such Defaults or Events of Default and what action the Company is taking or proposes to take with respect thereto). If the fiscal year of the Company shall, at any time, be other than a calendar year, the Company will give prompt notice thereof to the Trustee.</w:t>
      </w:r>
    </w:p>
    <w:p>
      <w:pPr>
        <w:spacing w:after="0" w:line="182" w:lineRule="exact"/>
        <w:rPr>
          <w:rFonts w:ascii="Times New Roman" w:cs="Times New Roman" w:eastAsia="Times New Roman" w:hAnsi="Times New Roman"/>
          <w:sz w:val="18"/>
          <w:szCs w:val="18"/>
          <w:color w:val="010000"/>
        </w:rPr>
      </w:pPr>
    </w:p>
    <w:p>
      <w:pPr>
        <w:ind w:firstLine="656"/>
        <w:spacing w:after="0" w:line="284" w:lineRule="auto"/>
        <w:tabs>
          <w:tab w:leader="none" w:pos="1203"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Default Certificate. </w:t>
      </w:r>
      <w:r>
        <w:rPr>
          <w:rFonts w:ascii="Times New Roman" w:cs="Times New Roman" w:eastAsia="Times New Roman" w:hAnsi="Times New Roman"/>
          <w:sz w:val="18"/>
          <w:szCs w:val="18"/>
          <w:color w:val="auto"/>
        </w:rPr>
        <w:t>If a Default or Event of Default occurs, then the Company will, within thirty (30) days after its first occurrence, deliver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Officer’s Certificate to the Trustee describing the same and what action the Company is taking or proposes to take with respect thereto.</w:t>
      </w:r>
    </w:p>
    <w:p>
      <w:pPr>
        <w:spacing w:after="0" w:line="15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3.06</w:t>
      </w:r>
      <w:r>
        <w:rPr>
          <w:sz w:val="20"/>
          <w:szCs w:val="20"/>
          <w:color w:val="auto"/>
        </w:rPr>
        <w:tab/>
      </w:r>
      <w:r>
        <w:rPr>
          <w:rFonts w:ascii="Times New Roman" w:cs="Times New Roman" w:eastAsia="Times New Roman" w:hAnsi="Times New Roman"/>
          <w:sz w:val="17"/>
          <w:szCs w:val="17"/>
          <w:b w:val="1"/>
          <w:bCs w:val="1"/>
          <w:color w:val="auto"/>
        </w:rPr>
        <w:t>STAY, EXTENSION AND USURY LAWS.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Indenture; and (B) expressly waives all benefits or advantages of any such law and agrees that it will not, by resort to any such law, hinder, delay or impede the execution of any power granted to the Trustee by this Indenture, but will suffer and permit the execution of every such power as though no such law has been enacted.</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3.07</w:t>
      </w:r>
      <w:r>
        <w:rPr>
          <w:sz w:val="20"/>
          <w:szCs w:val="20"/>
          <w:color w:val="auto"/>
        </w:rPr>
        <w:tab/>
      </w:r>
      <w:r>
        <w:rPr>
          <w:rFonts w:ascii="Times New Roman" w:cs="Times New Roman" w:eastAsia="Times New Roman" w:hAnsi="Times New Roman"/>
          <w:sz w:val="17"/>
          <w:szCs w:val="17"/>
          <w:b w:val="1"/>
          <w:bCs w:val="1"/>
          <w:color w:val="auto"/>
        </w:rPr>
        <w:t>ACQUISITION OF NOTES BY THE COMPANY AND ITS AFFILIATES.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 xml:space="preserve">, Notes that the Company or any of its Subsidiaries have purchased or otherwise acquired will be deemed to remain outstanding (except to the extent provided in </w:t>
      </w:r>
      <w:r>
        <w:rPr>
          <w:rFonts w:ascii="Times New Roman" w:cs="Times New Roman" w:eastAsia="Times New Roman" w:hAnsi="Times New Roman"/>
          <w:sz w:val="18"/>
          <w:szCs w:val="18"/>
          <w:b w:val="1"/>
          <w:bCs w:val="1"/>
          <w:color w:val="auto"/>
        </w:rPr>
        <w:t>Section 2.16</w:t>
      </w:r>
      <w:r>
        <w:rPr>
          <w:rFonts w:ascii="Times New Roman" w:cs="Times New Roman" w:eastAsia="Times New Roman" w:hAnsi="Times New Roman"/>
          <w:sz w:val="18"/>
          <w:szCs w:val="18"/>
          <w:color w:val="auto"/>
        </w:rPr>
        <w:t>) until such time as such Notes are delivered to the Trustee for cancellation. The Company will use commercially reasonable efforts to prevent any of its controlled Affiliates from acquiring any Note (or any beneficial interest therein).</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3.08</w:t>
      </w:r>
      <w:r>
        <w:rPr>
          <w:sz w:val="20"/>
          <w:szCs w:val="20"/>
          <w:color w:val="auto"/>
        </w:rPr>
        <w:tab/>
      </w:r>
      <w:r>
        <w:rPr>
          <w:rFonts w:ascii="Times New Roman" w:cs="Times New Roman" w:eastAsia="Times New Roman" w:hAnsi="Times New Roman"/>
          <w:sz w:val="17"/>
          <w:szCs w:val="17"/>
          <w:b w:val="1"/>
          <w:bCs w:val="1"/>
          <w:color w:val="auto"/>
        </w:rPr>
        <w:t>EXISTENCE.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 the Company will do or cause to be done all things necessary to preserve and keep in full force and effect its corporate existence.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REPURCHASE AND REDEMPTION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4.01</w:t>
      </w:r>
      <w:r>
        <w:rPr>
          <w:sz w:val="20"/>
          <w:szCs w:val="20"/>
          <w:color w:val="auto"/>
        </w:rPr>
        <w:tab/>
      </w:r>
      <w:r>
        <w:rPr>
          <w:rFonts w:ascii="Times New Roman" w:cs="Times New Roman" w:eastAsia="Times New Roman" w:hAnsi="Times New Roman"/>
          <w:sz w:val="17"/>
          <w:szCs w:val="17"/>
          <w:b w:val="1"/>
          <w:bCs w:val="1"/>
          <w:color w:val="auto"/>
        </w:rPr>
        <w:t>NO SINKING FUND.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sinking fund is required to be provided for the Notes.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4.02</w:t>
      </w:r>
      <w:r>
        <w:rPr>
          <w:sz w:val="20"/>
          <w:szCs w:val="20"/>
          <w:color w:val="auto"/>
        </w:rPr>
        <w:tab/>
      </w:r>
      <w:r>
        <w:rPr>
          <w:rFonts w:ascii="Times New Roman" w:cs="Times New Roman" w:eastAsia="Times New Roman" w:hAnsi="Times New Roman"/>
          <w:sz w:val="17"/>
          <w:szCs w:val="17"/>
          <w:b w:val="1"/>
          <w:bCs w:val="1"/>
          <w:color w:val="auto"/>
        </w:rPr>
        <w:t>RIGHT OF HOLDERS TO REQUIRE THE COMPANY TO REPURCHASE NOTES UPON A FUNDAMENTAL CHANGE.</w:t>
      </w:r>
    </w:p>
    <w:p>
      <w:pPr>
        <w:spacing w:after="0" w:line="225" w:lineRule="exact"/>
        <w:rPr>
          <w:sz w:val="20"/>
          <w:szCs w:val="20"/>
          <w:color w:val="auto"/>
        </w:rPr>
      </w:pPr>
    </w:p>
    <w:p>
      <w:pPr>
        <w:jc w:val="both"/>
        <w:ind w:firstLine="656"/>
        <w:spacing w:after="0" w:line="262" w:lineRule="auto"/>
        <w:tabs>
          <w:tab w:leader="none" w:pos="1312" w:val="left"/>
        </w:tabs>
        <w:numPr>
          <w:ilvl w:val="0"/>
          <w:numId w:val="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Right of Holders to Require the Company to Repurchase Notes Upon a Fundamental Change. </w:t>
      </w:r>
      <w:r>
        <w:rPr>
          <w:rFonts w:ascii="Times New Roman" w:cs="Times New Roman" w:eastAsia="Times New Roman" w:hAnsi="Times New Roman"/>
          <w:sz w:val="18"/>
          <w:szCs w:val="18"/>
          <w:color w:val="auto"/>
        </w:rPr>
        <w:t>Subject to the other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4.02</w:t>
      </w:r>
      <w:r>
        <w:rPr>
          <w:rFonts w:ascii="Times New Roman" w:cs="Times New Roman" w:eastAsia="Times New Roman" w:hAnsi="Times New Roman"/>
          <w:sz w:val="18"/>
          <w:szCs w:val="18"/>
          <w:color w:val="auto"/>
        </w:rPr>
        <w:t>, if a Fundamental Change occurs, then each Holder will have the right (the</w:t>
      </w:r>
      <w:r>
        <w:rPr>
          <w:rFonts w:ascii="Times New Roman" w:cs="Times New Roman" w:eastAsia="Times New Roman" w:hAnsi="Times New Roman"/>
          <w:sz w:val="18"/>
          <w:szCs w:val="18"/>
          <w:b w:val="1"/>
          <w:bCs w:val="1"/>
          <w:color w:val="auto"/>
        </w:rPr>
        <w:t xml:space="preserve"> “Fundamental Change Repurchase Right</w:t>
      </w:r>
      <w:r>
        <w:rPr>
          <w:rFonts w:ascii="Times New Roman" w:cs="Times New Roman" w:eastAsia="Times New Roman" w:hAnsi="Times New Roman"/>
          <w:sz w:val="18"/>
          <w:szCs w:val="18"/>
          <w:color w:val="auto"/>
        </w:rPr>
        <w:t>”) to require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such Holder’s Notes (or any portion thereof in an Authorized Denomination) on the Fundamental Change Repurchase Date for such Fundamental Change for a cash purchase price equal to the Fundamental Change Repurchase Price.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jc w:val="both"/>
        <w:ind w:firstLine="656"/>
        <w:spacing w:after="0" w:line="256" w:lineRule="auto"/>
        <w:tabs>
          <w:tab w:leader="none" w:pos="1230" w:val="left"/>
        </w:tabs>
        <w:numPr>
          <w:ilvl w:val="0"/>
          <w:numId w:val="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Repurchase Prohibited in Certain Circumstances. </w:t>
      </w:r>
      <w:r>
        <w:rPr>
          <w:rFonts w:ascii="Times New Roman" w:cs="Times New Roman" w:eastAsia="Times New Roman" w:hAnsi="Times New Roman"/>
          <w:sz w:val="18"/>
          <w:szCs w:val="18"/>
          <w:color w:val="auto"/>
        </w:rPr>
        <w:t>If the principal amount of the Notes has been accelerated and such acceleration has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been rescinded on or before the Fundamental Change Repurchase Date for a Repurchase Upon Fundamental Change (including as a result of the payment of the related Fundamental Change Repurchase Price, and any related interest pursuant to the proviso to the first sentence of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 xml:space="preserve">, on such Fundamental Change Repurchase Date), then (i) the Company may not repurchase any Notes pursuant to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and (ii) the Company will cause any Notes theretofore surrendered for such Repurchase Upon Fundamental Change to be returned to the Holders thereof (or, if applicable with respect to Global Notes, cancel any instructions for book-entry transfer to the Company, the Trustee or the Paying Agent of the applicable beneficial interest in such Notes in accordance with the Depositary Procedures).</w:t>
      </w:r>
    </w:p>
    <w:p>
      <w:pPr>
        <w:spacing w:after="0" w:line="182" w:lineRule="exact"/>
        <w:rPr>
          <w:rFonts w:ascii="Times New Roman" w:cs="Times New Roman" w:eastAsia="Times New Roman" w:hAnsi="Times New Roman"/>
          <w:sz w:val="18"/>
          <w:szCs w:val="18"/>
          <w:color w:val="010000"/>
        </w:rPr>
      </w:pPr>
    </w:p>
    <w:p>
      <w:pPr>
        <w:jc w:val="both"/>
        <w:ind w:firstLine="656"/>
        <w:spacing w:after="0" w:line="267" w:lineRule="auto"/>
        <w:tabs>
          <w:tab w:leader="none" w:pos="1230" w:val="left"/>
        </w:tabs>
        <w:numPr>
          <w:ilvl w:val="0"/>
          <w:numId w:val="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Fundamental Change Repurchase Date. </w:t>
      </w:r>
      <w:r>
        <w:rPr>
          <w:rFonts w:ascii="Times New Roman" w:cs="Times New Roman" w:eastAsia="Times New Roman" w:hAnsi="Times New Roman"/>
          <w:sz w:val="18"/>
          <w:szCs w:val="18"/>
          <w:color w:val="auto"/>
        </w:rPr>
        <w:t>The Fundamental Change Repurchase Date for any Fundamental Change will be a Business 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Company’s choosing that is no more than thirty five (35), nor less than twenty (20), Business Days after the date the Company sends the related Fundamental Change Notice pursuant to </w:t>
      </w:r>
      <w:r>
        <w:rPr>
          <w:rFonts w:ascii="Times New Roman" w:cs="Times New Roman" w:eastAsia="Times New Roman" w:hAnsi="Times New Roman"/>
          <w:sz w:val="18"/>
          <w:szCs w:val="18"/>
          <w:b w:val="1"/>
          <w:bCs w:val="1"/>
          <w:color w:val="auto"/>
        </w:rPr>
        <w:t>Section 4.02(E)</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010000"/>
        </w:rPr>
      </w:pPr>
    </w:p>
    <w:p>
      <w:pPr>
        <w:jc w:val="both"/>
        <w:ind w:firstLine="656"/>
        <w:spacing w:after="0" w:line="252" w:lineRule="auto"/>
        <w:tabs>
          <w:tab w:leader="none" w:pos="1379" w:val="left"/>
        </w:tabs>
        <w:numPr>
          <w:ilvl w:val="0"/>
          <w:numId w:val="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Fundamental Change Repurchase Price</w:t>
      </w:r>
      <w:r>
        <w:rPr>
          <w:rFonts w:ascii="Times New Roman" w:cs="Times New Roman" w:eastAsia="Times New Roman" w:hAnsi="Times New Roman"/>
          <w:sz w:val="18"/>
          <w:szCs w:val="18"/>
          <w:color w:val="auto"/>
        </w:rPr>
        <w:t>. Fundamental Change Repurchase Price. The Fundamental Change Repurchase Price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to be repurchased upon a Repurchase Upon Fundamental Change following a Fundamental Change is an amount in cash equal to the principal amount of such Note plus accrued and unpaid Special Interest and Additional Interest, if any, on such Note to, but excluding, the Fundamental Change Repurchase Date for such Fundamental 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any Special Interest or Additional Interest has accrued and would be payable in respect of an Interest Payment Date and such Fundamental Change Repurchase Date is after the related Interest Record Date and on or before such Interest Payment Date, then (i) the Holder of such Note at the Close of Business on such Interest Record Date will be entitled, notwithstanding such Repurchase Upon Fundamental Change, to receive, on or, at the Company’s election, before such Interest Payment Date, such payment of Special Interest or Additional Interest, as applicable (assuming, solely for these purposes, that such Note remained outstanding through such Interest Payment Date, if such Fundamental Change Repurchase Date is before such Interest Payment Date); and (ii) the Fundamental Change Repurchase Price will not include accrued and unpaid Special Interest or Additional Interest on such Note to, but excluding, such Fundamental Change Repurchase Date. For the avoidance of doubt, if such Interest Payment Date is not a Business Day within the meaning of </w:t>
      </w:r>
      <w:r>
        <w:rPr>
          <w:rFonts w:ascii="Times New Roman" w:cs="Times New Roman" w:eastAsia="Times New Roman" w:hAnsi="Times New Roman"/>
          <w:sz w:val="18"/>
          <w:szCs w:val="18"/>
          <w:b w:val="1"/>
          <w:bCs w:val="1"/>
          <w:color w:val="auto"/>
        </w:rPr>
        <w:t>Section 2.05(C)</w:t>
      </w:r>
      <w:r>
        <w:rPr>
          <w:rFonts w:ascii="Times New Roman" w:cs="Times New Roman" w:eastAsia="Times New Roman" w:hAnsi="Times New Roman"/>
          <w:sz w:val="18"/>
          <w:szCs w:val="18"/>
          <w:color w:val="auto"/>
        </w:rPr>
        <w:t xml:space="preserve"> and such Fundamental Change Repurchase Date occurs on the Business Day immediately after such Interest Payment Date, then (x) such accrued and unpaid Special Interest or Additional Interest, as applicable, to, but excluding, such Interest Payment Date will be paid, in accordance with </w:t>
      </w:r>
      <w:r>
        <w:rPr>
          <w:rFonts w:ascii="Times New Roman" w:cs="Times New Roman" w:eastAsia="Times New Roman" w:hAnsi="Times New Roman"/>
          <w:sz w:val="18"/>
          <w:szCs w:val="18"/>
          <w:b w:val="1"/>
          <w:bCs w:val="1"/>
          <w:color w:val="auto"/>
        </w:rPr>
        <w:t>Section 2.05(C)</w:t>
      </w:r>
      <w:r>
        <w:rPr>
          <w:rFonts w:ascii="Times New Roman" w:cs="Times New Roman" w:eastAsia="Times New Roman" w:hAnsi="Times New Roman"/>
          <w:sz w:val="18"/>
          <w:szCs w:val="18"/>
          <w:color w:val="auto"/>
        </w:rPr>
        <w:t>, on the next Business Day to Holders as of the Close of Business on the immediately preceding Interest Record Date; and (y) the Fundamental Change Repurchase Price will include Special Interest and Additional Interest, if any, on the Notes to be repurchased from, and including, such Interest Payment Date.</w:t>
      </w:r>
    </w:p>
    <w:p>
      <w:pPr>
        <w:spacing w:after="0" w:line="195" w:lineRule="exact"/>
        <w:rPr>
          <w:rFonts w:ascii="Times New Roman" w:cs="Times New Roman" w:eastAsia="Times New Roman" w:hAnsi="Times New Roman"/>
          <w:sz w:val="18"/>
          <w:szCs w:val="18"/>
          <w:color w:val="010000"/>
        </w:rPr>
      </w:pPr>
    </w:p>
    <w:p>
      <w:pPr>
        <w:jc w:val="both"/>
        <w:ind w:firstLine="656"/>
        <w:spacing w:after="0" w:line="267" w:lineRule="auto"/>
        <w:tabs>
          <w:tab w:leader="none" w:pos="1458" w:val="left"/>
        </w:tabs>
        <w:numPr>
          <w:ilvl w:val="0"/>
          <w:numId w:val="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Fundamental Change Notice. </w:t>
      </w:r>
      <w:r>
        <w:rPr>
          <w:rFonts w:ascii="Times New Roman" w:cs="Times New Roman" w:eastAsia="Times New Roman" w:hAnsi="Times New Roman"/>
          <w:sz w:val="18"/>
          <w:szCs w:val="18"/>
          <w:color w:val="auto"/>
        </w:rPr>
        <w:t>On or before the twentieth (20th) calendar day after the effective date of a Fundamental Change,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will send to each Holder, the Trustee, the Conversion Agent and the Paying Agent a notice of such Fundamental Change (a </w:t>
      </w:r>
      <w:r>
        <w:rPr>
          <w:rFonts w:ascii="Times New Roman" w:cs="Times New Roman" w:eastAsia="Times New Roman" w:hAnsi="Times New Roman"/>
          <w:sz w:val="18"/>
          <w:szCs w:val="18"/>
          <w:b w:val="1"/>
          <w:bCs w:val="1"/>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Change Notice”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Such Fundamental Change Notice must state:</w:t>
      </w:r>
    </w:p>
    <w:p>
      <w:pPr>
        <w:spacing w:after="0" w:line="225" w:lineRule="exact"/>
        <w:rPr>
          <w:sz w:val="20"/>
          <w:szCs w:val="20"/>
          <w:color w:val="auto"/>
        </w:rPr>
      </w:pPr>
    </w:p>
    <w:p>
      <w:pPr>
        <w:ind w:left="1960" w:hanging="656"/>
        <w:spacing w:after="0"/>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briefly, the events causing such Fundamental Change;</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such Fundamental Change;</w:t>
      </w:r>
    </w:p>
    <w:p>
      <w:pPr>
        <w:spacing w:after="0" w:line="221" w:lineRule="exact"/>
        <w:rPr>
          <w:rFonts w:ascii="Times New Roman" w:cs="Times New Roman" w:eastAsia="Times New Roman" w:hAnsi="Times New Roman"/>
          <w:sz w:val="18"/>
          <w:szCs w:val="18"/>
          <w:color w:val="auto"/>
        </w:rPr>
      </w:pPr>
    </w:p>
    <w:p>
      <w:pPr>
        <w:jc w:val="both"/>
        <w:ind w:left="660" w:firstLine="644"/>
        <w:spacing w:after="0" w:line="268" w:lineRule="auto"/>
        <w:tabs>
          <w:tab w:leader="none" w:pos="19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procedures that a Holder must follow to require the Company to repurchase its Notes pursuant to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including the deadline for exercising the Fundamental Change Repurchase Right and the procedures for submitting and withdrawing a Fundamental Change Repurchase Notice;</w:t>
      </w:r>
    </w:p>
    <w:p>
      <w:pPr>
        <w:spacing w:after="0" w:line="17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Date for such Fundamental Change;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jc w:val="both"/>
        <w:ind w:left="660" w:firstLine="644"/>
        <w:spacing w:after="0" w:line="261" w:lineRule="auto"/>
        <w:tabs>
          <w:tab w:leader="none" w:pos="2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Fundamental Change Repurchase Price per $1,000 principal amount of Notes for such Fundamental Change (and, if any Special Interest or Additional Interest has accrued and would be payable in respect of an Interest Payment Date and such Fundamental Change Repurchase Date is after the related Interest Record Date and on or before such Interest Payment Date, the amount, manner and timing of the interest payment payable pursuant to the proviso to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the Conversion Agent;</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0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Conversion Rate in effect on the date of such Fundamental Change Notice and a description and quantification of any adjustments to the Conversion Rate that may result from such Fundamental Change (including pursuant to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1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for which a Fundamental Change Repurchase Notice has been duly tendered and not duly withdrawn must be delivered to the Paying Agent for the Holder thereof to be entitled to receive the Fundamental Change Repurchase Price;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93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(or any portion thereof) that are subject to a Fundamental Change Repurchase Notice that has been duly tendered may be Converted only if such Fundamental Change Repurchase Notice is withdrawn in accordance with this Indenture;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and ISIN numbers, if any, of the Notes.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Neither the failure to deliver a Fundamental Change Notice nor any defect in a Fundamental Change Notice will limit the Fundamental Change Repurchase Right of any Holder or otherwise affect the validity of any proceedings relating to any Repurchase Upon Fundamental Change.</w:t>
      </w:r>
    </w:p>
    <w:p>
      <w:pPr>
        <w:spacing w:after="0" w:line="160" w:lineRule="exact"/>
        <w:rPr>
          <w:sz w:val="20"/>
          <w:szCs w:val="20"/>
          <w:color w:val="auto"/>
        </w:rPr>
      </w:pPr>
    </w:p>
    <w:p>
      <w:pPr>
        <w:ind w:left="1280" w:hanging="624"/>
        <w:spacing w:after="0"/>
        <w:tabs>
          <w:tab w:leader="none" w:pos="1280" w:val="left"/>
        </w:tabs>
        <w:numPr>
          <w:ilvl w:val="0"/>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Procedures to Exercise the Fundamental Change Repurchase Right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660" w:right="20" w:firstLine="644"/>
        <w:spacing w:after="0" w:line="284" w:lineRule="auto"/>
        <w:tabs>
          <w:tab w:leader="none" w:pos="212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of Fundamental Change Repurchase Notice and Notes to Be Repurchased. </w:t>
      </w:r>
      <w:r>
        <w:rPr>
          <w:rFonts w:ascii="Times New Roman" w:cs="Times New Roman" w:eastAsia="Times New Roman" w:hAnsi="Times New Roman"/>
          <w:sz w:val="18"/>
          <w:szCs w:val="18"/>
          <w:color w:val="auto"/>
        </w:rPr>
        <w:t>To exercise its Fundamental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Right for a Note following a Fundamental Change, the Holder thereof must deliver to the Paying Agent:</w:t>
      </w:r>
    </w:p>
    <w:p>
      <w:pPr>
        <w:spacing w:after="0" w:line="160"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831" w:val="left"/>
        </w:tabs>
        <w:numPr>
          <w:ilvl w:val="2"/>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before the Close of Business on the second Business Day immediately before the related Fundamental Change Repurchase Date (or such later time as may be required by law), a duly completed, written Fundamental Change Repurchase Notice with respect to such Note; and</w:t>
      </w:r>
    </w:p>
    <w:p>
      <w:pPr>
        <w:spacing w:after="0" w:line="175" w:lineRule="exact"/>
        <w:rPr>
          <w:rFonts w:ascii="Times New Roman" w:cs="Times New Roman" w:eastAsia="Times New Roman" w:hAnsi="Times New Roman"/>
          <w:sz w:val="18"/>
          <w:szCs w:val="18"/>
          <w:color w:val="010000"/>
        </w:rPr>
      </w:pPr>
    </w:p>
    <w:p>
      <w:pPr>
        <w:jc w:val="both"/>
        <w:ind w:left="1300" w:firstLine="652"/>
        <w:spacing w:after="0" w:line="266" w:lineRule="auto"/>
        <w:tabs>
          <w:tab w:leader="none" w:pos="2708" w:val="left"/>
        </w:tabs>
        <w:numPr>
          <w:ilvl w:val="2"/>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Note, duly endorsed for transfer (if such Note is a Physical Note) or by book-entry transfer (if such Note is a Global Note). The Paying Agent will promptly deliver to the Company a copy of each Fundamental Change Repurchase Notice that it receives.</w:t>
      </w:r>
    </w:p>
    <w:p>
      <w:pPr>
        <w:spacing w:after="0" w:line="173" w:lineRule="exact"/>
        <w:rPr>
          <w:rFonts w:ascii="Times New Roman" w:cs="Times New Roman" w:eastAsia="Times New Roman" w:hAnsi="Times New Roman"/>
          <w:sz w:val="18"/>
          <w:szCs w:val="18"/>
          <w:color w:val="010000"/>
        </w:rPr>
      </w:pPr>
    </w:p>
    <w:p>
      <w:pPr>
        <w:ind w:left="2060" w:hanging="756"/>
        <w:spacing w:after="0"/>
        <w:tabs>
          <w:tab w:leader="none" w:pos="20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Contents of Fundamental Change Repurchase Notices. </w:t>
      </w:r>
      <w:r>
        <w:rPr>
          <w:rFonts w:ascii="Times New Roman" w:cs="Times New Roman" w:eastAsia="Times New Roman" w:hAnsi="Times New Roman"/>
          <w:sz w:val="18"/>
          <w:szCs w:val="18"/>
          <w:color w:val="auto"/>
        </w:rPr>
        <w:t>Each Fundamental Change Repurchase Notice with respect to a Note</w:t>
      </w:r>
    </w:p>
    <w:p>
      <w:pPr>
        <w:spacing w:after="0" w:line="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state:</w:t>
      </w:r>
    </w:p>
    <w:p>
      <w:pPr>
        <w:spacing w:after="0" w:line="206"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2"/>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such Note is a Physical Note, the certificate number of such Note;</w:t>
      </w:r>
    </w:p>
    <w:p>
      <w:pPr>
        <w:spacing w:after="0" w:line="225" w:lineRule="exact"/>
        <w:rPr>
          <w:rFonts w:ascii="Times New Roman" w:cs="Times New Roman" w:eastAsia="Times New Roman" w:hAnsi="Times New Roman"/>
          <w:sz w:val="18"/>
          <w:szCs w:val="18"/>
          <w:color w:val="010000"/>
        </w:rPr>
      </w:pPr>
    </w:p>
    <w:p>
      <w:pPr>
        <w:ind w:left="2620" w:hanging="668"/>
        <w:spacing w:after="0"/>
        <w:tabs>
          <w:tab w:leader="none" w:pos="2620" w:val="left"/>
        </w:tabs>
        <w:numPr>
          <w:ilvl w:val="2"/>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principal amount of such Note to be repurchased, which must be an Authorized Denomination; and</w:t>
      </w:r>
    </w:p>
    <w:p>
      <w:pPr>
        <w:spacing w:after="0" w:line="225" w:lineRule="exact"/>
        <w:rPr>
          <w:rFonts w:ascii="Times New Roman" w:cs="Times New Roman" w:eastAsia="Times New Roman" w:hAnsi="Times New Roman"/>
          <w:sz w:val="18"/>
          <w:szCs w:val="18"/>
          <w:color w:val="010000"/>
        </w:rPr>
      </w:pPr>
    </w:p>
    <w:p>
      <w:pPr>
        <w:ind w:left="2620" w:hanging="668"/>
        <w:spacing w:after="0"/>
        <w:tabs>
          <w:tab w:leader="none" w:pos="2620" w:val="left"/>
        </w:tabs>
        <w:numPr>
          <w:ilvl w:val="2"/>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that such Holder is exercising its Fundamental Change Repurchase Right with respect to such principal amount of such</w:t>
      </w:r>
    </w:p>
    <w:p>
      <w:pPr>
        <w:spacing w:after="0" w:line="27" w:lineRule="exact"/>
        <w:rPr>
          <w:rFonts w:ascii="Times New Roman" w:cs="Times New Roman" w:eastAsia="Times New Roman" w:hAnsi="Times New Roman"/>
          <w:sz w:val="18"/>
          <w:szCs w:val="18"/>
          <w:color w:val="010000"/>
        </w:rPr>
      </w:pPr>
    </w:p>
    <w:p>
      <w:pPr>
        <w:ind w:left="130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Note;</w:t>
      </w:r>
    </w:p>
    <w:p>
      <w:pPr>
        <w:spacing w:after="0" w:line="205"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if such Note is a Global Note, then such Fundamental Change Repurchase Notice must comply with the Depositary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Procedures (and any such Fundamental Change Repurchase Notice delivered in compliance with the Depositary Procedures will be deemed to satisfy the requirements of this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both"/>
        <w:ind w:left="660" w:firstLine="644"/>
        <w:spacing w:after="0" w:line="261" w:lineRule="auto"/>
        <w:tabs>
          <w:tab w:leader="none" w:pos="188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Withdrawal of Fundamental Change Repurchase Notice. </w:t>
      </w:r>
      <w:r>
        <w:rPr>
          <w:rFonts w:ascii="Times New Roman" w:cs="Times New Roman" w:eastAsia="Times New Roman" w:hAnsi="Times New Roman"/>
          <w:sz w:val="18"/>
          <w:szCs w:val="18"/>
          <w:color w:val="auto"/>
        </w:rPr>
        <w:t>A Holder that has delivered a Fundamental Change Repurchase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a Note may withdraw such Fundamental Change Repurchase Notice by delivering a written notice of withdrawal to the Paying Agent at any time before the Close of Business on the Business Day immediately before the related Fundamental Change Repurchase Date. Such withdrawal notice must state:</w:t>
      </w:r>
    </w:p>
    <w:p>
      <w:pPr>
        <w:spacing w:after="0" w:line="18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such Note is a Physical Note, the certificate number of such Note;</w:t>
      </w:r>
    </w:p>
    <w:p>
      <w:pPr>
        <w:spacing w:after="0" w:line="225" w:lineRule="exact"/>
        <w:rPr>
          <w:rFonts w:ascii="Times New Roman" w:cs="Times New Roman" w:eastAsia="Times New Roman" w:hAnsi="Times New Roman"/>
          <w:sz w:val="18"/>
          <w:szCs w:val="18"/>
          <w:color w:val="010000"/>
        </w:rPr>
      </w:pPr>
    </w:p>
    <w:p>
      <w:pPr>
        <w:ind w:left="2620" w:hanging="668"/>
        <w:spacing w:after="0"/>
        <w:tabs>
          <w:tab w:leader="none" w:pos="2620" w:val="left"/>
        </w:tabs>
        <w:numPr>
          <w:ilvl w:val="1"/>
          <w:numId w:val="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principal amount of such Note to be withdrawn, which must be an Authorized Denomination; and</w:t>
      </w:r>
    </w:p>
    <w:p>
      <w:pPr>
        <w:spacing w:after="0" w:line="225" w:lineRule="exact"/>
        <w:rPr>
          <w:rFonts w:ascii="Times New Roman" w:cs="Times New Roman" w:eastAsia="Times New Roman" w:hAnsi="Times New Roman"/>
          <w:sz w:val="18"/>
          <w:szCs w:val="18"/>
          <w:color w:val="010000"/>
        </w:rPr>
      </w:pPr>
    </w:p>
    <w:p>
      <w:pPr>
        <w:ind w:left="1300" w:right="20" w:firstLine="652"/>
        <w:spacing w:after="0" w:line="282" w:lineRule="auto"/>
        <w:tabs>
          <w:tab w:leader="none" w:pos="2600" w:val="left"/>
        </w:tabs>
        <w:numPr>
          <w:ilvl w:val="1"/>
          <w:numId w:val="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principal amount of such Note, if any, that remains subject to such Fundamental Change Repurchase Notice, which must be an Authorized Denomination;</w:t>
      </w:r>
    </w:p>
    <w:p>
      <w:pPr>
        <w:spacing w:after="0" w:line="160" w:lineRule="exact"/>
        <w:rPr>
          <w:sz w:val="20"/>
          <w:szCs w:val="20"/>
          <w:color w:val="auto"/>
        </w:rPr>
      </w:pPr>
    </w:p>
    <w:p>
      <w:pPr>
        <w:jc w:val="both"/>
        <w:ind w:left="66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if such Note is a Global Note, then such withdrawal notice must comply with the Depositary Procedures (and any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withdrawal notice delivered in compliance with the Depositary Procedures will be deemed to satisfy the requirements of this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Upon receipt of any such withdrawal notice with respect to a Note (or any portion thereof), the Paying Agent will (x) promptly deliver a copy of such withdrawal notice to the Company; and (y) if such Note is surrendered to the Paying Agent, cause such Note (or such portion thereof in accordance with </w:t>
      </w:r>
      <w:r>
        <w:rPr>
          <w:rFonts w:ascii="Times New Roman" w:cs="Times New Roman" w:eastAsia="Times New Roman" w:hAnsi="Times New Roman"/>
          <w:sz w:val="18"/>
          <w:szCs w:val="18"/>
          <w:b w:val="1"/>
          <w:bCs w:val="1"/>
          <w:color w:val="auto"/>
        </w:rPr>
        <w:t>Section 2.11</w:t>
      </w:r>
      <w:r>
        <w:rPr>
          <w:rFonts w:ascii="Times New Roman" w:cs="Times New Roman" w:eastAsia="Times New Roman" w:hAnsi="Times New Roman"/>
          <w:sz w:val="18"/>
          <w:szCs w:val="18"/>
          <w:color w:val="auto"/>
        </w:rPr>
        <w:t>,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the Company, the Trustee or the Paying Agent of the applicable beneficial interest in such Note in accordance with the Depositary Procedures).</w:t>
      </w:r>
    </w:p>
    <w:p>
      <w:pPr>
        <w:spacing w:after="0" w:line="185" w:lineRule="exact"/>
        <w:rPr>
          <w:sz w:val="20"/>
          <w:szCs w:val="20"/>
          <w:color w:val="auto"/>
        </w:rPr>
      </w:pPr>
    </w:p>
    <w:p>
      <w:pPr>
        <w:jc w:val="both"/>
        <w:ind w:firstLine="656"/>
        <w:spacing w:after="0" w:line="255" w:lineRule="auto"/>
        <w:tabs>
          <w:tab w:leader="none" w:pos="1280" w:val="left"/>
        </w:tabs>
        <w:numPr>
          <w:ilvl w:val="0"/>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Payment of the Fundamental Change Repurchase Price. </w:t>
      </w:r>
      <w:r>
        <w:rPr>
          <w:rFonts w:ascii="Times New Roman" w:cs="Times New Roman" w:eastAsia="Times New Roman" w:hAnsi="Times New Roman"/>
          <w:sz w:val="18"/>
          <w:szCs w:val="18"/>
          <w:color w:val="auto"/>
        </w:rPr>
        <w:t>Without limiting the Company’s obligation to deposit the Fundamental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Repurchase Price within the time proscribed by </w:t>
      </w:r>
      <w:r>
        <w:rPr>
          <w:rFonts w:ascii="Times New Roman" w:cs="Times New Roman" w:eastAsia="Times New Roman" w:hAnsi="Times New Roman"/>
          <w:sz w:val="18"/>
          <w:szCs w:val="18"/>
          <w:b w:val="1"/>
          <w:bCs w:val="1"/>
          <w:color w:val="auto"/>
        </w:rPr>
        <w:t>Section 3.01(B)</w:t>
      </w:r>
      <w:r>
        <w:rPr>
          <w:rFonts w:ascii="Times New Roman" w:cs="Times New Roman" w:eastAsia="Times New Roman" w:hAnsi="Times New Roman"/>
          <w:sz w:val="18"/>
          <w:szCs w:val="18"/>
          <w:color w:val="auto"/>
        </w:rPr>
        <w:t xml:space="preserve">, the Company will cause the Fundamental Change Repurchase Price for a Note (or portion thereof) to be repurchased pursuant to a Repurchase Upon Fundamental Change to be paid to the Holder thereof on or before the later of (i) the applicable Fundamental Change Repurchase Date; and (ii) the date (x) such Note is delivered to the Paying Agent (in the case of a Physical Note) or (y) the Depositary Procedures relating to the repurchase, and the delivery to the Paying Agent, of such Holder’s beneficial interest in such Note to be repurchased are complied with (in the case of a Global Note). For the avoidance of doubt, interest payable pursuant to the proviso to the first sentence of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4.02(D) </w:t>
      </w:r>
      <w:r>
        <w:rPr>
          <w:rFonts w:ascii="Times New Roman" w:cs="Times New Roman" w:eastAsia="Times New Roman" w:hAnsi="Times New Roman"/>
          <w:sz w:val="18"/>
          <w:szCs w:val="18"/>
          <w:color w:val="auto"/>
        </w:rPr>
        <w:t>on any Note to be repurchased pursuant to a Repurchase Upon Fundamental Change must be paid pursuant to such proviso regardless of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Note is delivered or such Depositary Procedures are complied with pursuant to the first sentence of this </w:t>
      </w:r>
      <w:r>
        <w:rPr>
          <w:rFonts w:ascii="Times New Roman" w:cs="Times New Roman" w:eastAsia="Times New Roman" w:hAnsi="Times New Roman"/>
          <w:sz w:val="18"/>
          <w:szCs w:val="18"/>
          <w:b w:val="1"/>
          <w:bCs w:val="1"/>
          <w:color w:val="auto"/>
        </w:rPr>
        <w:t>Section 4.02(G)</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010000"/>
        </w:rPr>
      </w:pPr>
    </w:p>
    <w:p>
      <w:pPr>
        <w:jc w:val="both"/>
        <w:ind w:firstLine="656"/>
        <w:spacing w:after="0" w:line="259" w:lineRule="auto"/>
        <w:tabs>
          <w:tab w:leader="none" w:pos="1325" w:val="left"/>
        </w:tabs>
        <w:numPr>
          <w:ilvl w:val="0"/>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Third Party May Conduct Repurchase Offer In Lieu of the Company. </w:t>
      </w:r>
      <w:r>
        <w:rPr>
          <w:rFonts w:ascii="Times New Roman" w:cs="Times New Roman" w:eastAsia="Times New Roman" w:hAnsi="Times New Roman"/>
          <w:sz w:val="18"/>
          <w:szCs w:val="18"/>
          <w:color w:val="auto"/>
        </w:rPr>
        <w:t>Notwithstanding anything to the contrary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will be deemed to satisfy its obligations under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if (i) one or more third parties conduct any Repurchase Upon Fundamental Change and related offer to repurchase Notes otherwise required by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in a manner that would have satisfied the requirements of this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4.02 </w:t>
      </w:r>
      <w:r>
        <w:rPr>
          <w:rFonts w:ascii="Times New Roman" w:cs="Times New Roman" w:eastAsia="Times New Roman" w:hAnsi="Times New Roman"/>
          <w:sz w:val="18"/>
          <w:szCs w:val="18"/>
          <w:color w:val="auto"/>
        </w:rPr>
        <w:t>if conducted directly by the Company; and (ii) an owner of a beneficial interest in any Note repurchased by such third party or parties will not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lesser amount (as a result of withholding or other similar taxes) than such owner would have received had the Company repurchased such Note.</w:t>
      </w:r>
    </w:p>
    <w:p>
      <w:pPr>
        <w:spacing w:after="0" w:line="181" w:lineRule="exact"/>
        <w:rPr>
          <w:rFonts w:ascii="Times New Roman" w:cs="Times New Roman" w:eastAsia="Times New Roman" w:hAnsi="Times New Roman"/>
          <w:sz w:val="18"/>
          <w:szCs w:val="18"/>
          <w:color w:val="010000"/>
        </w:rPr>
      </w:pPr>
    </w:p>
    <w:p>
      <w:pPr>
        <w:jc w:val="both"/>
        <w:ind w:firstLine="656"/>
        <w:spacing w:after="0" w:line="252" w:lineRule="auto"/>
        <w:tabs>
          <w:tab w:leader="none" w:pos="1291" w:val="left"/>
        </w:tabs>
        <w:numPr>
          <w:ilvl w:val="0"/>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No Requirement to Conduct an Offer to Repurchase Notes if the Fundamental Change Results in the Notes Becoming Convertible into an Amount of Cash Exceeding the Fundamental Change Repurchase Price</w:t>
      </w:r>
      <w:r>
        <w:rPr>
          <w:rFonts w:ascii="Times New Roman" w:cs="Times New Roman" w:eastAsia="Times New Roman" w:hAnsi="Times New Roman"/>
          <w:sz w:val="18"/>
          <w:szCs w:val="18"/>
          <w:color w:val="auto"/>
        </w:rPr>
        <w:t>. Notwithstanding anything to the contrary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the Company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 be required to send a Fundamental Change Notice pursuant to </w:t>
      </w:r>
      <w:r>
        <w:rPr>
          <w:rFonts w:ascii="Times New Roman" w:cs="Times New Roman" w:eastAsia="Times New Roman" w:hAnsi="Times New Roman"/>
          <w:sz w:val="18"/>
          <w:szCs w:val="18"/>
          <w:b w:val="1"/>
          <w:bCs w:val="1"/>
          <w:color w:val="auto"/>
        </w:rPr>
        <w:t>Section 4.02(E)</w:t>
      </w:r>
      <w:r>
        <w:rPr>
          <w:rFonts w:ascii="Times New Roman" w:cs="Times New Roman" w:eastAsia="Times New Roman" w:hAnsi="Times New Roman"/>
          <w:sz w:val="18"/>
          <w:szCs w:val="18"/>
          <w:color w:val="auto"/>
        </w:rPr>
        <w:t xml:space="preserve">, or offer to repurchase or repurchase any Notes pursuant to this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4.02</w:t>
      </w:r>
      <w:r>
        <w:rPr>
          <w:rFonts w:ascii="Times New Roman" w:cs="Times New Roman" w:eastAsia="Times New Roman" w:hAnsi="Times New Roman"/>
          <w:sz w:val="18"/>
          <w:szCs w:val="18"/>
          <w:color w:val="auto"/>
        </w:rPr>
        <w:t>, in connection with a Common Stock Change Event that constitutes a Fundamental Change pursuant to clause (B)(ii) of the definition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(regardless of whether such Common Stock Change Event also constitutes a Fundamental Change pursuant to any other clause of such definition), if (i) the Reference Property of such Common Stock Change Event consists entirely of cash in U.S. dollars; (ii) immediately after such Fundamental Change, the Notes become Convertible, pursuant to </w:t>
      </w:r>
      <w:r>
        <w:rPr>
          <w:rFonts w:ascii="Times New Roman" w:cs="Times New Roman" w:eastAsia="Times New Roman" w:hAnsi="Times New Roman"/>
          <w:sz w:val="18"/>
          <w:szCs w:val="18"/>
          <w:b w:val="1"/>
          <w:bCs w:val="1"/>
          <w:color w:val="auto"/>
        </w:rPr>
        <w:t>Section 5.09(A)</w:t>
      </w:r>
      <w:r>
        <w:rPr>
          <w:rFonts w:ascii="Times New Roman" w:cs="Times New Roman" w:eastAsia="Times New Roman" w:hAnsi="Times New Roman"/>
          <w:sz w:val="18"/>
          <w:szCs w:val="18"/>
          <w:color w:val="auto"/>
        </w:rPr>
        <w:t xml:space="preserve"> and, if applicable,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xml:space="preserve">, into consideration that consists solely of U.S. dollars in an amount per $1,000 aggregate principal amount of Notes that equals or exceeds the Fundamental Change Repurchase Price per $1,000 aggregate principal amount of Notes (which Fundamental Change Repurchase Price will, if any Special Interest or Additional Interest on the Notes has accrued but is unpaid as of the effective date of such Fundamental Change, be calculated assuming that such Fundamental Change Repurchase Price includes (a) such accrued and unpaid Special Interest or Additional Interest, as applicable, per $1,000 principal amount of Notes, together, without duplication, with (b) Special Interest or Additional Interest, as applicable, that would have accrued per $1,000 principal amount of Notes from, and including, such effective date to, but excluding, the latest possible Fundamental Change Repurchase Date for such Fundamental Change); and (iii) the Company timely sends the notice relating to such Fundamental Change required pursuant to </w:t>
      </w:r>
      <w:r>
        <w:rPr>
          <w:rFonts w:ascii="Times New Roman" w:cs="Times New Roman" w:eastAsia="Times New Roman" w:hAnsi="Times New Roman"/>
          <w:sz w:val="18"/>
          <w:szCs w:val="18"/>
          <w:b w:val="1"/>
          <w:bCs w:val="1"/>
          <w:color w:val="auto"/>
        </w:rPr>
        <w:t>Section 5.01(C)(i)(3)(b)</w:t>
      </w:r>
      <w:r>
        <w:rPr>
          <w:rFonts w:ascii="Times New Roman" w:cs="Times New Roman" w:eastAsia="Times New Roman" w:hAnsi="Times New Roman"/>
          <w:sz w:val="18"/>
          <w:szCs w:val="18"/>
          <w:color w:val="auto"/>
        </w:rPr>
        <w:t xml:space="preserve"> and includes, in such notice, a statement that the Company is relying on this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4.02(I)</w:t>
      </w:r>
      <w:r>
        <w:rPr>
          <w:rFonts w:ascii="Times New Roman" w:cs="Times New Roman" w:eastAsia="Times New Roman" w:hAnsi="Times New Roman"/>
          <w:sz w:val="18"/>
          <w:szCs w:val="18"/>
          <w:color w:val="auto"/>
        </w:rPr>
        <w: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jc w:val="both"/>
        <w:ind w:firstLine="656"/>
        <w:spacing w:after="0" w:line="255" w:lineRule="auto"/>
        <w:tabs>
          <w:tab w:leader="none" w:pos="1301" w:val="left"/>
        </w:tabs>
        <w:numPr>
          <w:ilvl w:val="0"/>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Compliance with Applicable Securities Laws. </w:t>
      </w:r>
      <w:r>
        <w:rPr>
          <w:rFonts w:ascii="Times New Roman" w:cs="Times New Roman" w:eastAsia="Times New Roman" w:hAnsi="Times New Roman"/>
          <w:sz w:val="18"/>
          <w:szCs w:val="18"/>
          <w:color w:val="auto"/>
        </w:rPr>
        <w:t>To the extent applicable, the Company will comply, in all material respects, with all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state securities laws in connection with a Repurchase Upon Fundamental Change (including complying with Rules 13e-4 and 14e-1 under the Exchange Act and filing any required Schedule TO, to the extent applicable) so as to permit effecting such Repurchase Upon Fundamental Change in the manner set forth in this Indenture;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to the extent that the Company’s obligations pursuant to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conflict with any law or regulation that is applicable to the Company and enacted after the Issue Date, the Company’s compliance with such law or regulation will not be considered to be a Default of such obligations; rather, the Company will be deemed to be in compliance with such obligations if the Company complies with its obligation to effect Repurchases Upon a Fundamental Change in accordance with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modified as necessary by the Company in good faith to permit compliance with such law or regulation.</w:t>
      </w:r>
    </w:p>
    <w:p>
      <w:pPr>
        <w:spacing w:after="0" w:line="182" w:lineRule="exact"/>
        <w:rPr>
          <w:rFonts w:ascii="Times New Roman" w:cs="Times New Roman" w:eastAsia="Times New Roman" w:hAnsi="Times New Roman"/>
          <w:sz w:val="18"/>
          <w:szCs w:val="18"/>
          <w:color w:val="010000"/>
        </w:rPr>
      </w:pPr>
    </w:p>
    <w:p>
      <w:pPr>
        <w:jc w:val="both"/>
        <w:ind w:firstLine="656"/>
        <w:spacing w:after="0" w:line="268" w:lineRule="auto"/>
        <w:tabs>
          <w:tab w:leader="none" w:pos="1339" w:val="left"/>
        </w:tabs>
        <w:numPr>
          <w:ilvl w:val="0"/>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Repurchase in Part. </w:t>
      </w:r>
      <w:r>
        <w:rPr>
          <w:rFonts w:ascii="Times New Roman" w:cs="Times New Roman" w:eastAsia="Times New Roman" w:hAnsi="Times New Roman"/>
          <w:sz w:val="18"/>
          <w:szCs w:val="18"/>
          <w:color w:val="auto"/>
        </w:rPr>
        <w:t>Subject to the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Notes may be repurchased pursuant to a Repurchase Upon Fundamental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Change in part, but only in Authorized Denominations. Provisions of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applying to the repurchase of a Note in whole will equally apply to the repurchase of a permitted portion of a Note.</w:t>
      </w:r>
    </w:p>
    <w:p>
      <w:pPr>
        <w:spacing w:after="0" w:line="17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4.03</w:t>
      </w:r>
      <w:r>
        <w:rPr>
          <w:sz w:val="20"/>
          <w:szCs w:val="20"/>
          <w:color w:val="auto"/>
        </w:rPr>
        <w:tab/>
      </w:r>
      <w:r>
        <w:rPr>
          <w:rFonts w:ascii="Times New Roman" w:cs="Times New Roman" w:eastAsia="Times New Roman" w:hAnsi="Times New Roman"/>
          <w:sz w:val="17"/>
          <w:szCs w:val="17"/>
          <w:b w:val="1"/>
          <w:bCs w:val="1"/>
          <w:color w:val="auto"/>
        </w:rPr>
        <w:t>RIGHT OF THE COMPANY TO REDEEM THE NOTES.</w:t>
      </w:r>
    </w:p>
    <w:p>
      <w:pPr>
        <w:spacing w:after="0" w:line="225" w:lineRule="exact"/>
        <w:rPr>
          <w:sz w:val="20"/>
          <w:szCs w:val="20"/>
          <w:color w:val="auto"/>
        </w:rPr>
      </w:pPr>
    </w:p>
    <w:p>
      <w:pPr>
        <w:ind w:firstLine="656"/>
        <w:spacing w:after="0" w:line="286" w:lineRule="auto"/>
        <w:tabs>
          <w:tab w:leader="none" w:pos="1285" w:val="left"/>
        </w:tabs>
        <w:numPr>
          <w:ilvl w:val="0"/>
          <w:numId w:val="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No Right to Redeem Before June 5, 2028. </w:t>
      </w:r>
      <w:r>
        <w:rPr>
          <w:rFonts w:ascii="Times New Roman" w:cs="Times New Roman" w:eastAsia="Times New Roman" w:hAnsi="Times New Roman"/>
          <w:sz w:val="18"/>
          <w:szCs w:val="18"/>
          <w:color w:val="auto"/>
        </w:rPr>
        <w:t>The Company may not redeem the Notes at its option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June 5, 2028.</w:t>
      </w:r>
    </w:p>
    <w:p>
      <w:pPr>
        <w:spacing w:after="0" w:line="154" w:lineRule="exact"/>
        <w:rPr>
          <w:rFonts w:ascii="Times New Roman" w:cs="Times New Roman" w:eastAsia="Times New Roman" w:hAnsi="Times New Roman"/>
          <w:sz w:val="18"/>
          <w:szCs w:val="18"/>
          <w:color w:val="010000"/>
        </w:rPr>
      </w:pPr>
    </w:p>
    <w:p>
      <w:pPr>
        <w:jc w:val="both"/>
        <w:ind w:firstLine="656"/>
        <w:spacing w:after="0" w:line="253" w:lineRule="auto"/>
        <w:tabs>
          <w:tab w:leader="none" w:pos="1320" w:val="left"/>
        </w:tabs>
        <w:numPr>
          <w:ilvl w:val="0"/>
          <w:numId w:val="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Right to Redeem the Notes on or After June 5, 2028. </w:t>
      </w:r>
      <w:r>
        <w:rPr>
          <w:rFonts w:ascii="Times New Roman" w:cs="Times New Roman" w:eastAsia="Times New Roman" w:hAnsi="Times New Roman"/>
          <w:sz w:val="18"/>
          <w:szCs w:val="18"/>
          <w:color w:val="auto"/>
        </w:rPr>
        <w:t>Subject to the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the Company has the right, at its election,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redeem all, or any portion in an Authorized Denomination, of the Notes, at any time, and from time to time, on a Redemption Date on or after June 5, 2028 and on or before the fortieth (40th) Scheduled Trading Day immediately before the Maturity Date, for a cash purchase price equal to the Redemption Price, but only if (i) the Notes are Freely Tradable as of the Redemption Notice Date for such Redemption and all accrued and unpaid Additional Interest, if any, has been paid in full, as of the most recent Interest Payment Date occurring on or before such Redemption Notice Date; and (ii) the Last Reported Sale Price per share of Common Stock exceeds one hundred and thirty percent (130%) of the Conversion Price on (x) each of at least twenty (20) Trading Days (whether or not consecutive) during the thirty (30) consecutive Trading Days ending on, and including, the Trading Day immediately before such Redemption Notice Date; and (y) the Trading Day immediately before such Redemption Notice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will not call less than all of the outstanding Notes for Redemption unless the excess of the principal amount of Notes outstanding as of the time the Company sends the related Redemption Notice over the aggregate principal amount of Notes set forth in such Redemption Notice as being subject to such Redemption is at least fifty million dollars ($50,000,000). For the avoidance of doubt, the calling of any Notes for Redemption will constitute a Make-Whole Fundamental Change with respect to such Notes pursuant to clause (B) of the definition thereof.</w:t>
      </w:r>
    </w:p>
    <w:p>
      <w:pPr>
        <w:spacing w:after="0" w:line="191" w:lineRule="exact"/>
        <w:rPr>
          <w:rFonts w:ascii="Times New Roman" w:cs="Times New Roman" w:eastAsia="Times New Roman" w:hAnsi="Times New Roman"/>
          <w:sz w:val="18"/>
          <w:szCs w:val="18"/>
          <w:color w:val="010000"/>
        </w:rPr>
      </w:pPr>
    </w:p>
    <w:p>
      <w:pPr>
        <w:jc w:val="both"/>
        <w:ind w:firstLine="656"/>
        <w:spacing w:after="0" w:line="257" w:lineRule="auto"/>
        <w:tabs>
          <w:tab w:leader="none" w:pos="1230" w:val="left"/>
        </w:tabs>
        <w:numPr>
          <w:ilvl w:val="0"/>
          <w:numId w:val="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Redemption Prohibited in Certain Circumstances. </w:t>
      </w:r>
      <w:r>
        <w:rPr>
          <w:rFonts w:ascii="Times New Roman" w:cs="Times New Roman" w:eastAsia="Times New Roman" w:hAnsi="Times New Roman"/>
          <w:sz w:val="18"/>
          <w:szCs w:val="18"/>
          <w:color w:val="auto"/>
        </w:rPr>
        <w:t>If the principal amount of the Notes has been accelerated and such acceleration has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been rescinded on or before the Redemption Date (including as a result of the payment of the related Redemption Price, and any related interest pursuant to the proviso to the first sentence of </w:t>
      </w:r>
      <w:r>
        <w:rPr>
          <w:rFonts w:ascii="Times New Roman" w:cs="Times New Roman" w:eastAsia="Times New Roman" w:hAnsi="Times New Roman"/>
          <w:sz w:val="18"/>
          <w:szCs w:val="18"/>
          <w:b w:val="1"/>
          <w:bCs w:val="1"/>
          <w:color w:val="auto"/>
        </w:rPr>
        <w:t>Section 4.03(E)</w:t>
      </w:r>
      <w:r>
        <w:rPr>
          <w:rFonts w:ascii="Times New Roman" w:cs="Times New Roman" w:eastAsia="Times New Roman" w:hAnsi="Times New Roman"/>
          <w:sz w:val="18"/>
          <w:szCs w:val="18"/>
          <w:color w:val="auto"/>
        </w:rPr>
        <w:t xml:space="preserve">, on such Redemption Date), then (i) the Company may not call for Redemption or otherwise redeem any Notes pursuant to this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and (ii) the Company will cause any Notes theretofore surrendered for such Redemption to be returned to the Holders thereof (or, if applicable with respect to Global Notes, cancel any instructions for book-entry transfer to the Company, the Trustee or the Paying Agent of the applicable beneficial interests in such Notes in accordance with the Depositary Procedures).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ind w:firstLine="656"/>
        <w:spacing w:after="0" w:line="284" w:lineRule="auto"/>
        <w:tabs>
          <w:tab w:leader="none" w:pos="1352" w:val="left"/>
        </w:tabs>
        <w:numPr>
          <w:ilvl w:val="1"/>
          <w:numId w:val="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Redemption Date. </w:t>
      </w:r>
      <w:r>
        <w:rPr>
          <w:rFonts w:ascii="Times New Roman" w:cs="Times New Roman" w:eastAsia="Times New Roman" w:hAnsi="Times New Roman"/>
          <w:sz w:val="18"/>
          <w:szCs w:val="18"/>
          <w:color w:val="auto"/>
        </w:rPr>
        <w:t>The Redemption Date for any Redemption will be a Business Day of the Company’s choosing that is no more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sixty five (65), nor less than forty five (45), Scheduled Trading Days after the Redemption Notice Date for such Redemption.</w:t>
      </w:r>
    </w:p>
    <w:p>
      <w:pPr>
        <w:spacing w:after="0" w:line="158" w:lineRule="exact"/>
        <w:rPr>
          <w:rFonts w:ascii="Times New Roman" w:cs="Times New Roman" w:eastAsia="Times New Roman" w:hAnsi="Times New Roman"/>
          <w:sz w:val="18"/>
          <w:szCs w:val="18"/>
          <w:color w:val="010000"/>
        </w:rPr>
      </w:pPr>
    </w:p>
    <w:p>
      <w:pPr>
        <w:jc w:val="both"/>
        <w:ind w:firstLine="656"/>
        <w:spacing w:after="0" w:line="252" w:lineRule="auto"/>
        <w:tabs>
          <w:tab w:leader="none" w:pos="1309" w:val="left"/>
        </w:tabs>
        <w:numPr>
          <w:ilvl w:val="1"/>
          <w:numId w:val="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Redemption Price. </w:t>
      </w:r>
      <w:r>
        <w:rPr>
          <w:rFonts w:ascii="Times New Roman" w:cs="Times New Roman" w:eastAsia="Times New Roman" w:hAnsi="Times New Roman"/>
          <w:sz w:val="18"/>
          <w:szCs w:val="18"/>
          <w:color w:val="auto"/>
        </w:rPr>
        <w:t>The Redemption Price for any Note called for Redemption is an amount in cash equal to the principal amount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plus accrued and unpaid interest on such Note to, but excluding, the Redemption Date for such Redemption;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any Special Interest or Additional Interest has accrued and would be payable in respect of an Interest Payment Date and such Redemption Date is after the related Interest Record Date and on or before such Interest Payment Date, then (i) the Holder of such Note at the Close of Business on such Interest Record Date will be entitled, notwithstanding such Redemption, to receive, on or, at the Company’s election, before such Interest Payment Date, such payment of Special Interest or Additional Interest, as applicable (assuming, solely for these purposes, that such Note remained outstanding through such Interest Payment Date, if such Redemption Date is before such Interest Payment Date); and (ii) the Redemption Price will not include accrued and unpaid Special Interest or Additional Interest on such Note to, but excluding, such Redemption Date. For the avoidance of doubt, if such Interest Payment Date is not a Business Day within the meaning of </w:t>
      </w:r>
      <w:r>
        <w:rPr>
          <w:rFonts w:ascii="Times New Roman" w:cs="Times New Roman" w:eastAsia="Times New Roman" w:hAnsi="Times New Roman"/>
          <w:sz w:val="18"/>
          <w:szCs w:val="18"/>
          <w:b w:val="1"/>
          <w:bCs w:val="1"/>
          <w:color w:val="auto"/>
        </w:rPr>
        <w:t>Section 2.05(C)</w:t>
      </w:r>
      <w:r>
        <w:rPr>
          <w:rFonts w:ascii="Times New Roman" w:cs="Times New Roman" w:eastAsia="Times New Roman" w:hAnsi="Times New Roman"/>
          <w:sz w:val="18"/>
          <w:szCs w:val="18"/>
          <w:color w:val="auto"/>
        </w:rPr>
        <w:t xml:space="preserve"> and such Redemption Date occurs on the Business Day immediately after such Interest Payment Date, then (x) such accrued and unpaid Special Interest or Additional Interest, as applicable, to, but excluding, such Interest Payment Date will be paid, in accordance with </w:t>
      </w:r>
      <w:r>
        <w:rPr>
          <w:rFonts w:ascii="Times New Roman" w:cs="Times New Roman" w:eastAsia="Times New Roman" w:hAnsi="Times New Roman"/>
          <w:sz w:val="18"/>
          <w:szCs w:val="18"/>
          <w:b w:val="1"/>
          <w:bCs w:val="1"/>
          <w:color w:val="auto"/>
        </w:rPr>
        <w:t>Section 2.05(C)</w:t>
      </w:r>
      <w:r>
        <w:rPr>
          <w:rFonts w:ascii="Times New Roman" w:cs="Times New Roman" w:eastAsia="Times New Roman" w:hAnsi="Times New Roman"/>
          <w:sz w:val="18"/>
          <w:szCs w:val="18"/>
          <w:color w:val="auto"/>
        </w:rPr>
        <w:t>, on the next Business Day to Holders as of the Close of Business on the immediately preceding Interest Record Date; and</w:t>
      </w:r>
    </w:p>
    <w:p>
      <w:pPr>
        <w:spacing w:after="0" w:line="5" w:lineRule="exact"/>
        <w:rPr>
          <w:rFonts w:ascii="Times New Roman" w:cs="Times New Roman" w:eastAsia="Times New Roman" w:hAnsi="Times New Roman"/>
          <w:sz w:val="18"/>
          <w:szCs w:val="18"/>
          <w:color w:val="010000"/>
        </w:rPr>
      </w:pPr>
    </w:p>
    <w:p>
      <w:pPr>
        <w:ind w:firstLine="8"/>
        <w:spacing w:after="0" w:line="260" w:lineRule="auto"/>
        <w:tabs>
          <w:tab w:leader="none" w:pos="27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will include Special Interest and Additional Interest, if any, on the Notes to be redeemed from, and including, such Interest Payment Date.</w:t>
      </w:r>
    </w:p>
    <w:p>
      <w:pPr>
        <w:spacing w:after="0" w:line="179" w:lineRule="exact"/>
        <w:rPr>
          <w:rFonts w:ascii="Times New Roman" w:cs="Times New Roman" w:eastAsia="Times New Roman" w:hAnsi="Times New Roman"/>
          <w:sz w:val="18"/>
          <w:szCs w:val="18"/>
          <w:color w:val="auto"/>
        </w:rPr>
      </w:pPr>
    </w:p>
    <w:p>
      <w:pPr>
        <w:ind w:firstLine="656"/>
        <w:spacing w:after="0" w:line="284" w:lineRule="auto"/>
        <w:tabs>
          <w:tab w:leader="none" w:pos="1367" w:val="left"/>
        </w:tabs>
        <w:numPr>
          <w:ilvl w:val="1"/>
          <w:numId w:val="5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Redemption Notice. </w:t>
      </w:r>
      <w:r>
        <w:rPr>
          <w:rFonts w:ascii="Times New Roman" w:cs="Times New Roman" w:eastAsia="Times New Roman" w:hAnsi="Times New Roman"/>
          <w:sz w:val="18"/>
          <w:szCs w:val="18"/>
          <w:color w:val="auto"/>
        </w:rPr>
        <w:t>To call any Notes for Redemption, the Company must send to each Holder of such Notes a written notice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Redemption (a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Such Redemption Notice must state:</w:t>
      </w:r>
    </w:p>
    <w:p>
      <w:pPr>
        <w:spacing w:after="0" w:line="225" w:lineRule="exact"/>
        <w:rPr>
          <w:sz w:val="20"/>
          <w:szCs w:val="20"/>
          <w:color w:val="auto"/>
        </w:rPr>
      </w:pPr>
    </w:p>
    <w:p>
      <w:pPr>
        <w:ind w:left="1960" w:hanging="656"/>
        <w:spacing w:after="0"/>
        <w:tabs>
          <w:tab w:leader="none" w:pos="1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Notes have been called for Redemption, briefly describing the Company’s Redemption right under this Indenture;</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 for such Redemption;</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1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Redemption Price per $1,000 principal amount of Notes for such Redemption (and, if any Special Interest or Additional Interest is payable on an Interest Payment Date and the Redemption Date is after the related Interest Record Date and on or before such Interest Payment Date, the amount, manner and timing of the interest payment payable pursuant to the proviso to </w:t>
      </w:r>
      <w:r>
        <w:rPr>
          <w:rFonts w:ascii="Times New Roman" w:cs="Times New Roman" w:eastAsia="Times New Roman" w:hAnsi="Times New Roman"/>
          <w:sz w:val="18"/>
          <w:szCs w:val="18"/>
          <w:b w:val="1"/>
          <w:bCs w:val="1"/>
          <w:color w:val="auto"/>
        </w:rPr>
        <w:t>Section 4.03(E)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the Conversion Agent;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called for Redemption may be Converted at any time before the Close of Business on the second (2nd) Business Day immediately before the Redemption Date (or, if the Company fails to pay the Redemption Price due on such Redemption Date in full, at any time until such time as the Company pays such Redemption Price in full);</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9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Conversion Rate in effect on the Redemption Notice Date for such Redemption and a description and quantification of any adjustments to the Conversion Rate that may result from such Redemption (including pursuant to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14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Method that will apply to all Conversions of Notes with a Conversion Date that occurs on or after such Redemption Notice Date and on or before the second (2nd) Business Day before such Redemption Date; and</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and ISIN numbers, if any, of the Notes.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or before the Redemption Notice Date, the Company will send a copy of such Redemption Notice to the Trustee, the Conversion Agent and the Paying Agent. At the Company’s request, the Trustee shall give the notice of redemption in the Company’s name and at its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has delivered to the Trustee, at least 10 days (unless a shorter time shall be acceptable to the Trustee) prior to the notice date, an Officer’s Certificate requesting that the Trustee give such notice and setting forth the information to be stated in such notice and the form of such notice.</w:t>
      </w:r>
    </w:p>
    <w:p>
      <w:pPr>
        <w:spacing w:after="0" w:line="178" w:lineRule="exact"/>
        <w:rPr>
          <w:sz w:val="20"/>
          <w:szCs w:val="20"/>
          <w:color w:val="auto"/>
        </w:rPr>
      </w:pPr>
    </w:p>
    <w:p>
      <w:pPr>
        <w:ind w:left="1320" w:hanging="664"/>
        <w:spacing w:after="0"/>
        <w:tabs>
          <w:tab w:leader="none" w:pos="1320" w:val="left"/>
        </w:tabs>
        <w:numPr>
          <w:ilvl w:val="0"/>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Selection and Conversion of Notes to Be Redeemed in Part</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010000"/>
        </w:rPr>
      </w:pPr>
    </w:p>
    <w:p>
      <w:pPr>
        <w:jc w:val="both"/>
        <w:ind w:left="660" w:firstLine="644"/>
        <w:spacing w:after="0" w:line="266" w:lineRule="auto"/>
        <w:tabs>
          <w:tab w:leader="none" w:pos="186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Notes then outstanding are called for Redemption, then the Notes to be redeemed will be selected by the Company as follows: (1) in the case of Global Notes, in accordance with the Depositary Procedures; and (2) in the case of Physical Notes, pro rata, by lot or by such other method the Company considers fair and appropriate.</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94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only a portion of a Note is subject to Redemption and such Note is Converted in part, then the Converted portion of such Note will be deemed to be from the portion of such Note that was subject to Redemption.</w:t>
      </w:r>
    </w:p>
    <w:p>
      <w:pPr>
        <w:spacing w:after="0" w:line="159" w:lineRule="exact"/>
        <w:rPr>
          <w:rFonts w:ascii="Times New Roman" w:cs="Times New Roman" w:eastAsia="Times New Roman" w:hAnsi="Times New Roman"/>
          <w:sz w:val="18"/>
          <w:szCs w:val="18"/>
          <w:color w:val="auto"/>
        </w:rPr>
      </w:pPr>
    </w:p>
    <w:p>
      <w:pPr>
        <w:jc w:val="both"/>
        <w:ind w:firstLine="656"/>
        <w:spacing w:after="0" w:line="261" w:lineRule="auto"/>
        <w:tabs>
          <w:tab w:leader="none" w:pos="1285" w:val="left"/>
        </w:tabs>
        <w:numPr>
          <w:ilvl w:val="0"/>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Payment of the Redemption Price. </w:t>
      </w:r>
      <w:r>
        <w:rPr>
          <w:rFonts w:ascii="Times New Roman" w:cs="Times New Roman" w:eastAsia="Times New Roman" w:hAnsi="Times New Roman"/>
          <w:sz w:val="18"/>
          <w:szCs w:val="18"/>
          <w:color w:val="auto"/>
        </w:rPr>
        <w:t>Without limiting the Company’s obligation to deposit the Redemption Price by the time proscribed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3.01(B)</w:t>
      </w:r>
      <w:r>
        <w:rPr>
          <w:rFonts w:ascii="Times New Roman" w:cs="Times New Roman" w:eastAsia="Times New Roman" w:hAnsi="Times New Roman"/>
          <w:sz w:val="18"/>
          <w:szCs w:val="18"/>
          <w:color w:val="auto"/>
        </w:rPr>
        <w:t>, the Company will cause the Redemption Price for a Note (or portion thereof) subject to Redemption to be paid to the Holder thereof 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before the applicable Redemption Date. For the avoidance of doubt, interest payable pursuant to the proviso to the first sentence of </w:t>
      </w:r>
      <w:r>
        <w:rPr>
          <w:rFonts w:ascii="Times New Roman" w:cs="Times New Roman" w:eastAsia="Times New Roman" w:hAnsi="Times New Roman"/>
          <w:sz w:val="18"/>
          <w:szCs w:val="18"/>
          <w:b w:val="1"/>
          <w:bCs w:val="1"/>
          <w:color w:val="auto"/>
        </w:rPr>
        <w:t>Section 4.03(E)</w:t>
      </w:r>
      <w:r>
        <w:rPr>
          <w:rFonts w:ascii="Times New Roman" w:cs="Times New Roman" w:eastAsia="Times New Roman" w:hAnsi="Times New Roman"/>
          <w:sz w:val="18"/>
          <w:szCs w:val="18"/>
          <w:color w:val="auto"/>
        </w:rPr>
        <w:t xml:space="preserve"> on any Note (or portion thereof) subject to Redemption must be paid pursuant to such proviso.</w:t>
      </w:r>
    </w:p>
    <w:p>
      <w:pPr>
        <w:spacing w:after="0" w:line="177" w:lineRule="exact"/>
        <w:rPr>
          <w:rFonts w:ascii="Times New Roman" w:cs="Times New Roman" w:eastAsia="Times New Roman" w:hAnsi="Times New Roman"/>
          <w:sz w:val="18"/>
          <w:szCs w:val="18"/>
          <w:color w:val="010000"/>
        </w:rPr>
      </w:pPr>
    </w:p>
    <w:p>
      <w:pPr>
        <w:jc w:val="both"/>
        <w:ind w:firstLine="656"/>
        <w:spacing w:after="0" w:line="254" w:lineRule="auto"/>
        <w:tabs>
          <w:tab w:leader="none" w:pos="1291" w:val="left"/>
        </w:tabs>
        <w:numPr>
          <w:ilvl w:val="0"/>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Special Provisions for Partial Calls. </w:t>
      </w:r>
      <w:r>
        <w:rPr>
          <w:rFonts w:ascii="Times New Roman" w:cs="Times New Roman" w:eastAsia="Times New Roman" w:hAnsi="Times New Roman"/>
          <w:sz w:val="18"/>
          <w:szCs w:val="18"/>
          <w:color w:val="auto"/>
        </w:rPr>
        <w:t>If the Company elects to redeem less than all of the outstanding Notes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the Holder of any Note, or any owner of a beneficial interest in any Global Note, is reasonably not able to determine, before the Close of Business on the forty second (42nd) Scheduled Trading Day immediately before the Redemption Date for such Redemption, whether such Note or beneficial interest, as applicable, is to be redeemed pursuant to such Redemption, then such Holder or owner, as applicable, will be entitled to Convert such Note or beneficial interest, as applicable, at any time before the Close of Business on the second (2nd) Business Day immediately before such Redemption Date, and each such Conversion will be deemed to be of a Note called for Redemption for purposes of this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5.01(C)(i)(4)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xml:space="preserve">. For the avoidance of doubt, each reference in this Indenture or the Notes to (x) any Note that is called for Redemption (or similar language) includes any Note that is deemed to be called for Redemption pursuant to this </w:t>
      </w:r>
      <w:r>
        <w:rPr>
          <w:rFonts w:ascii="Times New Roman" w:cs="Times New Roman" w:eastAsia="Times New Roman" w:hAnsi="Times New Roman"/>
          <w:sz w:val="18"/>
          <w:szCs w:val="18"/>
          <w:b w:val="1"/>
          <w:bCs w:val="1"/>
          <w:color w:val="auto"/>
        </w:rPr>
        <w:t>Section 4.03(I)</w:t>
      </w:r>
      <w:r>
        <w:rPr>
          <w:rFonts w:ascii="Times New Roman" w:cs="Times New Roman" w:eastAsia="Times New Roman" w:hAnsi="Times New Roman"/>
          <w:sz w:val="18"/>
          <w:szCs w:val="18"/>
          <w:color w:val="auto"/>
        </w:rPr>
        <w:t xml:space="preserve">; and (y) any Note that is not called for Redemption (or similar language) excludes any Note that is deemed to be called for Redemption pursuant to this </w:t>
      </w:r>
      <w:r>
        <w:rPr>
          <w:rFonts w:ascii="Times New Roman" w:cs="Times New Roman" w:eastAsia="Times New Roman" w:hAnsi="Times New Roman"/>
          <w:sz w:val="18"/>
          <w:szCs w:val="18"/>
          <w:b w:val="1"/>
          <w:bCs w:val="1"/>
          <w:color w:val="auto"/>
        </w:rPr>
        <w:t>Section 4.03(I)</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010000"/>
        </w:rPr>
      </w:pPr>
    </w:p>
    <w:p>
      <w:pPr>
        <w:jc w:val="both"/>
        <w:ind w:firstLine="656"/>
        <w:spacing w:after="0" w:line="268" w:lineRule="auto"/>
        <w:tabs>
          <w:tab w:leader="none" w:pos="1301" w:val="left"/>
        </w:tabs>
        <w:numPr>
          <w:ilvl w:val="0"/>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Repurchases or Other Acquisitions Other Than by Redemption Not Affected. </w:t>
      </w:r>
      <w:r>
        <w:rPr>
          <w:rFonts w:ascii="Times New Roman" w:cs="Times New Roman" w:eastAsia="Times New Roman" w:hAnsi="Times New Roman"/>
          <w:sz w:val="18"/>
          <w:szCs w:val="18"/>
          <w:color w:val="auto"/>
        </w:rPr>
        <w:t>For the avoidance of doubt, nothing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 or otherwise apply to any repurchase or other acquisition, by the Company or its Affiliates, or any other Person, of any Notes not by Redemption (including in the open market transactions, private or public tender or exchange offers or otherwise).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CONVERSION OF NOTES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5.01</w:t>
      </w:r>
      <w:r>
        <w:rPr>
          <w:sz w:val="20"/>
          <w:szCs w:val="20"/>
          <w:color w:val="auto"/>
        </w:rPr>
        <w:tab/>
      </w:r>
      <w:r>
        <w:rPr>
          <w:rFonts w:ascii="Times New Roman" w:cs="Times New Roman" w:eastAsia="Times New Roman" w:hAnsi="Times New Roman"/>
          <w:sz w:val="17"/>
          <w:szCs w:val="17"/>
          <w:b w:val="1"/>
          <w:bCs w:val="1"/>
          <w:color w:val="auto"/>
        </w:rPr>
        <w:t>RIGHT TO CONVERT.</w:t>
      </w:r>
    </w:p>
    <w:p>
      <w:pPr>
        <w:spacing w:after="0" w:line="225" w:lineRule="exact"/>
        <w:rPr>
          <w:sz w:val="20"/>
          <w:szCs w:val="20"/>
          <w:color w:val="auto"/>
        </w:rPr>
      </w:pPr>
    </w:p>
    <w:p>
      <w:pPr>
        <w:ind w:left="1460" w:hanging="804"/>
        <w:spacing w:after="0"/>
        <w:tabs>
          <w:tab w:leader="none" w:pos="1460"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Subject to the provisions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each Holder may, at its option, Convert such Holder’s Notes into Conversion</w:t>
      </w:r>
    </w:p>
    <w:p>
      <w:pPr>
        <w:spacing w:after="0" w:line="31"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Consideration.</w:t>
      </w:r>
    </w:p>
    <w:p>
      <w:pPr>
        <w:spacing w:after="0" w:line="204" w:lineRule="exact"/>
        <w:rPr>
          <w:rFonts w:ascii="Times New Roman" w:cs="Times New Roman" w:eastAsia="Times New Roman" w:hAnsi="Times New Roman"/>
          <w:sz w:val="18"/>
          <w:szCs w:val="18"/>
          <w:color w:val="010000"/>
        </w:rPr>
      </w:pPr>
    </w:p>
    <w:p>
      <w:pPr>
        <w:ind w:firstLine="656"/>
        <w:spacing w:after="0" w:line="284" w:lineRule="auto"/>
        <w:tabs>
          <w:tab w:leader="none" w:pos="1383"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Conversions in Part. </w:t>
      </w:r>
      <w:r>
        <w:rPr>
          <w:rFonts w:ascii="Times New Roman" w:cs="Times New Roman" w:eastAsia="Times New Roman" w:hAnsi="Times New Roman"/>
          <w:sz w:val="18"/>
          <w:szCs w:val="18"/>
          <w:color w:val="auto"/>
        </w:rPr>
        <w:t>Subject to the terms of this Indenture, Notes may be Converted in part, but only in Authorized Denominations.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Provisions of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applying to the Conversion of a Note in whole will equally apply to Conversions of a permitted portion of a Note.</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644" w:hanging="644"/>
        <w:spacing w:after="0"/>
        <w:tabs>
          <w:tab w:leader="none" w:pos="644" w:val="left"/>
        </w:tabs>
        <w:numPr>
          <w:ilvl w:val="0"/>
          <w:numId w:val="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When Notes May Be Converted</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010000"/>
        </w:rPr>
      </w:pPr>
    </w:p>
    <w:p>
      <w:pPr>
        <w:ind w:left="1264" w:hanging="616"/>
        <w:spacing w:after="0"/>
        <w:tabs>
          <w:tab w:leader="none" w:pos="126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5.01(C)(ii)</w:t>
      </w:r>
      <w:r>
        <w:rPr>
          <w:rFonts w:ascii="Times New Roman" w:cs="Times New Roman" w:eastAsia="Times New Roman" w:hAnsi="Times New Roman"/>
          <w:sz w:val="18"/>
          <w:szCs w:val="18"/>
          <w:color w:val="auto"/>
        </w:rPr>
        <w:t>, a Note may be Converted only in the following circumstances:</w:t>
      </w:r>
    </w:p>
    <w:p>
      <w:pPr>
        <w:spacing w:after="0" w:line="227" w:lineRule="exact"/>
        <w:rPr>
          <w:rFonts w:ascii="Times New Roman" w:cs="Times New Roman" w:eastAsia="Times New Roman" w:hAnsi="Times New Roman"/>
          <w:sz w:val="18"/>
          <w:szCs w:val="18"/>
          <w:color w:val="auto"/>
        </w:rPr>
      </w:pPr>
    </w:p>
    <w:p>
      <w:pPr>
        <w:jc w:val="both"/>
        <w:ind w:left="644" w:firstLine="652"/>
        <w:spacing w:after="0" w:line="258" w:lineRule="auto"/>
        <w:tabs>
          <w:tab w:leader="none" w:pos="2073" w:val="left"/>
        </w:tabs>
        <w:numPr>
          <w:ilvl w:val="2"/>
          <w:numId w:val="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Conversion Upon Satisfaction of Common Stock Sale Price Condition. </w:t>
      </w:r>
      <w:r>
        <w:rPr>
          <w:rFonts w:ascii="Times New Roman" w:cs="Times New Roman" w:eastAsia="Times New Roman" w:hAnsi="Times New Roman"/>
          <w:sz w:val="18"/>
          <w:szCs w:val="18"/>
          <w:color w:val="auto"/>
        </w:rPr>
        <w:t>A Holder may Convert its Notes during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quarter (and only during such fiscal quarter) commencing after the fiscal quarter ending on September 30, 2025, if the Last Reported Sale Price per share of Common Stock exceeds one hundred and thirty percent (130%) of the Conversion Price for each of at least twenty (20) Trading Days (whether or not consecutive) during the thirty (30) consecutive Trading Days ending on, and including, the last Trading Day of the immediately preceding fiscal quarter.</w:t>
      </w:r>
    </w:p>
    <w:p>
      <w:pPr>
        <w:spacing w:after="0" w:line="183" w:lineRule="exact"/>
        <w:rPr>
          <w:rFonts w:ascii="Times New Roman" w:cs="Times New Roman" w:eastAsia="Times New Roman" w:hAnsi="Times New Roman"/>
          <w:sz w:val="18"/>
          <w:szCs w:val="18"/>
          <w:color w:val="010000"/>
        </w:rPr>
      </w:pPr>
    </w:p>
    <w:p>
      <w:pPr>
        <w:jc w:val="both"/>
        <w:ind w:left="644" w:firstLine="652"/>
        <w:spacing w:after="0" w:line="257" w:lineRule="auto"/>
        <w:tabs>
          <w:tab w:leader="none" w:pos="2014" w:val="left"/>
        </w:tabs>
        <w:numPr>
          <w:ilvl w:val="2"/>
          <w:numId w:val="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Conversion Upon Satisfaction of Note Trading Price Condition. </w:t>
      </w:r>
      <w:r>
        <w:rPr>
          <w:rFonts w:ascii="Times New Roman" w:cs="Times New Roman" w:eastAsia="Times New Roman" w:hAnsi="Times New Roman"/>
          <w:sz w:val="18"/>
          <w:szCs w:val="18"/>
          <w:color w:val="auto"/>
        </w:rPr>
        <w:t>A Holder may Convert its Notes during the five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consecutive Business Days immediately after any ten (10) consecutive Trading Day period (such ten (10) consecutive Trading Day period, the </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xml:space="preserve">) if the Trading Price per $1,000 principal amount of Notes, as determined following a request by a Holder in accordance with the procedures set forth below, for each Trading Day of the Measurement Period was less than ninety eight percent (98%) of the product of the Last Reported Sale Price per share of Common Stock on such Trading Day and the Conversion Rate on such Trading Day. The condition set forth in the preceding sentence is referred to in this Indenture as the </w:t>
      </w:r>
      <w:r>
        <w:rPr>
          <w:rFonts w:ascii="Times New Roman" w:cs="Times New Roman" w:eastAsia="Times New Roman" w:hAnsi="Times New Roman"/>
          <w:sz w:val="18"/>
          <w:szCs w:val="18"/>
          <w:b w:val="1"/>
          <w:bCs w:val="1"/>
          <w:color w:val="auto"/>
        </w:rPr>
        <w:t>“Trading Price Condition.”</w:t>
      </w:r>
    </w:p>
    <w:p>
      <w:pPr>
        <w:spacing w:after="0" w:line="180" w:lineRule="exact"/>
        <w:rPr>
          <w:sz w:val="20"/>
          <w:szCs w:val="20"/>
          <w:color w:val="auto"/>
        </w:rPr>
      </w:pPr>
    </w:p>
    <w:p>
      <w:pPr>
        <w:jc w:val="both"/>
        <w:ind w:left="644"/>
        <w:spacing w:after="0" w:line="253" w:lineRule="auto"/>
        <w:rPr>
          <w:sz w:val="20"/>
          <w:szCs w:val="20"/>
          <w:color w:val="auto"/>
        </w:rPr>
      </w:pPr>
      <w:r>
        <w:rPr>
          <w:rFonts w:ascii="Times New Roman" w:cs="Times New Roman" w:eastAsia="Times New Roman" w:hAnsi="Times New Roman"/>
          <w:sz w:val="18"/>
          <w:szCs w:val="18"/>
          <w:color w:val="auto"/>
        </w:rPr>
        <w:t xml:space="preserve">The Trading Price will be determined by the Bid Solicitation Agent pursuant to this </w:t>
      </w:r>
      <w:r>
        <w:rPr>
          <w:rFonts w:ascii="Times New Roman" w:cs="Times New Roman" w:eastAsia="Times New Roman" w:hAnsi="Times New Roman"/>
          <w:sz w:val="18"/>
          <w:szCs w:val="18"/>
          <w:b w:val="1"/>
          <w:bCs w:val="1"/>
          <w:color w:val="auto"/>
        </w:rPr>
        <w:t>Section 5.01(C)(i)(2)</w:t>
      </w:r>
      <w:r>
        <w:rPr>
          <w:rFonts w:ascii="Times New Roman" w:cs="Times New Roman" w:eastAsia="Times New Roman" w:hAnsi="Times New Roman"/>
          <w:sz w:val="18"/>
          <w:szCs w:val="18"/>
          <w:color w:val="auto"/>
        </w:rPr>
        <w:t xml:space="preserve"> and the definition of “Trading Price.” The Bid Solicitation Agent (if not the Company) will have no obligation to determine the Trading Price of the Notes unless the Company has requested such determination in writing, and the Company will have no obligation to make such request (or seek bids itself) unless a Holder holding at least $5 million in aggregate principal amount of the Notes provides the Company with reasonable evidence that the Trading Price per $1,000 principal amount of Notes would be less than ninety eight percent (98%) of the product of the Last Reported Sale Price per share of Common Stock and the Conversion Rate. If a Holder provides such evidence, then the Company will (if acting as Bid Solicitation Agent), or will instruct the Bid Solicitation Agent to, determine the Trading Price of the Notes beginning on the next Trading Day and on each successive Trading Day until the Trading Price per $1,000 principal amount of Notes is greater than or equal to ninety eight percent (98%) of the product of the Last Reported Sale Price per share of Common Stock on such Trading Day and the Conversion Rate on such Trading Day. If the Trading Price Condition has been met as set forth above, then the Company will notify the Holders, the Trustee and the Conversion Agent of the same. If, on any Trading Day after the Trading Price Condition has been met as set forth above, the Trading Price per $1,000 principal amount of Notes is greater than or equal to ninety eight percent (98%) of the product of the Last Reported Sale Price per share of Common Stock on such Trading Day and the Conversion Rate on such Trading Day, then the Company will notify the Holders, the Trustee and the Conversion Agent of the same.</w:t>
      </w:r>
    </w:p>
    <w:p>
      <w:pPr>
        <w:spacing w:after="0" w:line="187" w:lineRule="exact"/>
        <w:rPr>
          <w:sz w:val="20"/>
          <w:szCs w:val="20"/>
          <w:color w:val="auto"/>
        </w:rPr>
      </w:pPr>
    </w:p>
    <w:p>
      <w:pPr>
        <w:ind w:left="1964" w:hanging="668"/>
        <w:spacing w:after="0"/>
        <w:tabs>
          <w:tab w:leader="none" w:pos="1964" w:val="left"/>
        </w:tabs>
        <w:numPr>
          <w:ilvl w:val="0"/>
          <w:numId w:val="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Conversion Upon Specified Corporate Events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2584" w:hanging="640"/>
        <w:spacing w:after="0"/>
        <w:tabs>
          <w:tab w:leader="none" w:pos="258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Certain Distributions. </w:t>
      </w:r>
      <w:r>
        <w:rPr>
          <w:rFonts w:ascii="Times New Roman" w:cs="Times New Roman" w:eastAsia="Times New Roman" w:hAnsi="Times New Roman"/>
          <w:sz w:val="18"/>
          <w:szCs w:val="18"/>
          <w:color w:val="auto"/>
        </w:rPr>
        <w:t>If, before March 1, 2030, the Company elects to:</w:t>
      </w:r>
    </w:p>
    <w:p>
      <w:pPr>
        <w:spacing w:after="0" w:line="227" w:lineRule="exact"/>
        <w:rPr>
          <w:rFonts w:ascii="Times New Roman" w:cs="Times New Roman" w:eastAsia="Times New Roman" w:hAnsi="Times New Roman"/>
          <w:sz w:val="18"/>
          <w:szCs w:val="18"/>
          <w:color w:val="auto"/>
        </w:rPr>
      </w:pPr>
    </w:p>
    <w:p>
      <w:pPr>
        <w:jc w:val="both"/>
        <w:ind w:left="3244" w:hanging="652"/>
        <w:spacing w:after="0" w:line="253" w:lineRule="auto"/>
        <w:tabs>
          <w:tab w:leader="none" w:pos="3244"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distribute, to all or substantially all holders of Common Stock, any rights, options or warrants (other than rights issued pursuant to a stockholder rights plan, so long as such rights have not separated from the Common Stock and are not exercisable until the occurrence of a triggering event, except that such rights will be deemed to be distributed under this clause (I) upon their separation from the Common Stock or upon the occurrence of such triggering event) entitling them, for a period of not more than sixty (60) calendar days after the date such distribution is first publicly announced,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(determined in the manner set forth in the third paragraph of </w:t>
      </w:r>
      <w:r>
        <w:rPr>
          <w:rFonts w:ascii="Times New Roman" w:cs="Times New Roman" w:eastAsia="Times New Roman" w:hAnsi="Times New Roman"/>
          <w:sz w:val="18"/>
          <w:szCs w:val="18"/>
          <w:b w:val="1"/>
          <w:bCs w:val="1"/>
          <w:color w:val="auto"/>
        </w:rPr>
        <w:t>Section 5.05(A)(ii)</w:t>
      </w:r>
      <w:r>
        <w:rPr>
          <w:rFonts w:ascii="Times New Roman" w:cs="Times New Roman" w:eastAsia="Times New Roman" w:hAnsi="Times New Roman"/>
          <w:sz w:val="18"/>
          <w:szCs w:val="18"/>
          <w:color w:val="auto"/>
        </w:rPr>
        <w:t>); or</w:t>
      </w:r>
    </w:p>
    <w:p>
      <w:pPr>
        <w:spacing w:after="0" w:line="365"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9" w:right="339" w:bottom="1440" w:gutter="0" w:footer="0" w:header="0"/>
        </w:sectPr>
      </w:pPr>
    </w:p>
    <w:bookmarkStart w:id="41" w:name="page42"/>
    <w:bookmarkEnd w:id="41"/>
    <w:p>
      <w:pPr>
        <w:jc w:val="both"/>
        <w:ind w:left="2780" w:hanging="652"/>
        <w:spacing w:after="0" w:line="258" w:lineRule="auto"/>
        <w:tabs>
          <w:tab w:leader="none" w:pos="27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to all or substantially all holders of Common Stock, assets or securities of the Company or rights to purchase the Company’s securities, which distribution per share of Common Stock has a value, as reasonably determined by the Board of Directors, exceeding ten percent (10%) of the Last Reported Sale Price per share of Common Stock on the Trading Day immediately before the date such distribution is announced,</w:t>
      </w:r>
    </w:p>
    <w:p>
      <w:pPr>
        <w:spacing w:after="0" w:line="183" w:lineRule="exact"/>
        <w:rPr>
          <w:sz w:val="20"/>
          <w:szCs w:val="20"/>
          <w:color w:val="auto"/>
        </w:rPr>
      </w:pPr>
    </w:p>
    <w:p>
      <w:pPr>
        <w:jc w:val="both"/>
        <w:ind w:left="1480"/>
        <w:spacing w:after="0" w:line="252" w:lineRule="auto"/>
        <w:rPr>
          <w:sz w:val="20"/>
          <w:szCs w:val="20"/>
          <w:color w:val="auto"/>
        </w:rPr>
      </w:pPr>
      <w:r>
        <w:rPr>
          <w:rFonts w:ascii="Times New Roman" w:cs="Times New Roman" w:eastAsia="Times New Roman" w:hAnsi="Times New Roman"/>
          <w:sz w:val="18"/>
          <w:szCs w:val="18"/>
          <w:color w:val="auto"/>
        </w:rPr>
        <w:t xml:space="preserve">then, in either case, (x) the Company will send notice of such distribution, and of the related right to Convert Notes, to Holders, the Trustee and the Conversion Agent at least forty five (45) Scheduled Trading Days before the Ex-Dividend Date for such distribution (or, if later in the case of any such separation of rights issued pursuant to a stockholder rights plan or the occurrence of any such triggering event under a stockholder rights plan, as soon as reasonably practicable after the Company becomes aware that such separation or triggering event has occurred or will occur); and (y) once the Company has sent such notice, Holders may Convert their Notes at any time until the earlier of the Close of Business on the Business Day immediately before such Ex-Dividend Date and the Company’s announcement that such distribution will not take place;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Notes will not become Convertible pursuant to </w:t>
      </w:r>
      <w:r>
        <w:rPr>
          <w:rFonts w:ascii="Times New Roman" w:cs="Times New Roman" w:eastAsia="Times New Roman" w:hAnsi="Times New Roman"/>
          <w:sz w:val="18"/>
          <w:szCs w:val="18"/>
          <w:b w:val="1"/>
          <w:bCs w:val="1"/>
          <w:color w:val="auto"/>
        </w:rPr>
        <w:t>clause (y)</w:t>
      </w:r>
      <w:r>
        <w:rPr>
          <w:rFonts w:ascii="Times New Roman" w:cs="Times New Roman" w:eastAsia="Times New Roman" w:hAnsi="Times New Roman"/>
          <w:sz w:val="18"/>
          <w:szCs w:val="18"/>
          <w:color w:val="auto"/>
        </w:rPr>
        <w:t xml:space="preserve"> above (but the Company will be required to send notice of such distribution pursuant to </w:t>
      </w:r>
      <w:r>
        <w:rPr>
          <w:rFonts w:ascii="Times New Roman" w:cs="Times New Roman" w:eastAsia="Times New Roman" w:hAnsi="Times New Roman"/>
          <w:sz w:val="18"/>
          <w:szCs w:val="18"/>
          <w:b w:val="1"/>
          <w:bCs w:val="1"/>
          <w:color w:val="auto"/>
        </w:rPr>
        <w:t>clause (x)</w:t>
      </w:r>
      <w:r>
        <w:rPr>
          <w:rFonts w:ascii="Times New Roman" w:cs="Times New Roman" w:eastAsia="Times New Roman" w:hAnsi="Times New Roman"/>
          <w:sz w:val="18"/>
          <w:szCs w:val="18"/>
          <w:color w:val="auto"/>
        </w:rPr>
        <w:t xml:space="preserve"> above) on account of such distribution if each Holder participates, at the same time and on the same terms as holders of Common Stock, and solely by virtue of being a Holder, in such distribution without having to Convert such Holder’s Notes and as if such Holder held a number of shares of Common Stock equal to the product of (i) the Conversion Rate in effect on the record date for such distribution; and (ii) the aggregate principal amount (expressed in thousands) of Notes held by such Holder on such record date.</w:t>
      </w:r>
    </w:p>
    <w:p>
      <w:pPr>
        <w:spacing w:after="0" w:line="195" w:lineRule="exact"/>
        <w:rPr>
          <w:sz w:val="20"/>
          <w:szCs w:val="20"/>
          <w:color w:val="auto"/>
        </w:rPr>
      </w:pPr>
    </w:p>
    <w:p>
      <w:pPr>
        <w:jc w:val="both"/>
        <w:ind w:left="180" w:firstLine="1300"/>
        <w:spacing w:after="0" w:line="253" w:lineRule="auto"/>
        <w:tabs>
          <w:tab w:leader="none" w:pos="211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Certain Corporate Events. </w:t>
      </w:r>
      <w:r>
        <w:rPr>
          <w:rFonts w:ascii="Times New Roman" w:cs="Times New Roman" w:eastAsia="Times New Roman" w:hAnsi="Times New Roman"/>
          <w:sz w:val="18"/>
          <w:szCs w:val="18"/>
          <w:color w:val="auto"/>
        </w:rPr>
        <w:t xml:space="preserve">If a Fundamental Change, Make-Whole Fundamental Change (other than a Make-Whole Fundamental Change pursuant to clause (B) of the definition thereof) or Common Stock Change Event occurs (other than a merger or other business combination transaction that is effected solely to change the Company’s jurisdiction of incorporation and that does not constitute a Fundamental Change or a Make-Whole Fundamental Change), then, in each case, Holders may Convert their Notes at any time from, and including, the effective date of such transaction or event to, and including, the thirty fifth (35th) Trading Day after such effective date (or, if such transaction or event also constitutes a Fundamental Change (other than an Exempted Fundamental Change), to, but excluding, the related Fundamental Change Repurchase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Company does not provide the notice referred to in the immediately following sentence by the Business Day after such effective date, then the last day on which the Notes are Convertible pursuant to this sentence will be extended by the number of Business Days from, and including, the Business Day after such effective date to, but excluding, the date the Company provides such notice. No later than the Business Day after such effective date, the Company will send notice to the Holders, the Trustee and the Conversion Agent of such transaction or event, such effective date and the related right to Convert Notes.</w:t>
      </w:r>
    </w:p>
    <w:p>
      <w:pPr>
        <w:spacing w:after="0" w:line="36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42" w:name="page43"/>
    <w:bookmarkEnd w:id="42"/>
    <w:p>
      <w:pPr>
        <w:jc w:val="both"/>
        <w:ind w:left="1300" w:firstLine="652"/>
        <w:spacing w:after="0" w:line="261" w:lineRule="auto"/>
        <w:tabs>
          <w:tab w:leader="none" w:pos="2724" w:val="left"/>
        </w:tabs>
        <w:numPr>
          <w:ilvl w:val="0"/>
          <w:numId w:val="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Conversion Upon Redemption. </w:t>
      </w:r>
      <w:r>
        <w:rPr>
          <w:rFonts w:ascii="Times New Roman" w:cs="Times New Roman" w:eastAsia="Times New Roman" w:hAnsi="Times New Roman"/>
          <w:sz w:val="18"/>
          <w:szCs w:val="18"/>
          <w:color w:val="auto"/>
        </w:rPr>
        <w:t>If the Company calls any Note for Redemption, then the Holder of such Note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 such Note at any time before the Close of Business on the second (2nd) Business Day immediately before the related Redemption Date (or, if the Company fails to pay the Redemption Price due on such Redemption Date in full, at any time until such time as the Company pays such Redemption Price in full).</w:t>
      </w:r>
    </w:p>
    <w:p>
      <w:pPr>
        <w:spacing w:after="0" w:line="179" w:lineRule="exact"/>
        <w:rPr>
          <w:rFonts w:ascii="Times New Roman" w:cs="Times New Roman" w:eastAsia="Times New Roman" w:hAnsi="Times New Roman"/>
          <w:sz w:val="18"/>
          <w:szCs w:val="18"/>
          <w:color w:val="010000"/>
        </w:rPr>
      </w:pPr>
    </w:p>
    <w:p>
      <w:pPr>
        <w:ind w:left="1300" w:right="20" w:firstLine="652"/>
        <w:spacing w:after="0" w:line="284" w:lineRule="auto"/>
        <w:tabs>
          <w:tab w:leader="none" w:pos="2724" w:val="left"/>
        </w:tabs>
        <w:numPr>
          <w:ilvl w:val="0"/>
          <w:numId w:val="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Conversions During Free Convertibility Period. </w:t>
      </w:r>
      <w:r>
        <w:rPr>
          <w:rFonts w:ascii="Times New Roman" w:cs="Times New Roman" w:eastAsia="Times New Roman" w:hAnsi="Times New Roman"/>
          <w:sz w:val="18"/>
          <w:szCs w:val="18"/>
          <w:color w:val="auto"/>
        </w:rPr>
        <w:t>A Holder may Convert its Notes at any time from, and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1, 2030 until the Close of Business on the second (2nd) Scheduled Trading Day immediately before the Maturity Date.</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For the avoidance of doubt, the Notes may become Convertible pursuant to any one or more of the preceding sub-paragraphs of this </w:t>
      </w:r>
      <w:r>
        <w:rPr>
          <w:rFonts w:ascii="Times New Roman" w:cs="Times New Roman" w:eastAsia="Times New Roman" w:hAnsi="Times New Roman"/>
          <w:sz w:val="18"/>
          <w:szCs w:val="18"/>
          <w:b w:val="1"/>
          <w:bCs w:val="1"/>
          <w:color w:val="auto"/>
        </w:rPr>
        <w:t>Section 5.01(C)(i)</w:t>
      </w:r>
      <w:r>
        <w:rPr>
          <w:rFonts w:ascii="Times New Roman" w:cs="Times New Roman" w:eastAsia="Times New Roman" w:hAnsi="Times New Roman"/>
          <w:sz w:val="18"/>
          <w:szCs w:val="18"/>
          <w:color w:val="auto"/>
        </w:rPr>
        <w:t xml:space="preserve"> and the Notes ceasing to be Convertible pursuant to a particular sub-paragraph of this </w:t>
      </w:r>
      <w:r>
        <w:rPr>
          <w:rFonts w:ascii="Times New Roman" w:cs="Times New Roman" w:eastAsia="Times New Roman" w:hAnsi="Times New Roman"/>
          <w:sz w:val="18"/>
          <w:szCs w:val="18"/>
          <w:b w:val="1"/>
          <w:bCs w:val="1"/>
          <w:color w:val="auto"/>
        </w:rPr>
        <w:t>Section 5.01(C)(i)</w:t>
      </w:r>
      <w:r>
        <w:rPr>
          <w:rFonts w:ascii="Times New Roman" w:cs="Times New Roman" w:eastAsia="Times New Roman" w:hAnsi="Times New Roman"/>
          <w:sz w:val="18"/>
          <w:szCs w:val="18"/>
          <w:color w:val="auto"/>
        </w:rPr>
        <w:t xml:space="preserve"> will not preclude the Notes from being Convertible pursuant to any other sub-paragraph of this </w:t>
      </w:r>
      <w:r>
        <w:rPr>
          <w:rFonts w:ascii="Times New Roman" w:cs="Times New Roman" w:eastAsia="Times New Roman" w:hAnsi="Times New Roman"/>
          <w:sz w:val="18"/>
          <w:szCs w:val="18"/>
          <w:b w:val="1"/>
          <w:bCs w:val="1"/>
          <w:color w:val="auto"/>
        </w:rPr>
        <w:t>Section 5.01(C)(i)</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1920" w:hanging="616"/>
        <w:spacing w:after="0"/>
        <w:tabs>
          <w:tab w:leader="none" w:pos="19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Limitations and Closed Periods. </w:t>
      </w:r>
      <w:r>
        <w:rPr>
          <w:rFonts w:ascii="Times New Roman" w:cs="Times New Roman" w:eastAsia="Times New Roman" w:hAnsi="Times New Roman"/>
          <w:sz w:val="18"/>
          <w:szCs w:val="18"/>
          <w:color w:val="auto"/>
        </w:rPr>
        <w:t>Notwithstanding anything to the contrary in this Indenture or the Notes:</w:t>
      </w:r>
    </w:p>
    <w:p>
      <w:pPr>
        <w:spacing w:after="0" w:line="227" w:lineRule="exact"/>
        <w:rPr>
          <w:rFonts w:ascii="Times New Roman" w:cs="Times New Roman" w:eastAsia="Times New Roman" w:hAnsi="Times New Roman"/>
          <w:sz w:val="18"/>
          <w:szCs w:val="18"/>
          <w:color w:val="auto"/>
        </w:rPr>
      </w:pPr>
    </w:p>
    <w:p>
      <w:pPr>
        <w:ind w:left="1300" w:firstLine="652"/>
        <w:spacing w:after="0" w:line="282" w:lineRule="auto"/>
        <w:tabs>
          <w:tab w:leader="none" w:pos="2518" w:val="left"/>
        </w:tabs>
        <w:numPr>
          <w:ilvl w:val="1"/>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Notes may be surrendered for Conversion only after the Open of Business and before the Close of Business on a day that is a Business Day;</w:t>
      </w:r>
    </w:p>
    <w:p>
      <w:pPr>
        <w:spacing w:after="0" w:line="161" w:lineRule="exact"/>
        <w:rPr>
          <w:rFonts w:ascii="Times New Roman" w:cs="Times New Roman" w:eastAsia="Times New Roman" w:hAnsi="Times New Roman"/>
          <w:sz w:val="18"/>
          <w:szCs w:val="18"/>
          <w:color w:val="010000"/>
        </w:rPr>
      </w:pPr>
    </w:p>
    <w:p>
      <w:pPr>
        <w:ind w:left="1300" w:firstLine="652"/>
        <w:spacing w:after="0" w:line="282" w:lineRule="auto"/>
        <w:tabs>
          <w:tab w:leader="none" w:pos="2712" w:val="left"/>
        </w:tabs>
        <w:numPr>
          <w:ilvl w:val="1"/>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no event may any Note be Converted after the Close of Business on the second (2nd) Scheduled Trading Day immediately before the Maturity Date;</w:t>
      </w:r>
    </w:p>
    <w:p>
      <w:pPr>
        <w:spacing w:after="0" w:line="157" w:lineRule="exact"/>
        <w:rPr>
          <w:rFonts w:ascii="Times New Roman" w:cs="Times New Roman" w:eastAsia="Times New Roman" w:hAnsi="Times New Roman"/>
          <w:sz w:val="18"/>
          <w:szCs w:val="18"/>
          <w:color w:val="010000"/>
        </w:rPr>
      </w:pPr>
    </w:p>
    <w:p>
      <w:pPr>
        <w:jc w:val="both"/>
        <w:ind w:left="1300" w:firstLine="652"/>
        <w:spacing w:after="0" w:line="268" w:lineRule="auto"/>
        <w:tabs>
          <w:tab w:leader="none" w:pos="2575" w:val="left"/>
        </w:tabs>
        <w:numPr>
          <w:ilvl w:val="1"/>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the Company calls any Note for Redemption pursuant to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then the Holder of such Note may not Convert such Note after the Close of Business on the second (2nd) Business Day immediately before the applicable Redemption Date, except to the extent the Company fails to pay the Redemption Price for such Note in accordance with this Indenture; and</w:t>
      </w:r>
    </w:p>
    <w:p>
      <w:pPr>
        <w:spacing w:after="0" w:line="170" w:lineRule="exact"/>
        <w:rPr>
          <w:rFonts w:ascii="Times New Roman" w:cs="Times New Roman" w:eastAsia="Times New Roman" w:hAnsi="Times New Roman"/>
          <w:sz w:val="18"/>
          <w:szCs w:val="18"/>
          <w:color w:val="010000"/>
        </w:rPr>
      </w:pPr>
    </w:p>
    <w:p>
      <w:pPr>
        <w:jc w:val="both"/>
        <w:ind w:left="1300" w:firstLine="652"/>
        <w:spacing w:after="0" w:line="262" w:lineRule="auto"/>
        <w:tabs>
          <w:tab w:leader="none" w:pos="2605" w:val="left"/>
        </w:tabs>
        <w:numPr>
          <w:ilvl w:val="1"/>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a Fundamental Change Repurchase Notice is validly delivered pursuant to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 xml:space="preserve"> with respect to any Note, then such Note may not be Converted, except to the extent (a) such Note is not subject to such notice; (b) such notice is withdrawn in accordance with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 or (c) the Company fails to pay the Fundamental Change Repurchase Price for such Note in accordance with this Indenture.</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5.02</w:t>
      </w:r>
      <w:r>
        <w:rPr>
          <w:sz w:val="20"/>
          <w:szCs w:val="20"/>
          <w:color w:val="auto"/>
        </w:rPr>
        <w:tab/>
      </w:r>
      <w:r>
        <w:rPr>
          <w:rFonts w:ascii="Times New Roman" w:cs="Times New Roman" w:eastAsia="Times New Roman" w:hAnsi="Times New Roman"/>
          <w:sz w:val="18"/>
          <w:szCs w:val="18"/>
          <w:b w:val="1"/>
          <w:bCs w:val="1"/>
          <w:color w:val="auto"/>
        </w:rPr>
        <w:t>CONVERSION PROCEDURES.</w:t>
      </w:r>
    </w:p>
    <w:p>
      <w:pPr>
        <w:spacing w:after="0" w:line="227" w:lineRule="exact"/>
        <w:rPr>
          <w:sz w:val="20"/>
          <w:szCs w:val="20"/>
          <w:color w:val="auto"/>
        </w:rPr>
      </w:pPr>
    </w:p>
    <w:p>
      <w:pPr>
        <w:ind w:left="1320" w:hanging="664"/>
        <w:spacing w:after="0"/>
        <w:tabs>
          <w:tab w:leader="none" w:pos="1320" w:val="left"/>
        </w:tabs>
        <w:numPr>
          <w:ilvl w:val="0"/>
          <w:numId w:val="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010000"/>
        </w:rPr>
      </w:pPr>
    </w:p>
    <w:p>
      <w:pPr>
        <w:jc w:val="both"/>
        <w:ind w:left="660" w:firstLine="644"/>
        <w:spacing w:after="0" w:line="268" w:lineRule="auto"/>
        <w:tabs>
          <w:tab w:leader="none" w:pos="183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 Notes. </w:t>
      </w:r>
      <w:r>
        <w:rPr>
          <w:rFonts w:ascii="Times New Roman" w:cs="Times New Roman" w:eastAsia="Times New Roman" w:hAnsi="Times New Roman"/>
          <w:sz w:val="18"/>
          <w:szCs w:val="18"/>
          <w:color w:val="auto"/>
        </w:rPr>
        <w:t>To Convert a beneficial interest in a Global Note that is Convertible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5.01(C)</w:t>
      </w:r>
      <w:r>
        <w:rPr>
          <w:rFonts w:ascii="Times New Roman" w:cs="Times New Roman" w:eastAsia="Times New Roman" w:hAnsi="Times New Roman"/>
          <w:sz w:val="18"/>
          <w:szCs w:val="18"/>
          <w:color w:val="auto"/>
        </w:rPr>
        <w:t>, the owner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beneficial interest must (1) comply with the Depositary Procedures for Converting such beneficial interest (at which time such Conversion will become irrevocable); and (2) pay any amounts due pursuant to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5.02(E)</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jc w:val="both"/>
        <w:ind w:left="660" w:firstLine="644"/>
        <w:spacing w:after="0" w:line="259" w:lineRule="auto"/>
        <w:tabs>
          <w:tab w:leader="none" w:pos="188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Physical Notes. </w:t>
      </w:r>
      <w:r>
        <w:rPr>
          <w:rFonts w:ascii="Times New Roman" w:cs="Times New Roman" w:eastAsia="Times New Roman" w:hAnsi="Times New Roman"/>
          <w:sz w:val="18"/>
          <w:szCs w:val="18"/>
          <w:color w:val="auto"/>
        </w:rPr>
        <w:t>To Convert all or a portion of a Physical Note that is Convertible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5.01(C)</w:t>
      </w:r>
      <w:r>
        <w:rPr>
          <w:rFonts w:ascii="Times New Roman" w:cs="Times New Roman" w:eastAsia="Times New Roman" w:hAnsi="Times New Roman"/>
          <w:sz w:val="18"/>
          <w:szCs w:val="18"/>
          <w:color w:val="auto"/>
        </w:rPr>
        <w:t>, the Holder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must (1) complete, manually sign and deliver to the Conversion Agent the conversion notice attached to such Physical Note or a facsimile of such Conversion Notice; (2) deliver such Physical Note to the Conversion Agent (at which time such Conversion will become irrevocable); (3) furnish any endorsements and transfer documents that the Company or the Conversion Agent may require; and (4) pay any amounts due pursuant to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5.02(E)</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02" w:val="left"/>
        </w:tabs>
        <w:numPr>
          <w:ilvl w:val="0"/>
          <w:numId w:val="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Effect of Converting a Note. </w:t>
      </w:r>
      <w:r>
        <w:rPr>
          <w:rFonts w:ascii="Times New Roman" w:cs="Times New Roman" w:eastAsia="Times New Roman" w:hAnsi="Times New Roman"/>
          <w:sz w:val="18"/>
          <w:szCs w:val="18"/>
          <w:color w:val="auto"/>
        </w:rPr>
        <w:t>At the Close of Business on the Conversion Date for a Note (or any portion thereof) to be Converted,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(or such portion) will (unless there occurs a Default in the delivery of the Conversion Consideration or interest due, pursuant to </w:t>
      </w:r>
      <w:r>
        <w:rPr>
          <w:rFonts w:ascii="Times New Roman" w:cs="Times New Roman" w:eastAsia="Times New Roman" w:hAnsi="Times New Roman"/>
          <w:sz w:val="18"/>
          <w:szCs w:val="18"/>
          <w:b w:val="1"/>
          <w:bCs w:val="1"/>
          <w:color w:val="auto"/>
        </w:rPr>
        <w:t>Section 5.03(B)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 xml:space="preserve">Section 5.02(D), </w:t>
      </w:r>
      <w:r>
        <w:rPr>
          <w:rFonts w:ascii="Times New Roman" w:cs="Times New Roman" w:eastAsia="Times New Roman" w:hAnsi="Times New Roman"/>
          <w:sz w:val="18"/>
          <w:szCs w:val="18"/>
          <w:color w:val="auto"/>
        </w:rPr>
        <w:t>upon such Conversion) be deemed to cease to be outstanding (and, for the avoidance of doubt, no Person will be deemed to be a Holder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Note (or such portion thereof) as of the Close of Business on such Conversion Date), except to the extent provided in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jc w:val="both"/>
        <w:ind w:firstLine="656"/>
        <w:spacing w:after="0" w:line="267" w:lineRule="auto"/>
        <w:tabs>
          <w:tab w:leader="none" w:pos="1261" w:val="left"/>
        </w:tabs>
        <w:numPr>
          <w:ilvl w:val="0"/>
          <w:numId w:val="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Holder of Record of Conversion Shares. </w:t>
      </w:r>
      <w:r>
        <w:rPr>
          <w:rFonts w:ascii="Times New Roman" w:cs="Times New Roman" w:eastAsia="Times New Roman" w:hAnsi="Times New Roman"/>
          <w:sz w:val="18"/>
          <w:szCs w:val="18"/>
          <w:color w:val="auto"/>
        </w:rPr>
        <w:t>The Person in whose name any share of Common Stock is issuable upon Conversion of any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deemed to become the holder of record of such share as of the Close of Business on the last VWAP Trading Day of the Observation Period for such Conversion.</w:t>
      </w:r>
    </w:p>
    <w:p>
      <w:pPr>
        <w:spacing w:after="0" w:line="173" w:lineRule="exact"/>
        <w:rPr>
          <w:rFonts w:ascii="Times New Roman" w:cs="Times New Roman" w:eastAsia="Times New Roman" w:hAnsi="Times New Roman"/>
          <w:sz w:val="18"/>
          <w:szCs w:val="18"/>
          <w:color w:val="010000"/>
        </w:rPr>
      </w:pPr>
    </w:p>
    <w:p>
      <w:pPr>
        <w:jc w:val="both"/>
        <w:ind w:firstLine="656"/>
        <w:spacing w:after="0" w:line="252" w:lineRule="auto"/>
        <w:tabs>
          <w:tab w:leader="none" w:pos="1334" w:val="left"/>
        </w:tabs>
        <w:numPr>
          <w:ilvl w:val="0"/>
          <w:numId w:val="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Interest Payable Upon Conversion in Certain Circumstances. </w:t>
      </w:r>
      <w:r>
        <w:rPr>
          <w:rFonts w:ascii="Times New Roman" w:cs="Times New Roman" w:eastAsia="Times New Roman" w:hAnsi="Times New Roman"/>
          <w:sz w:val="18"/>
          <w:szCs w:val="18"/>
          <w:color w:val="auto"/>
        </w:rPr>
        <w:t>If any Special Interest or Additional Interest has accrued and would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payable in respect of an Interest Payment Date and the Conversion Date of a Note is the related Interest Record Date and before such Interest Payment Date, then (i) the Holder of such Note at the Close of Business on such Interest Record Date will be entitled, notwithstanding such Conversion (and, for the avoidance of doubt, notwithstanding anything set forth in the proviso to this sentence), to receive, on or, at the Company’s election, before such Interest Payment Date, such payment of Special Interest or Additional Interest, as applicable (assuming, solely for these purposes, that such Note remained outstanding through such Interest Payment Date); and (ii) the Holder surrendering such Note for Conversion must deliver to the Conversion Agent, at the time of such surrender, an amount of cash equal to the amount of such interest referred to in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Holder surrendering such Note for Conversion need not deliver such cash (v) if the Company has specified a Redemption Date that is after such Interest Record Date and on or before the second (2nd) Business Day immediately after such Interest Payment Date; (w) if such Conversion Date occurs after the Interest Record Date immediately before the Maturity Date; (x) if the Company has specified a Fundamental Change Repurchase Date that is after such Interest Record Date and on or before the Business Day immediately after such Interest Payment Date; or (y) to the extent of any (a) overdue Special Interest or Additional Interest, interest or (b) interest that has accrued on any overdue interest. For the avoidance of doubt, as a result of, and without limiting the generality of, the foregoing, if a Note is Converted with a Conversion Date that is after the Interest Record Date immediately before the Maturity Date, then the Company will pay, as provided above, the Special Interest and Additional Interest, if any, that would have been due on such Note on the Maturity Date (or, if the Maturity Date is not a Business Day, the next Business Day) had such Note not been converted. For the avoidance of doubt, if the Conversion Date of a Note to be converted is on an Interest Payment Date in respect of which any Special Interest or Additional Interest is payable, then the Holder of such Note at the Close of Business on the Interest Record Date immediately before such Interest Payment Date will be entitled to receive, on such Interest Payment Date, such Special Interest or Additional Interest, as applicable, and such Note, when surrendered for Conversion, need not be accompanied by any cash amount pursuant to the first sentence of this </w:t>
      </w:r>
      <w:r>
        <w:rPr>
          <w:rFonts w:ascii="Times New Roman" w:cs="Times New Roman" w:eastAsia="Times New Roman" w:hAnsi="Times New Roman"/>
          <w:sz w:val="18"/>
          <w:szCs w:val="18"/>
          <w:b w:val="1"/>
          <w:bCs w:val="1"/>
          <w:color w:val="auto"/>
        </w:rPr>
        <w:t>Section 5.02(D).</w:t>
      </w:r>
    </w:p>
    <w:p>
      <w:pPr>
        <w:spacing w:after="0" w:line="190"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265" w:val="left"/>
        </w:tabs>
        <w:numPr>
          <w:ilvl w:val="0"/>
          <w:numId w:val="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Taxes and Duties. </w:t>
      </w:r>
      <w:r>
        <w:rPr>
          <w:rFonts w:ascii="Times New Roman" w:cs="Times New Roman" w:eastAsia="Times New Roman" w:hAnsi="Times New Roman"/>
          <w:sz w:val="18"/>
          <w:szCs w:val="18"/>
          <w:color w:val="auto"/>
        </w:rPr>
        <w:t>If a Holder Converts a Note, the Company will pay any documentary, stamp or similar issue or transfer tax or duty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the issue or delivery of any shares of Common Stock upon such Conversion;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any tax or duty is due because such Holder requested such shares to be registered in a name other than such Holder’s name, then such Holder will pay such tax or duty and, until having received a sum sufficient to pay such tax or duty, the Conversion Agent may refuse to deliver any such shares to be issued in a name other than that of such Holder.</w:t>
      </w:r>
    </w:p>
    <w:p>
      <w:pPr>
        <w:spacing w:after="0" w:line="179"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273" w:val="left"/>
        </w:tabs>
        <w:numPr>
          <w:ilvl w:val="0"/>
          <w:numId w:val="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Conversion Agent to Notify Company of Conversions. </w:t>
      </w:r>
      <w:r>
        <w:rPr>
          <w:rFonts w:ascii="Times New Roman" w:cs="Times New Roman" w:eastAsia="Times New Roman" w:hAnsi="Times New Roman"/>
          <w:sz w:val="18"/>
          <w:szCs w:val="18"/>
          <w:color w:val="auto"/>
        </w:rPr>
        <w:t>If any Note is submitted for Conversion to the Conversion Agent or the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receives any notice of Conversion with respect to a Note, then the Conversion Agent will promptly notify the Company and the Trustee of such occurrence, together with any other information reasonably requested by the Company, and will cooperate with the Company to determine the Conversion Date for such Note.</w:t>
      </w:r>
    </w:p>
    <w:p>
      <w:pPr>
        <w:spacing w:after="0" w:line="17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5.03</w:t>
      </w:r>
      <w:r>
        <w:rPr>
          <w:sz w:val="20"/>
          <w:szCs w:val="20"/>
          <w:color w:val="auto"/>
        </w:rPr>
        <w:tab/>
      </w:r>
      <w:r>
        <w:rPr>
          <w:rFonts w:ascii="Times New Roman" w:cs="Times New Roman" w:eastAsia="Times New Roman" w:hAnsi="Times New Roman"/>
          <w:sz w:val="17"/>
          <w:szCs w:val="17"/>
          <w:b w:val="1"/>
          <w:bCs w:val="1"/>
          <w:color w:val="auto"/>
        </w:rPr>
        <w:t>SETTLEMENT UPON CONVERSION.</w:t>
      </w:r>
    </w:p>
    <w:p>
      <w:pPr>
        <w:spacing w:after="0" w:line="227" w:lineRule="exact"/>
        <w:rPr>
          <w:sz w:val="20"/>
          <w:szCs w:val="20"/>
          <w:color w:val="auto"/>
        </w:rPr>
      </w:pPr>
    </w:p>
    <w:p>
      <w:pPr>
        <w:jc w:val="both"/>
        <w:ind w:firstLine="656"/>
        <w:spacing w:after="0" w:line="267" w:lineRule="auto"/>
        <w:tabs>
          <w:tab w:leader="none" w:pos="1212" w:val="left"/>
        </w:tabs>
        <w:numPr>
          <w:ilvl w:val="0"/>
          <w:numId w:val="6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Settlement Method. </w:t>
      </w:r>
      <w:r>
        <w:rPr>
          <w:rFonts w:ascii="Times New Roman" w:cs="Times New Roman" w:eastAsia="Times New Roman" w:hAnsi="Times New Roman"/>
          <w:sz w:val="18"/>
          <w:szCs w:val="18"/>
          <w:color w:val="auto"/>
        </w:rPr>
        <w:t>Upon the Conversion of any Note, the Company will settle such Conversion by paying or delivering, as applicable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 provided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either (x) solely cash as provided in </w:t>
      </w:r>
      <w:r>
        <w:rPr>
          <w:rFonts w:ascii="Times New Roman" w:cs="Times New Roman" w:eastAsia="Times New Roman" w:hAnsi="Times New Roman"/>
          <w:sz w:val="18"/>
          <w:szCs w:val="18"/>
          <w:b w:val="1"/>
          <w:bCs w:val="1"/>
          <w:color w:val="auto"/>
        </w:rPr>
        <w:t>Section 5.03(B)(i)(1)</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“Cash Settlement”</w:t>
      </w:r>
      <w:r>
        <w:rPr>
          <w:rFonts w:ascii="Times New Roman" w:cs="Times New Roman" w:eastAsia="Times New Roman" w:hAnsi="Times New Roman"/>
          <w:sz w:val="18"/>
          <w:szCs w:val="18"/>
          <w:color w:val="auto"/>
        </w:rPr>
        <w:t xml:space="preserve">); or (y) a combination of cash and shares of Common Stock, together, if applicable, with cash in lieu of fractional shares as provided in </w:t>
      </w:r>
      <w:r>
        <w:rPr>
          <w:rFonts w:ascii="Times New Roman" w:cs="Times New Roman" w:eastAsia="Times New Roman" w:hAnsi="Times New Roman"/>
          <w:sz w:val="18"/>
          <w:szCs w:val="18"/>
          <w:b w:val="1"/>
          <w:bCs w:val="1"/>
          <w:color w:val="auto"/>
        </w:rPr>
        <w:t>Section 5.03(B)(i)(2)</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“Combination Settlement”</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010000"/>
        </w:rPr>
      </w:pPr>
    </w:p>
    <w:p>
      <w:pPr>
        <w:ind w:left="660" w:firstLine="644"/>
        <w:spacing w:after="0" w:line="284" w:lineRule="auto"/>
        <w:tabs>
          <w:tab w:leader="none" w:pos="187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Company’s Right to Elect Settlement Method. </w:t>
      </w:r>
      <w:r>
        <w:rPr>
          <w:rFonts w:ascii="Times New Roman" w:cs="Times New Roman" w:eastAsia="Times New Roman" w:hAnsi="Times New Roman"/>
          <w:sz w:val="18"/>
          <w:szCs w:val="18"/>
          <w:color w:val="auto"/>
        </w:rPr>
        <w:t>The Company will have the right to elect the Settlement Method applicable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Conversion of a Note;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w:t>
      </w:r>
    </w:p>
    <w:p>
      <w:pPr>
        <w:spacing w:after="0" w:line="156" w:lineRule="exact"/>
        <w:rPr>
          <w:rFonts w:ascii="Times New Roman" w:cs="Times New Roman" w:eastAsia="Times New Roman" w:hAnsi="Times New Roman"/>
          <w:sz w:val="18"/>
          <w:szCs w:val="18"/>
          <w:color w:val="auto"/>
        </w:rPr>
      </w:pPr>
    </w:p>
    <w:p>
      <w:pPr>
        <w:jc w:val="both"/>
        <w:ind w:left="1300" w:firstLine="652"/>
        <w:spacing w:after="0" w:line="268" w:lineRule="auto"/>
        <w:tabs>
          <w:tab w:leader="none" w:pos="2574" w:val="left"/>
        </w:tabs>
        <w:numPr>
          <w:ilvl w:val="2"/>
          <w:numId w:val="6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clause (3)</w:t>
      </w:r>
      <w:r>
        <w:rPr>
          <w:rFonts w:ascii="Times New Roman" w:cs="Times New Roman" w:eastAsia="Times New Roman" w:hAnsi="Times New Roman"/>
          <w:sz w:val="18"/>
          <w:szCs w:val="18"/>
          <w:color w:val="auto"/>
        </w:rPr>
        <w:t xml:space="preserve"> below, all Conversions of Notes with a Conversion Date that occurs on or after March 1, 2030 will be settled using the same Settlement Method, and the Company will send notice of such Settlement Method to Holders no later than the Open of Business on March 1, 2030;</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jc w:val="both"/>
        <w:ind w:left="640" w:firstLine="652"/>
        <w:spacing w:after="0" w:line="268" w:lineRule="auto"/>
        <w:tabs>
          <w:tab w:leader="none" w:pos="1976" w:val="left"/>
        </w:tabs>
        <w:numPr>
          <w:ilvl w:val="0"/>
          <w:numId w:val="6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clause (3)</w:t>
      </w:r>
      <w:r>
        <w:rPr>
          <w:rFonts w:ascii="Times New Roman" w:cs="Times New Roman" w:eastAsia="Times New Roman" w:hAnsi="Times New Roman"/>
          <w:sz w:val="18"/>
          <w:szCs w:val="18"/>
          <w:color w:val="auto"/>
        </w:rPr>
        <w:t xml:space="preserve"> below, if the Company elects a Settlement Method with respect to the Conversion of any Note whose Conversion Date occurs before March 1, 2030, then the Company will send notice of such Settlement Method to the Holder of such Note no later than the Close of Business on the Business Day immediately after such Conversion Date;</w:t>
      </w:r>
    </w:p>
    <w:p>
      <w:pPr>
        <w:spacing w:after="0" w:line="174" w:lineRule="exact"/>
        <w:rPr>
          <w:rFonts w:ascii="Times New Roman" w:cs="Times New Roman" w:eastAsia="Times New Roman" w:hAnsi="Times New Roman"/>
          <w:sz w:val="18"/>
          <w:szCs w:val="18"/>
          <w:color w:val="010000"/>
        </w:rPr>
      </w:pPr>
    </w:p>
    <w:p>
      <w:pPr>
        <w:jc w:val="both"/>
        <w:ind w:left="640" w:firstLine="652"/>
        <w:spacing w:after="0" w:line="255" w:lineRule="auto"/>
        <w:tabs>
          <w:tab w:leader="none" w:pos="2021" w:val="left"/>
        </w:tabs>
        <w:numPr>
          <w:ilvl w:val="0"/>
          <w:numId w:val="6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any Notes are called for Redemption, then (a) the Company will specify, in the related Redemption Notice (and, in the case of a Redemption of less than all outstanding Notes, in a notice simultaneously sent to all Holders of Notes not called for Redemption) sent pursuant to </w:t>
      </w:r>
      <w:r>
        <w:rPr>
          <w:rFonts w:ascii="Times New Roman" w:cs="Times New Roman" w:eastAsia="Times New Roman" w:hAnsi="Times New Roman"/>
          <w:sz w:val="18"/>
          <w:szCs w:val="18"/>
          <w:b w:val="1"/>
          <w:bCs w:val="1"/>
          <w:color w:val="auto"/>
        </w:rPr>
        <w:t>Section 4.03(F)</w:t>
      </w:r>
      <w:r>
        <w:rPr>
          <w:rFonts w:ascii="Times New Roman" w:cs="Times New Roman" w:eastAsia="Times New Roman" w:hAnsi="Times New Roman"/>
          <w:sz w:val="18"/>
          <w:szCs w:val="18"/>
          <w:color w:val="auto"/>
        </w:rPr>
        <w:t xml:space="preserve">, the Settlement Method that will apply to all Conversions of Notes with a Conversion Date that occurs on or after the related Redemption Notice Date and on or before the second (2nd) Business Day before the related Redemption Date; and (b) if such Redemption Date occurs on or after March 1, 2030, then such Settlement Method must be the same Settlement Method that, pursuant to </w:t>
      </w:r>
      <w:r>
        <w:rPr>
          <w:rFonts w:ascii="Times New Roman" w:cs="Times New Roman" w:eastAsia="Times New Roman" w:hAnsi="Times New Roman"/>
          <w:sz w:val="18"/>
          <w:szCs w:val="18"/>
          <w:b w:val="1"/>
          <w:bCs w:val="1"/>
          <w:color w:val="auto"/>
        </w:rPr>
        <w:t>clause (1)</w:t>
      </w:r>
      <w:r>
        <w:rPr>
          <w:rFonts w:ascii="Times New Roman" w:cs="Times New Roman" w:eastAsia="Times New Roman" w:hAnsi="Times New Roman"/>
          <w:sz w:val="18"/>
          <w:szCs w:val="18"/>
          <w:color w:val="auto"/>
        </w:rPr>
        <w:t xml:space="preserve"> above, applies to all Conversions of Notes with a Conversion Date that occurs on or after March 1, 2030;</w:t>
      </w:r>
    </w:p>
    <w:p>
      <w:pPr>
        <w:spacing w:after="0" w:line="188" w:lineRule="exact"/>
        <w:rPr>
          <w:rFonts w:ascii="Times New Roman" w:cs="Times New Roman" w:eastAsia="Times New Roman" w:hAnsi="Times New Roman"/>
          <w:sz w:val="18"/>
          <w:szCs w:val="18"/>
          <w:color w:val="010000"/>
        </w:rPr>
      </w:pPr>
    </w:p>
    <w:p>
      <w:pPr>
        <w:jc w:val="both"/>
        <w:ind w:left="640" w:firstLine="652"/>
        <w:spacing w:after="0" w:line="266" w:lineRule="auto"/>
        <w:tabs>
          <w:tab w:leader="none" w:pos="1932" w:val="left"/>
        </w:tabs>
        <w:numPr>
          <w:ilvl w:val="0"/>
          <w:numId w:val="6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Company will use the same Settlement Method for all Conversions of Notes with the same Conversion Date (and, for the avoidance of doubt, the Company will not be obligated to use the same Settlement Method with respect to Conversions of Notes with different Conversion Dates, except as provided in </w:t>
      </w:r>
      <w:r>
        <w:rPr>
          <w:rFonts w:ascii="Times New Roman" w:cs="Times New Roman" w:eastAsia="Times New Roman" w:hAnsi="Times New Roman"/>
          <w:sz w:val="18"/>
          <w:szCs w:val="18"/>
          <w:b w:val="1"/>
          <w:bCs w:val="1"/>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above);</w:t>
      </w:r>
    </w:p>
    <w:p>
      <w:pPr>
        <w:spacing w:after="0" w:line="175" w:lineRule="exact"/>
        <w:rPr>
          <w:rFonts w:ascii="Times New Roman" w:cs="Times New Roman" w:eastAsia="Times New Roman" w:hAnsi="Times New Roman"/>
          <w:sz w:val="18"/>
          <w:szCs w:val="18"/>
          <w:color w:val="010000"/>
        </w:rPr>
      </w:pPr>
    </w:p>
    <w:p>
      <w:pPr>
        <w:jc w:val="both"/>
        <w:ind w:left="640" w:firstLine="652"/>
        <w:spacing w:after="0" w:line="266" w:lineRule="auto"/>
        <w:tabs>
          <w:tab w:leader="none" w:pos="1931" w:val="left"/>
        </w:tabs>
        <w:numPr>
          <w:ilvl w:val="0"/>
          <w:numId w:val="6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Company does not timely elect a Settlement Method with respect to the Conversion of a Note, then the Company will be deemed to have elected the Default Settlement Method (and, for the avoidance of doubt, the failure to timely make such election will not constitute a Default or Event of Default); and</w:t>
      </w:r>
    </w:p>
    <w:p>
      <w:pPr>
        <w:spacing w:after="0" w:line="175" w:lineRule="exact"/>
        <w:rPr>
          <w:rFonts w:ascii="Times New Roman" w:cs="Times New Roman" w:eastAsia="Times New Roman" w:hAnsi="Times New Roman"/>
          <w:sz w:val="18"/>
          <w:szCs w:val="18"/>
          <w:color w:val="010000"/>
        </w:rPr>
      </w:pPr>
    </w:p>
    <w:p>
      <w:pPr>
        <w:jc w:val="both"/>
        <w:ind w:left="640" w:firstLine="652"/>
        <w:spacing w:after="0" w:line="261" w:lineRule="auto"/>
        <w:tabs>
          <w:tab w:leader="none" w:pos="1990" w:val="left"/>
        </w:tabs>
        <w:numPr>
          <w:ilvl w:val="0"/>
          <w:numId w:val="6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Company timely elects Combination Settlement with respect to the Conversion of a Note but does not timely notify the Holder of such Note of the applicable Specified Dollar Amount, then the Specified Dollar Amount for such Conversion will be deemed to be $1,000 per $1,000 principal amount of Notes (and, for the avoidance of doubt, the failure to timely send such notification will not constitute a Default or Event of Default).</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or before the time the Company sends any notice referred to in the preceding sentence, the Company will send a copy of such notice to the Trustee and the Conversion Agent, but the failure to timely send such copy will not affect the validity of any Settlement Method election.</w:t>
      </w:r>
    </w:p>
    <w:p>
      <w:pPr>
        <w:spacing w:after="0" w:line="160" w:lineRule="exact"/>
        <w:rPr>
          <w:sz w:val="20"/>
          <w:szCs w:val="20"/>
          <w:color w:val="auto"/>
        </w:rPr>
      </w:pPr>
    </w:p>
    <w:p>
      <w:pPr>
        <w:jc w:val="both"/>
        <w:ind w:firstLine="644"/>
        <w:spacing w:after="0" w:line="268" w:lineRule="auto"/>
        <w:tabs>
          <w:tab w:leader="none" w:pos="1354"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The Company’s Right to Irrevocably Fix or Eliminate Settlement Methods. </w:t>
      </w:r>
      <w:r>
        <w:rPr>
          <w:rFonts w:ascii="Times New Roman" w:cs="Times New Roman" w:eastAsia="Times New Roman" w:hAnsi="Times New Roman"/>
          <w:sz w:val="17"/>
          <w:szCs w:val="17"/>
          <w:color w:val="auto"/>
        </w:rPr>
        <w:t>The Company will have the right, exercisable at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election by sending notice of such exercise to the Holders (with a copy to the Trustee and the Conversion Agent), to (1) irrevocably fix the Settlement Method that will apply to all Conversions of Notes with a Conversion Date that occurs on or after the date such notice is sent to Holders; or (2) irrevocably eliminate any one or more (but not all) Settlement Methods (including eliminating Combination Settlement with a particular Specified Dollar Amount or range of Specified Dollar Amounts) with respect to all Conversions of Notes with a Conversion Date that occurs on or after the date such notice is sent to Holders,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in each case, that (v) in no event will the Company elect (whether directly or by eliminating all other Settlement Methods) Combination Settlement with a Specified Dollar Amount that is less than $1,000 per $1,000 principal amount of Notes; (w) the Settlement Method so elected pursuant to </w:t>
      </w:r>
      <w:r>
        <w:rPr>
          <w:rFonts w:ascii="Times New Roman" w:cs="Times New Roman" w:eastAsia="Times New Roman" w:hAnsi="Times New Roman"/>
          <w:sz w:val="17"/>
          <w:szCs w:val="17"/>
          <w:b w:val="1"/>
          <w:bCs w:val="1"/>
          <w:color w:val="auto"/>
        </w:rPr>
        <w:t>clause (1)</w:t>
      </w:r>
      <w:r>
        <w:rPr>
          <w:rFonts w:ascii="Times New Roman" w:cs="Times New Roman" w:eastAsia="Times New Roman" w:hAnsi="Times New Roman"/>
          <w:sz w:val="17"/>
          <w:szCs w:val="17"/>
          <w:color w:val="auto"/>
        </w:rPr>
        <w:t xml:space="preserve"> above, or the Settlement Method(s) remaining after any elimination pursuant to </w:t>
      </w:r>
      <w:r>
        <w:rPr>
          <w:rFonts w:ascii="Times New Roman" w:cs="Times New Roman" w:eastAsia="Times New Roman" w:hAnsi="Times New Roman"/>
          <w:sz w:val="17"/>
          <w:szCs w:val="17"/>
          <w:b w:val="1"/>
          <w:bCs w:val="1"/>
          <w:color w:val="auto"/>
        </w:rPr>
        <w:t>clause (2)</w:t>
      </w:r>
      <w:r>
        <w:rPr>
          <w:rFonts w:ascii="Times New Roman" w:cs="Times New Roman" w:eastAsia="Times New Roman" w:hAnsi="Times New Roman"/>
          <w:sz w:val="17"/>
          <w:szCs w:val="17"/>
          <w:color w:val="auto"/>
        </w:rPr>
        <w:t xml:space="preserve"> above, as applicable, must be a Settlement Method or Settlement Method(s), as applicable, that the Company is then permitted to elect (for the avoidance of doubt, including pursuant to, and subject to, the other provisions of this </w:t>
      </w:r>
      <w:r>
        <w:rPr>
          <w:rFonts w:ascii="Times New Roman" w:cs="Times New Roman" w:eastAsia="Times New Roman" w:hAnsi="Times New Roman"/>
          <w:sz w:val="17"/>
          <w:szCs w:val="17"/>
          <w:b w:val="1"/>
          <w:bCs w:val="1"/>
          <w:color w:val="auto"/>
        </w:rPr>
        <w:t>Section 5.03(A)</w:t>
      </w:r>
      <w:r>
        <w:rPr>
          <w:rFonts w:ascii="Times New Roman" w:cs="Times New Roman" w:eastAsia="Times New Roman" w:hAnsi="Times New Roman"/>
          <w:sz w:val="17"/>
          <w:szCs w:val="17"/>
          <w:color w:val="auto"/>
        </w:rPr>
        <w:t xml:space="preserve">); (x) no such irrevocable election will affect any Settlement Method theretofore elected (or deemed to be elected) with respect to any Note pursuant to this Indenture (including pursuant to </w:t>
      </w:r>
      <w:r>
        <w:rPr>
          <w:rFonts w:ascii="Times New Roman" w:cs="Times New Roman" w:eastAsia="Times New Roman" w:hAnsi="Times New Roman"/>
          <w:sz w:val="17"/>
          <w:szCs w:val="17"/>
          <w:b w:val="1"/>
          <w:bCs w:val="1"/>
          <w:color w:val="auto"/>
        </w:rPr>
        <w:t>Section 8.01(G)</w:t>
      </w:r>
      <w:r>
        <w:rPr>
          <w:rFonts w:ascii="Times New Roman" w:cs="Times New Roman" w:eastAsia="Times New Roman" w:hAnsi="Times New Roman"/>
          <w:sz w:val="17"/>
          <w:szCs w:val="17"/>
          <w:color w:val="auto"/>
        </w:rPr>
        <w:t xml:space="preserve"> or this </w:t>
      </w:r>
      <w:r>
        <w:rPr>
          <w:rFonts w:ascii="Times New Roman" w:cs="Times New Roman" w:eastAsia="Times New Roman" w:hAnsi="Times New Roman"/>
          <w:sz w:val="17"/>
          <w:szCs w:val="17"/>
          <w:b w:val="1"/>
          <w:bCs w:val="1"/>
          <w:color w:val="auto"/>
        </w:rPr>
        <w:t>Section 5.03(A)</w:t>
      </w:r>
      <w:r>
        <w:rPr>
          <w:rFonts w:ascii="Times New Roman" w:cs="Times New Roman" w:eastAsia="Times New Roman" w:hAnsi="Times New Roman"/>
          <w:sz w:val="17"/>
          <w:szCs w:val="17"/>
          <w:color w:val="auto"/>
        </w:rPr>
        <w:t xml:space="preserve">); (y) upon any such irrevocable election pursuant to </w:t>
      </w:r>
      <w:r>
        <w:rPr>
          <w:rFonts w:ascii="Times New Roman" w:cs="Times New Roman" w:eastAsia="Times New Roman" w:hAnsi="Times New Roman"/>
          <w:sz w:val="17"/>
          <w:szCs w:val="17"/>
          <w:b w:val="1"/>
          <w:bCs w:val="1"/>
          <w:color w:val="auto"/>
        </w:rPr>
        <w:t>clause (1)</w:t>
      </w:r>
      <w:r>
        <w:rPr>
          <w:rFonts w:ascii="Times New Roman" w:cs="Times New Roman" w:eastAsia="Times New Roman" w:hAnsi="Times New Roman"/>
          <w:sz w:val="17"/>
          <w:szCs w:val="17"/>
          <w:color w:val="auto"/>
        </w:rPr>
        <w:t xml:space="preserve"> above, the Default Settlement Method will automatically be deemed to be set to the Settlement Method so fixed; and (z) upon any such irrevocable election pursuant to </w:t>
      </w:r>
      <w:r>
        <w:rPr>
          <w:rFonts w:ascii="Times New Roman" w:cs="Times New Roman" w:eastAsia="Times New Roman" w:hAnsi="Times New Roman"/>
          <w:sz w:val="17"/>
          <w:szCs w:val="17"/>
          <w:b w:val="1"/>
          <w:bCs w:val="1"/>
          <w:color w:val="auto"/>
        </w:rPr>
        <w:t>clause (2)</w:t>
      </w:r>
      <w:r>
        <w:rPr>
          <w:rFonts w:ascii="Times New Roman" w:cs="Times New Roman" w:eastAsia="Times New Roman" w:hAnsi="Times New Roman"/>
          <w:sz w:val="17"/>
          <w:szCs w:val="17"/>
          <w:color w:val="auto"/>
        </w:rPr>
        <w:t xml:space="preserve"> above, the Company will, if needed, simultaneously change the Default Settlement Method to a Settlement Method that is consistent with such irrevocable election. Such notice, if sent, must set forth the applicable Settlement Method(s) so elected or eliminated, as applicable, and the Default Settlement Method applicable immediately after such election, and expressly state that the election is irrevocable and applicable to all Conversions of Notes with a Conversion Date that occurs on or after the date such notice is sent to Holders. For the avoidance of doubt, such an irrevocable election, if made, will be effective without the need to amend this Indenture or the Notes, including pursuant to </w:t>
      </w:r>
      <w:r>
        <w:rPr>
          <w:rFonts w:ascii="Times New Roman" w:cs="Times New Roman" w:eastAsia="Times New Roman" w:hAnsi="Times New Roman"/>
          <w:sz w:val="17"/>
          <w:szCs w:val="17"/>
          <w:b w:val="1"/>
          <w:bCs w:val="1"/>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8.01(G) </w:t>
      </w:r>
      <w:r>
        <w:rPr>
          <w:rFonts w:ascii="Times New Roman" w:cs="Times New Roman" w:eastAsia="Times New Roman" w:hAnsi="Times New Roman"/>
          <w:sz w:val="17"/>
          <w:szCs w:val="17"/>
          <w:color w:val="auto"/>
        </w:rPr>
        <w:t>(it being understood, however, that the Company may nonetheless choose to execute such an amendment at its option).</w:t>
      </w:r>
    </w:p>
    <w:p>
      <w:pPr>
        <w:spacing w:after="0" w:line="200" w:lineRule="exact"/>
        <w:rPr>
          <w:sz w:val="20"/>
          <w:szCs w:val="20"/>
          <w:color w:val="auto"/>
        </w:rPr>
      </w:pPr>
    </w:p>
    <w:p>
      <w:pPr>
        <w:spacing w:after="0" w:line="36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45" w:name="page46"/>
    <w:bookmarkEnd w:id="45"/>
    <w:p>
      <w:pPr>
        <w:jc w:val="both"/>
        <w:ind w:left="660" w:firstLine="644"/>
        <w:spacing w:after="0" w:line="258" w:lineRule="auto"/>
        <w:tabs>
          <w:tab w:leader="none" w:pos="205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Requirement to Publicly Disclose the Fixed or Default Settlement Method. </w:t>
      </w:r>
      <w:r>
        <w:rPr>
          <w:rFonts w:ascii="Times New Roman" w:cs="Times New Roman" w:eastAsia="Times New Roman" w:hAnsi="Times New Roman"/>
          <w:sz w:val="18"/>
          <w:szCs w:val="18"/>
          <w:color w:val="auto"/>
        </w:rPr>
        <w:t>If the Company changes the Default Settlement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Method pursuant to </w:t>
      </w:r>
      <w:r>
        <w:rPr>
          <w:rFonts w:ascii="Times New Roman" w:cs="Times New Roman" w:eastAsia="Times New Roman" w:hAnsi="Times New Roman"/>
          <w:sz w:val="18"/>
          <w:szCs w:val="18"/>
          <w:b w:val="1"/>
          <w:bCs w:val="1"/>
          <w:color w:val="auto"/>
        </w:rPr>
        <w:t>clause (x)</w:t>
      </w:r>
      <w:r>
        <w:rPr>
          <w:rFonts w:ascii="Times New Roman" w:cs="Times New Roman" w:eastAsia="Times New Roman" w:hAnsi="Times New Roman"/>
          <w:sz w:val="18"/>
          <w:szCs w:val="18"/>
          <w:color w:val="auto"/>
        </w:rPr>
        <w:t xml:space="preserve"> of the proviso to the definition of such term or irrevocably fixes the Settlement Method(s) pursuant to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5.03(A)(ii)</w:t>
      </w:r>
      <w:r>
        <w:rPr>
          <w:rFonts w:ascii="Times New Roman" w:cs="Times New Roman" w:eastAsia="Times New Roman" w:hAnsi="Times New Roman"/>
          <w:sz w:val="18"/>
          <w:szCs w:val="18"/>
          <w:color w:val="auto"/>
        </w:rPr>
        <w:t>, then the Company will, substantially concurrently therewith, either post the Default Settlement Method or fixed Settlement Method(s),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applicable, on its website or disclose the same in a Current Report on Form 8-K (or any successor form) that is filed with, or furnished to, the SEC.</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Conversion Consideration</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010000"/>
        </w:rPr>
      </w:pPr>
    </w:p>
    <w:p>
      <w:pPr>
        <w:ind w:left="660" w:firstLine="644"/>
        <w:spacing w:after="0" w:line="286" w:lineRule="auto"/>
        <w:tabs>
          <w:tab w:leader="none" w:pos="1842"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Sections 5.03(B)(ii)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5.03(B)(iii)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5.09(A)(2)</w:t>
      </w:r>
      <w:r>
        <w:rPr>
          <w:rFonts w:ascii="Times New Roman" w:cs="Times New Roman" w:eastAsia="Times New Roman" w:hAnsi="Times New Roman"/>
          <w:sz w:val="18"/>
          <w:szCs w:val="18"/>
          <w:color w:val="auto"/>
        </w:rPr>
        <w:t>, the type and amount of consideration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due in respect of each $1,000 principal amount of a Note to be Converted will be as follows:</w:t>
      </w:r>
    </w:p>
    <w:p>
      <w:pPr>
        <w:spacing w:after="0" w:line="158" w:lineRule="exact"/>
        <w:rPr>
          <w:rFonts w:ascii="Times New Roman" w:cs="Times New Roman" w:eastAsia="Times New Roman" w:hAnsi="Times New Roman"/>
          <w:sz w:val="18"/>
          <w:szCs w:val="18"/>
          <w:color w:val="auto"/>
        </w:rPr>
      </w:pPr>
    </w:p>
    <w:p>
      <w:pPr>
        <w:ind w:left="1300" w:firstLine="652"/>
        <w:spacing w:after="0" w:line="282" w:lineRule="auto"/>
        <w:tabs>
          <w:tab w:leader="none" w:pos="2577" w:val="left"/>
        </w:tabs>
        <w:numPr>
          <w:ilvl w:val="2"/>
          <w:numId w:val="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Cash Settlement applies to such Conversion, cash in an amount equal to the sum of the Daily Conversion Values for each VWAP Trading Day in the Observation Period for such Conversion; or</w:t>
      </w:r>
    </w:p>
    <w:p>
      <w:pPr>
        <w:spacing w:after="0" w:line="161" w:lineRule="exact"/>
        <w:rPr>
          <w:rFonts w:ascii="Times New Roman" w:cs="Times New Roman" w:eastAsia="Times New Roman" w:hAnsi="Times New Roman"/>
          <w:sz w:val="18"/>
          <w:szCs w:val="18"/>
          <w:color w:val="010000"/>
        </w:rPr>
      </w:pPr>
    </w:p>
    <w:p>
      <w:pPr>
        <w:jc w:val="both"/>
        <w:ind w:left="1300" w:firstLine="652"/>
        <w:spacing w:after="0" w:line="266" w:lineRule="auto"/>
        <w:tabs>
          <w:tab w:leader="none" w:pos="2627" w:val="left"/>
        </w:tabs>
        <w:numPr>
          <w:ilvl w:val="2"/>
          <w:numId w:val="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Combination Settlement applies to such Conversion, consideration consisting of (a) a number of shares of Common Stock equal to the sum of the Daily Share Amounts for each VWAP Trading Day in the Observation Period for such Conversion; and (b) an amount of cash equal to the sum of the Daily Cash Amounts for each VWAP Trading Day in such Observation Period.</w:t>
      </w:r>
    </w:p>
    <w:p>
      <w:pPr>
        <w:spacing w:after="0" w:line="173" w:lineRule="exact"/>
        <w:rPr>
          <w:rFonts w:ascii="Times New Roman" w:cs="Times New Roman" w:eastAsia="Times New Roman" w:hAnsi="Times New Roman"/>
          <w:sz w:val="18"/>
          <w:szCs w:val="18"/>
          <w:color w:val="010000"/>
        </w:rPr>
      </w:pPr>
    </w:p>
    <w:p>
      <w:pPr>
        <w:jc w:val="both"/>
        <w:ind w:left="660" w:firstLine="644"/>
        <w:spacing w:after="0" w:line="258" w:lineRule="auto"/>
        <w:tabs>
          <w:tab w:leader="none" w:pos="193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in Lieu of Fractional Shares. </w:t>
      </w:r>
      <w:r>
        <w:rPr>
          <w:rFonts w:ascii="Times New Roman" w:cs="Times New Roman" w:eastAsia="Times New Roman" w:hAnsi="Times New Roman"/>
          <w:sz w:val="18"/>
          <w:szCs w:val="18"/>
          <w:color w:val="auto"/>
        </w:rPr>
        <w:t>If Combination Settlement applies to the Conversion of any Note and the number of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Common Stock deliverable pursuant to </w:t>
      </w:r>
      <w:r>
        <w:rPr>
          <w:rFonts w:ascii="Times New Roman" w:cs="Times New Roman" w:eastAsia="Times New Roman" w:hAnsi="Times New Roman"/>
          <w:sz w:val="18"/>
          <w:szCs w:val="18"/>
          <w:b w:val="1"/>
          <w:bCs w:val="1"/>
          <w:color w:val="auto"/>
        </w:rPr>
        <w:t>Section 5.03(B)(i)</w:t>
      </w:r>
      <w:r>
        <w:rPr>
          <w:rFonts w:ascii="Times New Roman" w:cs="Times New Roman" w:eastAsia="Times New Roman" w:hAnsi="Times New Roman"/>
          <w:sz w:val="18"/>
          <w:szCs w:val="18"/>
          <w:color w:val="auto"/>
        </w:rPr>
        <w:t xml:space="preserve"> upon such Conversion is not a whole number, then such number will be rounded down to the nearest whole number and the Company will deliver, in addition to the other consideration due upon such Conversion, cash in lieu of the related fractional share in an amount equal to the product of (1) such fraction and (2) the Daily VWAP on the last VWAP Trading Day of the Observation Period for such Conversion.</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7" w:lineRule="auto"/>
        <w:tabs>
          <w:tab w:leader="none" w:pos="190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Conversion of Multiple Notes by a Single Holder. </w:t>
      </w:r>
      <w:r>
        <w:rPr>
          <w:rFonts w:ascii="Times New Roman" w:cs="Times New Roman" w:eastAsia="Times New Roman" w:hAnsi="Times New Roman"/>
          <w:sz w:val="18"/>
          <w:szCs w:val="18"/>
          <w:color w:val="auto"/>
        </w:rPr>
        <w:t>If a Holder Converts more than one (1) Note on a single Conversion Date,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Conversion Consideration due in respect of such Conversion will (in the case of any Global Note, to the extent permitted by, and practicable under, the Depositary Procedures) be computed based on the total principal amount of Notes Converted on such Conversion Date by such Holder.</w:t>
      </w:r>
    </w:p>
    <w:p>
      <w:pPr>
        <w:spacing w:after="0" w:line="17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5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of Calculation of Conversion Consideration. </w:t>
      </w:r>
      <w:r>
        <w:rPr>
          <w:rFonts w:ascii="Times New Roman" w:cs="Times New Roman" w:eastAsia="Times New Roman" w:hAnsi="Times New Roman"/>
          <w:sz w:val="18"/>
          <w:szCs w:val="18"/>
          <w:color w:val="auto"/>
        </w:rPr>
        <w:t>If any Note is to be Converted, then the Company will determine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Consideration due thereupon promptly following the last VWAP Trading Day of the applicable Observation Period and will promptly thereafter send notice to the Trustee and the Conversion Agent of the same and the calculation thereof in reasonable detail. Neither the Trustee nor the Conversion Agent will have any duty to make any such determination.</w:t>
      </w:r>
    </w:p>
    <w:p>
      <w:pPr>
        <w:spacing w:after="0" w:line="177" w:lineRule="exact"/>
        <w:rPr>
          <w:rFonts w:ascii="Times New Roman" w:cs="Times New Roman" w:eastAsia="Times New Roman" w:hAnsi="Times New Roman"/>
          <w:sz w:val="18"/>
          <w:szCs w:val="18"/>
          <w:color w:val="auto"/>
        </w:rPr>
      </w:pPr>
    </w:p>
    <w:p>
      <w:pPr>
        <w:jc w:val="both"/>
        <w:ind w:firstLine="656"/>
        <w:spacing w:after="0" w:line="268" w:lineRule="auto"/>
        <w:tabs>
          <w:tab w:leader="none" w:pos="1405" w:val="left"/>
        </w:tabs>
        <w:numPr>
          <w:ilvl w:val="0"/>
          <w:numId w:val="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Delivery of the Conversion Consideration. </w:t>
      </w:r>
      <w:r>
        <w:rPr>
          <w:rFonts w:ascii="Times New Roman" w:cs="Times New Roman" w:eastAsia="Times New Roman" w:hAnsi="Times New Roman"/>
          <w:sz w:val="18"/>
          <w:szCs w:val="18"/>
          <w:color w:val="auto"/>
        </w:rPr>
        <w:t>Except as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Sections 5.05(D)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will pay or deliver,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the Conversion Consideration due upon the Conversion of any Note to the Holder on the second (2nd) Business Day immediately after the last VWAP Trading Day of the Observation Period for such Conversion.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jc w:val="both"/>
        <w:ind w:firstLine="656"/>
        <w:spacing w:after="0" w:line="256" w:lineRule="auto"/>
        <w:tabs>
          <w:tab w:leader="none" w:pos="1226" w:val="left"/>
        </w:tabs>
        <w:numPr>
          <w:ilvl w:val="0"/>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Deemed Payment of Principal and Interest; Settlement of Accrued Interest Notwithstanding Conversion. </w:t>
      </w:r>
      <w:r>
        <w:rPr>
          <w:rFonts w:ascii="Times New Roman" w:cs="Times New Roman" w:eastAsia="Times New Roman" w:hAnsi="Times New Roman"/>
          <w:sz w:val="18"/>
          <w:szCs w:val="18"/>
          <w:color w:val="auto"/>
        </w:rPr>
        <w:t>If a Holder Converts a Note,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 will not adjust the Conversion Rate to account for any accrued and unpaid interest on such Note, and, except as provided in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5.02(D)</w:t>
      </w:r>
      <w:r>
        <w:rPr>
          <w:rFonts w:ascii="Times New Roman" w:cs="Times New Roman" w:eastAsia="Times New Roman" w:hAnsi="Times New Roman"/>
          <w:sz w:val="18"/>
          <w:szCs w:val="18"/>
          <w:color w:val="auto"/>
        </w:rPr>
        <w:t>, the Company’s delivery of the Conversion Consideration due in respect of such Conversion will be deemed to fully satisfy and discharge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Company’s obligation to pay the principal of, and accrued and unpaid interest, if any, on, such Note to, but excluding the Conversion Date. As a result, except as provided in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any accrued and unpaid interest on a Converted Note will be deemed to be paid in full rather than cancelled, extinguished or forfeited. In addition, subject to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if the Conversion Consideration for a Note consists of both cash and shares of Common Stock, then accrued and unpaid interest that is deemed to be paid therewith will be deemed to be paid first out of such cash.</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5.04</w:t>
      </w:r>
      <w:r>
        <w:rPr>
          <w:sz w:val="20"/>
          <w:szCs w:val="20"/>
          <w:color w:val="auto"/>
        </w:rPr>
        <w:tab/>
      </w:r>
      <w:r>
        <w:rPr>
          <w:rFonts w:ascii="Times New Roman" w:cs="Times New Roman" w:eastAsia="Times New Roman" w:hAnsi="Times New Roman"/>
          <w:sz w:val="17"/>
          <w:szCs w:val="17"/>
          <w:b w:val="1"/>
          <w:bCs w:val="1"/>
          <w:color w:val="auto"/>
        </w:rPr>
        <w:t>RESERVE AND STATUS OF COMMON STOCK ISSUED UPON CONVERSION.</w:t>
      </w:r>
    </w:p>
    <w:p>
      <w:pPr>
        <w:spacing w:after="0" w:line="227" w:lineRule="exact"/>
        <w:rPr>
          <w:sz w:val="20"/>
          <w:szCs w:val="20"/>
          <w:color w:val="auto"/>
        </w:rPr>
      </w:pPr>
    </w:p>
    <w:p>
      <w:pPr>
        <w:jc w:val="both"/>
        <w:ind w:firstLine="656"/>
        <w:spacing w:after="0" w:line="257" w:lineRule="auto"/>
        <w:tabs>
          <w:tab w:leader="none" w:pos="1258" w:val="left"/>
        </w:tabs>
        <w:numPr>
          <w:ilvl w:val="0"/>
          <w:numId w:val="7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Stock Reserve. </w:t>
      </w:r>
      <w:r>
        <w:rPr>
          <w:rFonts w:ascii="Times New Roman" w:cs="Times New Roman" w:eastAsia="Times New Roman" w:hAnsi="Times New Roman"/>
          <w:sz w:val="18"/>
          <w:szCs w:val="18"/>
          <w:color w:val="auto"/>
        </w:rPr>
        <w:t>At all times when any Notes are outstanding, the Company will reserve (out of its authorized and not outstanding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Common Stock that are not reserved for other purposes) a number of shares of Common Stock equal to the product of (i) the aggregate principal amount (expressed in thousands) of all then-outstanding Notes; and (ii) the Conversion Rate then in effect (assuming, for these purposes, that the Conversion Rate is increased by the maximum amount pursuant to which the Conversion Rate may be increased pursuant to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xml:space="preserve">). To the extent the Company delivers shares of Common Stock held in its treasury in settlement of the Conversion of any Notes, each reference in this Indenture or the Notes to the issuance of shares of Common Stock in connection therewith will be deemed to include such delivery, </w:t>
      </w:r>
      <w:r>
        <w:rPr>
          <w:rFonts w:ascii="Times New Roman" w:cs="Times New Roman" w:eastAsia="Times New Roman" w:hAnsi="Times New Roman"/>
          <w:sz w:val="18"/>
          <w:szCs w:val="18"/>
          <w:i w:val="1"/>
          <w:iCs w:val="1"/>
          <w:color w:val="auto"/>
        </w:rPr>
        <w:t>mutatis mutandis.</w:t>
      </w:r>
    </w:p>
    <w:p>
      <w:pPr>
        <w:spacing w:after="0" w:line="182" w:lineRule="exact"/>
        <w:rPr>
          <w:rFonts w:ascii="Times New Roman" w:cs="Times New Roman" w:eastAsia="Times New Roman" w:hAnsi="Times New Roman"/>
          <w:sz w:val="18"/>
          <w:szCs w:val="18"/>
          <w:color w:val="010000"/>
        </w:rPr>
      </w:pPr>
    </w:p>
    <w:p>
      <w:pPr>
        <w:jc w:val="both"/>
        <w:ind w:firstLine="656"/>
        <w:spacing w:after="0" w:line="256" w:lineRule="auto"/>
        <w:tabs>
          <w:tab w:leader="none" w:pos="1329" w:val="left"/>
        </w:tabs>
        <w:numPr>
          <w:ilvl w:val="0"/>
          <w:numId w:val="7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Status of Conversion Shares; Listing. </w:t>
      </w:r>
      <w:r>
        <w:rPr>
          <w:rFonts w:ascii="Times New Roman" w:cs="Times New Roman" w:eastAsia="Times New Roman" w:hAnsi="Times New Roman"/>
          <w:sz w:val="18"/>
          <w:szCs w:val="18"/>
          <w:color w:val="auto"/>
        </w:rPr>
        <w:t>Each Conversion Share, if any, delivered upon Conversion of any Note will be a newly issued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treasury share (except that any Conversion Share delivered by a designated financial institution pursuant to </w:t>
      </w:r>
      <w:r>
        <w:rPr>
          <w:rFonts w:ascii="Times New Roman" w:cs="Times New Roman" w:eastAsia="Times New Roman" w:hAnsi="Times New Roman"/>
          <w:sz w:val="18"/>
          <w:szCs w:val="18"/>
          <w:b w:val="1"/>
          <w:bCs w:val="1"/>
          <w:color w:val="auto"/>
        </w:rPr>
        <w:t>Section 5.08</w:t>
      </w:r>
      <w:r>
        <w:rPr>
          <w:rFonts w:ascii="Times New Roman" w:cs="Times New Roman" w:eastAsia="Times New Roman" w:hAnsi="Times New Roman"/>
          <w:sz w:val="18"/>
          <w:szCs w:val="18"/>
          <w:color w:val="auto"/>
        </w:rPr>
        <w:t xml:space="preserve"> need not be a newly issued or treasury share) and will be duly authorized, validly issued, fully paid, non-assessable, free from preemptive rights and free of any lien or adverse claim (except to the extent of any lien or adverse claim created by the action or inaction of the Holder of such Note or the Person to whom such Conversion Share will be delivered). If the Common Stock is then listed on any securities exchange, or quoted on any inter-dealer quotation system, then the Company will use commercially reasonable efforts to cause each Conversion Share, when delivered upon Conversion of any Note, to be admitted for listing on such exchange or quotation on such system.</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5.05</w:t>
      </w:r>
      <w:r>
        <w:rPr>
          <w:sz w:val="20"/>
          <w:szCs w:val="20"/>
          <w:color w:val="auto"/>
        </w:rPr>
        <w:tab/>
      </w:r>
      <w:r>
        <w:rPr>
          <w:rFonts w:ascii="Times New Roman" w:cs="Times New Roman" w:eastAsia="Times New Roman" w:hAnsi="Times New Roman"/>
          <w:sz w:val="17"/>
          <w:szCs w:val="17"/>
          <w:b w:val="1"/>
          <w:bCs w:val="1"/>
          <w:color w:val="auto"/>
        </w:rPr>
        <w:t>ADJUSTMENTS TO THE CONVERSION RATE.</w:t>
      </w:r>
    </w:p>
    <w:p>
      <w:pPr>
        <w:spacing w:after="0" w:line="227" w:lineRule="exact"/>
        <w:rPr>
          <w:sz w:val="20"/>
          <w:szCs w:val="20"/>
          <w:color w:val="auto"/>
        </w:rPr>
      </w:pPr>
    </w:p>
    <w:p>
      <w:pPr>
        <w:ind w:left="1320" w:hanging="664"/>
        <w:spacing w:after="0"/>
        <w:tabs>
          <w:tab w:leader="none" w:pos="1320"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Events Requiring an Adjustment to the Conversion Rate. </w:t>
      </w:r>
      <w:r>
        <w:rPr>
          <w:rFonts w:ascii="Times New Roman" w:cs="Times New Roman" w:eastAsia="Times New Roman" w:hAnsi="Times New Roman"/>
          <w:sz w:val="18"/>
          <w:szCs w:val="18"/>
          <w:color w:val="auto"/>
        </w:rPr>
        <w:t>The Conversion Rate will be adjusted from time to time as follows:</w:t>
      </w:r>
    </w:p>
    <w:p>
      <w:pPr>
        <w:spacing w:after="0" w:line="225" w:lineRule="exact"/>
        <w:rPr>
          <w:rFonts w:ascii="Times New Roman" w:cs="Times New Roman" w:eastAsia="Times New Roman" w:hAnsi="Times New Roman"/>
          <w:sz w:val="18"/>
          <w:szCs w:val="18"/>
          <w:color w:val="010000"/>
        </w:rPr>
      </w:pPr>
    </w:p>
    <w:p>
      <w:pPr>
        <w:jc w:val="both"/>
        <w:ind w:left="660" w:firstLine="644"/>
        <w:spacing w:after="0" w:line="261" w:lineRule="auto"/>
        <w:tabs>
          <w:tab w:leader="none" w:pos="199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Dividends, Splits and Combinations. </w:t>
      </w:r>
      <w:r>
        <w:rPr>
          <w:rFonts w:ascii="Times New Roman" w:cs="Times New Roman" w:eastAsia="Times New Roman" w:hAnsi="Times New Roman"/>
          <w:sz w:val="18"/>
          <w:szCs w:val="18"/>
          <w:color w:val="auto"/>
        </w:rPr>
        <w:t>If the Company issues solely shares of Common Stock as a dividend or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all or substantially all shares of the Common Stock, or if the Company effects a stock split or a stock combination of the Common Stock (in each case excluding an issuance solely pursuant to a Common Stock Change Event, as to which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will apply), then the Conversion Rate will be adjusted based on the following formula: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386"/>
        </w:trPr>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40" w:type="dxa"/>
            <w:vAlign w:val="bottom"/>
            <w:vMerge w:val="restart"/>
          </w:tcPr>
          <w:p>
            <w:pPr>
              <w:ind w:left="3100"/>
              <w:spacing w:after="0"/>
              <w:rPr>
                <w:sz w:val="20"/>
                <w:szCs w:val="20"/>
                <w:color w:val="auto"/>
              </w:rPr>
            </w:pPr>
            <w:r>
              <w:rPr>
                <w:rFonts w:ascii="Times New Roman" w:cs="Times New Roman" w:eastAsia="Times New Roman" w:hAnsi="Times New Roman"/>
                <w:sz w:val="18"/>
                <w:szCs w:val="18"/>
                <w:i w:val="1"/>
                <w:iCs w:val="1"/>
                <w:color w:val="auto"/>
                <w:w w:val="96"/>
              </w:rPr>
              <w:t>CR</w:t>
            </w:r>
            <w:r>
              <w:rPr>
                <w:rFonts w:ascii="Times New Roman" w:cs="Times New Roman" w:eastAsia="Times New Roman" w:hAnsi="Times New Roman"/>
                <w:sz w:val="29"/>
                <w:szCs w:val="29"/>
                <w:i w:val="1"/>
                <w:iCs w:val="1"/>
                <w:color w:val="auto"/>
                <w:w w:val="96"/>
                <w:vertAlign w:val="subscript"/>
              </w:rPr>
              <w:t>1</w:t>
            </w:r>
            <w:r>
              <w:rPr>
                <w:rFonts w:ascii="Times New Roman" w:cs="Times New Roman" w:eastAsia="Times New Roman" w:hAnsi="Times New Roman"/>
                <w:sz w:val="18"/>
                <w:szCs w:val="18"/>
                <w:i w:val="1"/>
                <w:iCs w:val="1"/>
                <w:color w:val="auto"/>
                <w:w w:val="96"/>
              </w:rPr>
              <w:t xml:space="preserve"> </w:t>
            </w:r>
            <w:r>
              <w:rPr>
                <w:rFonts w:ascii="Times New Roman" w:cs="Times New Roman" w:eastAsia="Times New Roman" w:hAnsi="Times New Roman"/>
                <w:sz w:val="18"/>
                <w:szCs w:val="18"/>
                <w:color w:val="auto"/>
                <w:w w:val="96"/>
              </w:rPr>
              <w:t>=</w:t>
            </w:r>
            <w:r>
              <w:rPr>
                <w:rFonts w:ascii="Times New Roman" w:cs="Times New Roman" w:eastAsia="Times New Roman" w:hAnsi="Times New Roman"/>
                <w:sz w:val="18"/>
                <w:szCs w:val="18"/>
                <w:i w:val="1"/>
                <w:iCs w:val="1"/>
                <w:color w:val="auto"/>
                <w:w w:val="96"/>
              </w:rPr>
              <w:t xml:space="preserve"> CR</w:t>
            </w:r>
            <w:r>
              <w:rPr>
                <w:rFonts w:ascii="Times New Roman" w:cs="Times New Roman" w:eastAsia="Times New Roman" w:hAnsi="Times New Roman"/>
                <w:sz w:val="29"/>
                <w:szCs w:val="29"/>
                <w:i w:val="1"/>
                <w:iCs w:val="1"/>
                <w:color w:val="auto"/>
                <w:w w:val="96"/>
                <w:vertAlign w:val="subscript"/>
              </w:rPr>
              <w:t>0</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x</w:t>
            </w: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9"/>
                <w:szCs w:val="29"/>
                <w:i w:val="1"/>
                <w:iCs w:val="1"/>
                <w:color w:val="auto"/>
                <w:vertAlign w:val="subscript"/>
              </w:rPr>
              <w:t>1</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94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5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9"/>
                <w:szCs w:val="29"/>
                <w:i w:val="1"/>
                <w:iCs w:val="1"/>
                <w:color w:val="auto"/>
                <w:vertAlign w:val="subscript"/>
              </w:rPr>
              <w:t>0</w:t>
            </w:r>
          </w:p>
        </w:tc>
        <w:tc>
          <w:tcPr>
            <w:tcW w:w="0" w:type="dxa"/>
            <w:vAlign w:val="bottom"/>
          </w:tcPr>
          <w:p>
            <w:pPr>
              <w:spacing w:after="0"/>
              <w:rPr>
                <w:sz w:val="1"/>
                <w:szCs w:val="1"/>
                <w:color w:val="auto"/>
              </w:rPr>
            </w:pPr>
          </w:p>
        </w:tc>
      </w:tr>
      <w:tr>
        <w:trPr>
          <w:trHeight w:val="285"/>
        </w:trPr>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where:</w:t>
            </w:r>
          </w:p>
        </w:tc>
        <w:tc>
          <w:tcPr>
            <w:tcW w:w="5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13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0</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w:t>
            </w:r>
          </w:p>
        </w:tc>
        <w:tc>
          <w:tcPr>
            <w:tcW w:w="9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the Conversion Rate in effect immediately before the Open of Business on the Ex-Dividend Date for such dividend or</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distribution, or immediately before the Open of Business on the effective date of such stock split or stock combination, as</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applicable;</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3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1</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w:t>
            </w:r>
          </w:p>
        </w:tc>
        <w:tc>
          <w:tcPr>
            <w:tcW w:w="9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 or effective date, as</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applicable;</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7"/>
        </w:trPr>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40" w:type="dxa"/>
            <w:vAlign w:val="bottom"/>
          </w:tcPr>
          <w:p>
            <w:pPr>
              <w:ind w:left="3740"/>
              <w:spacing w:after="0"/>
              <w:rPr>
                <w:sz w:val="20"/>
                <w:szCs w:val="20"/>
                <w:color w:val="auto"/>
              </w:rPr>
            </w:pPr>
            <w:r>
              <w:rPr>
                <w:rFonts w:ascii="Times New Roman" w:cs="Times New Roman" w:eastAsia="Times New Roman" w:hAnsi="Times New Roman"/>
                <w:sz w:val="14"/>
                <w:szCs w:val="14"/>
                <w:color w:val="auto"/>
              </w:rPr>
              <w:t>37</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3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sectPr>
      </w:pPr>
    </w:p>
    <w:bookmarkStart w:id="47" w:name="page48"/>
    <w:bookmarkEnd w:id="47"/>
    <w:p>
      <w:pPr>
        <w:ind w:left="20"/>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14"/>
          <w:szCs w:val="14"/>
          <w:i w:val="1"/>
          <w:iCs w:val="1"/>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outstanding immediately before the Open of Business on such Ex-Dividend Date or effective date, as applicable, without giving effect to such dividend, distribution, stock split or stock combination; and</w:t>
      </w:r>
    </w:p>
    <w:p>
      <w:pPr>
        <w:spacing w:after="0" w:line="160" w:lineRule="exact"/>
        <w:rPr>
          <w:sz w:val="20"/>
          <w:szCs w:val="20"/>
          <w:color w:val="auto"/>
        </w:rPr>
      </w:pPr>
    </w:p>
    <w:p>
      <w:pPr>
        <w:sectPr>
          <w:pgSz w:w="11900" w:h="16838" w:orient="portrait"/>
          <w:cols w:equalWidth="0" w:num="3">
            <w:col w:w="320" w:space="500"/>
            <w:col w:w="120" w:space="440"/>
            <w:col w:w="9200"/>
          </w:cols>
          <w:pgMar w:left="980" w:top="119"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14"/>
          <w:szCs w:val="14"/>
          <w:i w:val="1"/>
          <w:iCs w:val="1"/>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outstanding immediately after giving effect to such dividend, distribution, stock split or stock combination.</w:t>
      </w:r>
    </w:p>
    <w:p>
      <w:pPr>
        <w:spacing w:after="0" w:line="158" w:lineRule="exact"/>
        <w:rPr>
          <w:sz w:val="20"/>
          <w:szCs w:val="20"/>
          <w:color w:val="auto"/>
        </w:rPr>
      </w:pPr>
    </w:p>
    <w:p>
      <w:pPr>
        <w:sectPr>
          <w:pgSz w:w="11900" w:h="16838" w:orient="portrait"/>
          <w:cols w:equalWidth="0" w:num="3">
            <w:col w:w="320" w:space="500"/>
            <w:col w:w="120" w:space="440"/>
            <w:col w:w="9200"/>
          </w:cols>
          <w:pgMar w:left="980" w:top="119" w:right="339" w:bottom="1440" w:gutter="0" w:footer="0" w:header="0"/>
          <w:type w:val="continuous"/>
        </w:sect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If any dividend, distribution, stock split or stock combination of the type described in this </w:t>
      </w:r>
      <w:r>
        <w:rPr>
          <w:rFonts w:ascii="Times New Roman" w:cs="Times New Roman" w:eastAsia="Times New Roman" w:hAnsi="Times New Roman"/>
          <w:sz w:val="18"/>
          <w:szCs w:val="18"/>
          <w:b w:val="1"/>
          <w:bCs w:val="1"/>
          <w:color w:val="auto"/>
        </w:rPr>
        <w:t>Section 5.05(A)(i)</w:t>
      </w:r>
      <w:r>
        <w:rPr>
          <w:rFonts w:ascii="Times New Roman" w:cs="Times New Roman" w:eastAsia="Times New Roman" w:hAnsi="Times New Roman"/>
          <w:sz w:val="18"/>
          <w:szCs w:val="18"/>
          <w:color w:val="auto"/>
        </w:rPr>
        <w:t xml:space="preserve"> is declared or announced, but not so paid or made, then the Conversion Rate will be readjusted, effective as of the date the Board of Directors determines not to pay such dividend or distribution or to effect such stock split or stock combination, to the Conversion Rate that would then be in effect had such dividend, distribution, stock split or stock combination not been declared or announced.</w:t>
      </w:r>
    </w:p>
    <w:p>
      <w:pPr>
        <w:spacing w:after="0" w:line="178" w:lineRule="exact"/>
        <w:rPr>
          <w:sz w:val="20"/>
          <w:szCs w:val="20"/>
          <w:color w:val="auto"/>
        </w:rPr>
      </w:pPr>
    </w:p>
    <w:p>
      <w:pPr>
        <w:jc w:val="both"/>
        <w:ind w:firstLine="644"/>
        <w:spacing w:after="0" w:line="257" w:lineRule="auto"/>
        <w:tabs>
          <w:tab w:leader="none" w:pos="128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Rights, Options and Warrants. </w:t>
      </w:r>
      <w:r>
        <w:rPr>
          <w:rFonts w:ascii="Times New Roman" w:cs="Times New Roman" w:eastAsia="Times New Roman" w:hAnsi="Times New Roman"/>
          <w:sz w:val="18"/>
          <w:szCs w:val="18"/>
          <w:color w:val="auto"/>
        </w:rPr>
        <w:t>If the Company distributes, to all or substantially all holders of Common Stock, rights, options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warrants (other than rights issued or otherwise distributed pursuant to a stockholder rights plan, as to which </w:t>
      </w:r>
      <w:r>
        <w:rPr>
          <w:rFonts w:ascii="Times New Roman" w:cs="Times New Roman" w:eastAsia="Times New Roman" w:hAnsi="Times New Roman"/>
          <w:sz w:val="18"/>
          <w:szCs w:val="18"/>
          <w:b w:val="1"/>
          <w:bCs w:val="1"/>
          <w:color w:val="auto"/>
        </w:rPr>
        <w:t>Section 5.05(A)(iii)(1)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5.05(F) </w:t>
      </w:r>
      <w:r>
        <w:rPr>
          <w:rFonts w:ascii="Times New Roman" w:cs="Times New Roman" w:eastAsia="Times New Roman" w:hAnsi="Times New Roman"/>
          <w:sz w:val="18"/>
          <w:szCs w:val="18"/>
          <w:color w:val="auto"/>
        </w:rPr>
        <w:t>will apply) entitling such holders, for a period of not more than sixty (60) calendar days after the date such distribution is first publicly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then the Conversion Rate will be increased based on the following formula: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700" w:type="dxa"/>
            <w:vAlign w:val="bottom"/>
            <w:gridSpan w:val="2"/>
          </w:tcPr>
          <w:p>
            <w:pPr>
              <w:jc w:val="center"/>
              <w:ind w:right="4200"/>
              <w:spacing w:after="0"/>
              <w:rPr>
                <w:sz w:val="20"/>
                <w:szCs w:val="20"/>
                <w:color w:val="auto"/>
              </w:rPr>
            </w:pPr>
            <w:r>
              <w:rPr>
                <w:rFonts w:ascii="Times New Roman" w:cs="Times New Roman" w:eastAsia="Times New Roman" w:hAnsi="Times New Roman"/>
                <w:sz w:val="18"/>
                <w:szCs w:val="18"/>
                <w:i w:val="1"/>
                <w:iCs w:val="1"/>
                <w:color w:val="auto"/>
                <w:w w:val="98"/>
              </w:rPr>
              <w:t>OS +</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300" w:type="dxa"/>
            <w:vAlign w:val="bottom"/>
            <w:vMerge w:val="restart"/>
          </w:tcPr>
          <w:p>
            <w:pPr>
              <w:ind w:left="306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CR</w:t>
            </w:r>
            <w:r>
              <w:rPr>
                <w:rFonts w:ascii="Times New Roman" w:cs="Times New Roman" w:eastAsia="Times New Roman" w:hAnsi="Times New Roman"/>
                <w:sz w:val="29"/>
                <w:szCs w:val="29"/>
                <w:i w:val="1"/>
                <w:iCs w:val="1"/>
                <w:color w:val="auto"/>
                <w:vertAlign w:val="subscript"/>
              </w:rPr>
              <w:t>0</w:t>
            </w:r>
            <w:r>
              <w:rPr>
                <w:rFonts w:ascii="Times New Roman" w:cs="Times New Roman" w:eastAsia="Times New Roman" w:hAnsi="Times New Roman"/>
                <w:sz w:val="18"/>
                <w:szCs w:val="18"/>
                <w:i w:val="1"/>
                <w:iCs w:val="1"/>
                <w:color w:val="auto"/>
              </w:rPr>
              <w:t xml:space="preserve"> x</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0"/>
              </w:rPr>
              <w:t>X</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300" w:type="dxa"/>
            <w:vAlign w:val="bottom"/>
            <w:vMerge w:val="continue"/>
          </w:tcPr>
          <w:p>
            <w:pPr>
              <w:spacing w:after="0"/>
              <w:rPr>
                <w:sz w:val="11"/>
                <w:szCs w:val="11"/>
                <w:color w:val="auto"/>
              </w:rPr>
            </w:pPr>
          </w:p>
        </w:tc>
        <w:tc>
          <w:tcPr>
            <w:tcW w:w="4700" w:type="dxa"/>
            <w:vAlign w:val="bottom"/>
            <w:gridSpan w:val="2"/>
            <w:vMerge w:val="restart"/>
          </w:tcPr>
          <w:p>
            <w:pPr>
              <w:jc w:val="center"/>
              <w:ind w:right="4200"/>
              <w:spacing w:after="0" w:line="195" w:lineRule="exact"/>
              <w:rPr>
                <w:sz w:val="20"/>
                <w:szCs w:val="20"/>
                <w:color w:val="auto"/>
              </w:rPr>
            </w:pPr>
            <w:r>
              <w:rPr>
                <w:rFonts w:ascii="Times New Roman" w:cs="Times New Roman" w:eastAsia="Times New Roman" w:hAnsi="Times New Roman"/>
                <w:sz w:val="18"/>
                <w:szCs w:val="18"/>
                <w:i w:val="1"/>
                <w:iCs w:val="1"/>
                <w:color w:val="auto"/>
                <w:w w:val="98"/>
              </w:rPr>
              <w:t>OS +</w:t>
            </w:r>
          </w:p>
        </w:tc>
        <w:tc>
          <w:tcPr>
            <w:tcW w:w="0" w:type="dxa"/>
            <w:vAlign w:val="bottom"/>
          </w:tcPr>
          <w:p>
            <w:pPr>
              <w:spacing w:after="0"/>
              <w:rPr>
                <w:sz w:val="1"/>
                <w:szCs w:val="1"/>
                <w:color w:val="auto"/>
              </w:rPr>
            </w:pPr>
          </w:p>
        </w:tc>
      </w:tr>
      <w:tr>
        <w:trPr>
          <w:trHeight w:val="63"/>
        </w:trPr>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300" w:type="dxa"/>
            <w:vAlign w:val="bottom"/>
          </w:tcPr>
          <w:p>
            <w:pPr>
              <w:spacing w:after="0"/>
              <w:rPr>
                <w:sz w:val="5"/>
                <w:szCs w:val="5"/>
                <w:color w:val="auto"/>
              </w:rPr>
            </w:pPr>
          </w:p>
        </w:tc>
        <w:tc>
          <w:tcPr>
            <w:tcW w:w="4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4700" w:type="dxa"/>
            <w:vAlign w:val="bottom"/>
            <w:gridSpan w:val="2"/>
          </w:tcPr>
          <w:p>
            <w:pPr>
              <w:jc w:val="center"/>
              <w:ind w:right="4200"/>
              <w:spacing w:after="0"/>
              <w:rPr>
                <w:sz w:val="20"/>
                <w:szCs w:val="20"/>
                <w:color w:val="auto"/>
              </w:rPr>
            </w:pPr>
            <w:r>
              <w:rPr>
                <w:rFonts w:ascii="Times New Roman" w:cs="Times New Roman" w:eastAsia="Times New Roman" w:hAnsi="Times New Roman"/>
                <w:sz w:val="18"/>
                <w:szCs w:val="18"/>
                <w:i w:val="1"/>
                <w:iCs w:val="1"/>
                <w:color w:val="auto"/>
                <w:w w:val="99"/>
              </w:rPr>
              <w:t>Y</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5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0</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w:t>
            </w:r>
          </w:p>
        </w:tc>
        <w:tc>
          <w:tcPr>
            <w:tcW w:w="9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Conversion Rate in effect immediately before the Open of Business on the Ex-Dividend Date for such distribution;</w:t>
            </w:r>
          </w:p>
        </w:tc>
        <w:tc>
          <w:tcPr>
            <w:tcW w:w="0" w:type="dxa"/>
            <w:vAlign w:val="bottom"/>
          </w:tcPr>
          <w:p>
            <w:pPr>
              <w:spacing w:after="0"/>
              <w:rPr>
                <w:sz w:val="1"/>
                <w:szCs w:val="1"/>
                <w:color w:val="auto"/>
              </w:rPr>
            </w:pPr>
          </w:p>
        </w:tc>
      </w:tr>
      <w:tr>
        <w:trPr>
          <w:trHeight w:val="432"/>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1</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w:t>
            </w:r>
          </w:p>
        </w:tc>
        <w:tc>
          <w:tcPr>
            <w:tcW w:w="9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c>
          <w:tcPr>
            <w:tcW w:w="0" w:type="dxa"/>
            <w:vAlign w:val="bottom"/>
          </w:tcPr>
          <w:p>
            <w:pPr>
              <w:spacing w:after="0"/>
              <w:rPr>
                <w:sz w:val="1"/>
                <w:szCs w:val="1"/>
                <w:color w:val="auto"/>
              </w:rPr>
            </w:pPr>
          </w:p>
        </w:tc>
      </w:tr>
      <w:tr>
        <w:trPr>
          <w:trHeight w:val="415"/>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OS</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w:t>
            </w:r>
          </w:p>
        </w:tc>
        <w:tc>
          <w:tcPr>
            <w:tcW w:w="9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9"/>
              </w:rPr>
              <w:t>the number of shares of Common Stock outstanding immediately before the Open of Business on such Ex-Dividend Date;</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820" w:hanging="797"/>
        <w:spacing w:after="0"/>
        <w:tabs>
          <w:tab w:leader="none" w:pos="820" w:val="left"/>
        </w:tabs>
        <w:numPr>
          <w:ilvl w:val="0"/>
          <w:numId w:val="7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7"/>
          <w:szCs w:val="17"/>
          <w:color w:val="auto"/>
        </w:rPr>
        <w:t>the total number of shares of Common Stock issuable pursuant to such rights, options or warrants; and</w:t>
      </w:r>
    </w:p>
    <w:p>
      <w:pPr>
        <w:spacing w:after="0" w:line="225" w:lineRule="exact"/>
        <w:rPr>
          <w:sz w:val="20"/>
          <w:szCs w:val="20"/>
          <w:color w:val="auto"/>
        </w:rPr>
      </w:pPr>
    </w:p>
    <w:p>
      <w:pPr>
        <w:ind w:left="1380" w:hanging="1357"/>
        <w:spacing w:after="0" w:line="266" w:lineRule="auto"/>
        <w:tabs>
          <w:tab w:leader="none" w:pos="826" w:val="left"/>
        </w:tabs>
        <w:numPr>
          <w:ilvl w:val="0"/>
          <w:numId w:val="7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 number of shares of Common Stock obtained by dividing (x) the aggregate price payable to exercise such rights, options or warrants by (y) the average of the Last Reported Sale Prices per share of Common Stock for the ten (10) consecutive Trading Days ending on, and including, the Trading Day immediately before the date such distribution is announced.</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such rights, options or warrants are not so distributed, the Conversion Rate will be readjusted to the Conversion Rate that would then be in effect had the increase to the Conversion Rate for such distribution been made on the basis of only the rights, options or warrants, if any, actually distributed. In addition, to the extent that shares of Common Stock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 number of shares of Common Stock actually delivered upon exercise of such rights, options or warrants.</w:t>
      </w:r>
    </w:p>
    <w:p>
      <w:pPr>
        <w:spacing w:after="0" w:line="35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9" w:right="339" w:bottom="1440" w:gutter="0" w:footer="0" w:header="0"/>
          <w:type w:val="continuous"/>
        </w:sectPr>
      </w:pPr>
    </w:p>
    <w:bookmarkStart w:id="48" w:name="page49"/>
    <w:bookmarkEnd w:id="48"/>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b w:val="1"/>
          <w:bCs w:val="1"/>
          <w:color w:val="auto"/>
        </w:rPr>
        <w:t>Section 5.05(A)(ii)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5.01(C)(i)(3)(a)(I)</w:t>
      </w:r>
      <w:r>
        <w:rPr>
          <w:rFonts w:ascii="Times New Roman" w:cs="Times New Roman" w:eastAsia="Times New Roman" w:hAnsi="Times New Roman"/>
          <w:sz w:val="18"/>
          <w:szCs w:val="18"/>
          <w:color w:val="auto"/>
        </w:rPr>
        <w:t>, in determining whether any rights, options or warrants entitle holders of Common Stock to subscribe for or purchase shares of Common Stock at a price per share that is less than the average of the Last Reported Sale Prices per share of Common Stock for the ten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the Company receives for such rights, options or warrants and any amount payable on exercise thereof, with the value of such consideration, if not cash, to be determined by the Company in good faith and in a commercially reasonable manner.</w:t>
      </w:r>
    </w:p>
    <w:p>
      <w:pPr>
        <w:spacing w:after="0" w:line="185" w:lineRule="exact"/>
        <w:rPr>
          <w:sz w:val="20"/>
          <w:szCs w:val="20"/>
          <w:color w:val="auto"/>
        </w:rPr>
      </w:pPr>
    </w:p>
    <w:p>
      <w:pPr>
        <w:ind w:left="1940" w:hanging="636"/>
        <w:spacing w:after="0"/>
        <w:tabs>
          <w:tab w:leader="none" w:pos="19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Spin-Offs and Other Distributed Property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577" w:val="left"/>
        </w:tabs>
        <w:numPr>
          <w:ilvl w:val="1"/>
          <w:numId w:val="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Distributions Other than Spin-Offs. If the Company distributes shares of its Capital Stock, evidences of its indebtedness or other assets or property of the Company, or rights, options or warrants to acquire Capital Stock of the Company or other securities, to all or substantially all holders of the Common Stock, excluding:</w:t>
      </w:r>
    </w:p>
    <w:p>
      <w:pPr>
        <w:spacing w:after="0" w:line="175" w:lineRule="exact"/>
        <w:rPr>
          <w:rFonts w:ascii="Times New Roman" w:cs="Times New Roman" w:eastAsia="Times New Roman" w:hAnsi="Times New Roman"/>
          <w:sz w:val="18"/>
          <w:szCs w:val="18"/>
          <w:color w:val="010000"/>
        </w:rPr>
      </w:pPr>
    </w:p>
    <w:p>
      <w:pPr>
        <w:ind w:left="1300" w:firstLine="1300"/>
        <w:spacing w:after="0" w:line="282" w:lineRule="auto"/>
        <w:tabs>
          <w:tab w:leader="none" w:pos="3231"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distributions, rights, options or warrants for which an adjustment to the Conversion Rate is required (or would be required without regard to </w:t>
      </w:r>
      <w:r>
        <w:rPr>
          <w:rFonts w:ascii="Times New Roman" w:cs="Times New Roman" w:eastAsia="Times New Roman" w:hAnsi="Times New Roman"/>
          <w:sz w:val="18"/>
          <w:szCs w:val="18"/>
          <w:b w:val="1"/>
          <w:bCs w:val="1"/>
          <w:color w:val="auto"/>
        </w:rPr>
        <w:t>Section 5.05(C)</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b w:val="1"/>
          <w:bCs w:val="1"/>
          <w:color w:val="auto"/>
        </w:rPr>
        <w:t>Section 5.05(A)(i)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5.05(A)(ii)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firstLine="1300"/>
        <w:spacing w:after="0" w:line="282" w:lineRule="auto"/>
        <w:tabs>
          <w:tab w:leader="none" w:pos="3281"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or distributions paid exclusively in cash for which an adjustment to the Conversion Rate is required (or would be required without regard to </w:t>
      </w:r>
      <w:r>
        <w:rPr>
          <w:rFonts w:ascii="Times New Roman" w:cs="Times New Roman" w:eastAsia="Times New Roman" w:hAnsi="Times New Roman"/>
          <w:sz w:val="18"/>
          <w:szCs w:val="18"/>
          <w:b w:val="1"/>
          <w:bCs w:val="1"/>
          <w:color w:val="auto"/>
        </w:rPr>
        <w:t>Section 5.05(C))</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b w:val="1"/>
          <w:bCs w:val="1"/>
          <w:color w:val="auto"/>
        </w:rPr>
        <w:t>Section 5.05(A)(iv)</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3320" w:hanging="720"/>
        <w:spacing w:after="0"/>
        <w:tabs>
          <w:tab w:leader="none" w:pos="332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issued or otherwise distributed pursuant to a stockholder rights plan, except to the extent provided in</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5.05(F)</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1300" w:firstLine="1300"/>
        <w:spacing w:after="0" w:line="282" w:lineRule="auto"/>
        <w:tabs>
          <w:tab w:leader="none" w:pos="3253"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Spin-Offs for which an adjustment to the Conversion Rate is required (or would be required without regard to </w:t>
      </w:r>
      <w:r>
        <w:rPr>
          <w:rFonts w:ascii="Times New Roman" w:cs="Times New Roman" w:eastAsia="Times New Roman" w:hAnsi="Times New Roman"/>
          <w:sz w:val="18"/>
          <w:szCs w:val="18"/>
          <w:b w:val="1"/>
          <w:bCs w:val="1"/>
          <w:color w:val="auto"/>
        </w:rPr>
        <w:t>Section 5.05(C)</w:t>
      </w:r>
      <w:r>
        <w:rPr>
          <w:rFonts w:ascii="Times New Roman" w:cs="Times New Roman" w:eastAsia="Times New Roman" w:hAnsi="Times New Roman"/>
          <w:sz w:val="18"/>
          <w:szCs w:val="18"/>
          <w:color w:val="auto"/>
        </w:rPr>
        <w:t>) pursuant to</w:t>
      </w:r>
      <w:r>
        <w:rPr>
          <w:rFonts w:ascii="Times New Roman" w:cs="Times New Roman" w:eastAsia="Times New Roman" w:hAnsi="Times New Roman"/>
          <w:sz w:val="18"/>
          <w:szCs w:val="18"/>
          <w:b w:val="1"/>
          <w:bCs w:val="1"/>
          <w:color w:val="auto"/>
        </w:rPr>
        <w:t xml:space="preserve"> Section 5.05(A)(iii)(2)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firstLine="1300"/>
        <w:spacing w:after="0" w:line="282" w:lineRule="auto"/>
        <w:tabs>
          <w:tab w:leader="none" w:pos="3303"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distribution solely pursuant to a tender offer or exchange offer for shares of Common Stock, as to which </w:t>
      </w:r>
      <w:r>
        <w:rPr>
          <w:rFonts w:ascii="Times New Roman" w:cs="Times New Roman" w:eastAsia="Times New Roman" w:hAnsi="Times New Roman"/>
          <w:sz w:val="18"/>
          <w:szCs w:val="18"/>
          <w:b w:val="1"/>
          <w:bCs w:val="1"/>
          <w:color w:val="auto"/>
        </w:rPr>
        <w:t xml:space="preserve">Section 5.05(A)(v) </w:t>
      </w:r>
      <w:r>
        <w:rPr>
          <w:rFonts w:ascii="Times New Roman" w:cs="Times New Roman" w:eastAsia="Times New Roman" w:hAnsi="Times New Roman"/>
          <w:sz w:val="18"/>
          <w:szCs w:val="18"/>
          <w:color w:val="auto"/>
        </w:rPr>
        <w:t>will apply; and</w:t>
      </w:r>
    </w:p>
    <w:p>
      <w:pPr>
        <w:spacing w:after="0" w:line="157" w:lineRule="exact"/>
        <w:rPr>
          <w:rFonts w:ascii="Times New Roman" w:cs="Times New Roman" w:eastAsia="Times New Roman" w:hAnsi="Times New Roman"/>
          <w:sz w:val="18"/>
          <w:szCs w:val="18"/>
          <w:color w:val="auto"/>
        </w:rPr>
      </w:pPr>
    </w:p>
    <w:p>
      <w:pPr>
        <w:ind w:left="1300" w:firstLine="1300"/>
        <w:spacing w:after="0" w:line="286" w:lineRule="auto"/>
        <w:tabs>
          <w:tab w:leader="none" w:pos="3202"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distribution solely pursuant to a Common Stock Change Event, as to which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will apply, then the Conversion Rate will be increased based on the following formula: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80" w:type="dxa"/>
            <w:vAlign w:val="bottom"/>
            <w:vMerge w:val="restart"/>
          </w:tcPr>
          <w:p>
            <w:pPr>
              <w:ind w:left="304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CR</w:t>
            </w:r>
            <w:r>
              <w:rPr>
                <w:rFonts w:ascii="Times New Roman" w:cs="Times New Roman" w:eastAsia="Times New Roman" w:hAnsi="Times New Roman"/>
                <w:sz w:val="29"/>
                <w:szCs w:val="29"/>
                <w:i w:val="1"/>
                <w:iCs w:val="1"/>
                <w:color w:val="auto"/>
                <w:vertAlign w:val="subscript"/>
              </w:rPr>
              <w:t>0</w:t>
            </w:r>
            <w:r>
              <w:rPr>
                <w:rFonts w:ascii="Times New Roman" w:cs="Times New Roman" w:eastAsia="Times New Roman" w:hAnsi="Times New Roman"/>
                <w:sz w:val="18"/>
                <w:szCs w:val="18"/>
                <w:i w:val="1"/>
                <w:iCs w:val="1"/>
                <w:color w:val="auto"/>
              </w:rPr>
              <w:t xml:space="preserve"> x</w:t>
            </w:r>
          </w:p>
        </w:tc>
        <w:tc>
          <w:tcPr>
            <w:tcW w:w="5340" w:type="dxa"/>
            <w:vAlign w:val="bottom"/>
            <w:gridSpan w:val="2"/>
          </w:tcPr>
          <w:p>
            <w:pPr>
              <w:jc w:val="center"/>
              <w:ind w:right="4780"/>
              <w:spacing w:after="0"/>
              <w:rPr>
                <w:sz w:val="20"/>
                <w:szCs w:val="20"/>
                <w:color w:val="auto"/>
              </w:rPr>
            </w:pPr>
            <w:r>
              <w:rPr>
                <w:rFonts w:ascii="Times New Roman" w:cs="Times New Roman" w:eastAsia="Times New Roman" w:hAnsi="Times New Roman"/>
                <w:sz w:val="18"/>
                <w:szCs w:val="18"/>
                <w:i w:val="1"/>
                <w:iCs w:val="1"/>
                <w:color w:val="auto"/>
                <w:w w:val="99"/>
              </w:rPr>
              <w:t>SP</w:t>
            </w: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80" w:type="dxa"/>
            <w:vAlign w:val="bottom"/>
            <w:vMerge w:val="continue"/>
          </w:tcPr>
          <w:p>
            <w:pPr>
              <w:spacing w:after="0"/>
              <w:rPr>
                <w:sz w:val="17"/>
                <w:szCs w:val="17"/>
                <w:color w:val="auto"/>
              </w:rPr>
            </w:pPr>
          </w:p>
        </w:tc>
        <w:tc>
          <w:tcPr>
            <w:tcW w:w="56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i w:val="1"/>
                <w:iCs w:val="1"/>
                <w:color w:val="auto"/>
                <w:w w:val="99"/>
              </w:rPr>
              <w:t>SP-</w:t>
            </w:r>
          </w:p>
        </w:tc>
        <w:tc>
          <w:tcPr>
            <w:tcW w:w="4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5340" w:type="dxa"/>
            <w:vAlign w:val="bottom"/>
            <w:gridSpan w:val="2"/>
          </w:tcPr>
          <w:p>
            <w:pPr>
              <w:jc w:val="center"/>
              <w:ind w:right="4780"/>
              <w:spacing w:after="0"/>
              <w:rPr>
                <w:sz w:val="20"/>
                <w:szCs w:val="20"/>
                <w:color w:val="auto"/>
              </w:rPr>
            </w:pPr>
            <w:r>
              <w:rPr>
                <w:rFonts w:ascii="Times New Roman" w:cs="Times New Roman" w:eastAsia="Times New Roman" w:hAnsi="Times New Roman"/>
                <w:sz w:val="18"/>
                <w:szCs w:val="18"/>
                <w:i w:val="1"/>
                <w:iCs w:val="1"/>
                <w:color w:val="auto"/>
                <w:w w:val="97"/>
              </w:rPr>
              <w:t>FMV</w:t>
            </w:r>
          </w:p>
        </w:tc>
        <w:tc>
          <w:tcPr>
            <w:tcW w:w="0" w:type="dxa"/>
            <w:vAlign w:val="bottom"/>
          </w:tcPr>
          <w:p>
            <w:pPr>
              <w:spacing w:after="0"/>
              <w:rPr>
                <w:sz w:val="1"/>
                <w:szCs w:val="1"/>
                <w:color w:val="auto"/>
              </w:rPr>
            </w:pPr>
          </w:p>
        </w:tc>
      </w:tr>
      <w:tr>
        <w:trPr>
          <w:trHeight w:val="432"/>
        </w:trPr>
        <w:tc>
          <w:tcPr>
            <w:tcW w:w="1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where:</w:t>
            </w:r>
          </w:p>
        </w:tc>
        <w:tc>
          <w:tcPr>
            <w:tcW w:w="5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3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0</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w:t>
            </w:r>
          </w:p>
        </w:tc>
        <w:tc>
          <w:tcPr>
            <w:tcW w:w="9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Conversion Rate in effect immediately before the Open of Business on the Ex-Dividend Date for such distribution;</w:t>
            </w:r>
          </w:p>
        </w:tc>
        <w:tc>
          <w:tcPr>
            <w:tcW w:w="0" w:type="dxa"/>
            <w:vAlign w:val="bottom"/>
          </w:tcPr>
          <w:p>
            <w:pPr>
              <w:spacing w:after="0"/>
              <w:rPr>
                <w:sz w:val="1"/>
                <w:szCs w:val="1"/>
                <w:color w:val="auto"/>
              </w:rPr>
            </w:pPr>
          </w:p>
        </w:tc>
      </w:tr>
      <w:tr>
        <w:trPr>
          <w:trHeight w:val="432"/>
        </w:trPr>
        <w:tc>
          <w:tcPr>
            <w:tcW w:w="13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1</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w:t>
            </w:r>
          </w:p>
        </w:tc>
        <w:tc>
          <w:tcPr>
            <w:tcW w:w="9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c>
          <w:tcPr>
            <w:tcW w:w="0" w:type="dxa"/>
            <w:vAlign w:val="bottom"/>
          </w:tcPr>
          <w:p>
            <w:pPr>
              <w:spacing w:after="0"/>
              <w:rPr>
                <w:sz w:val="1"/>
                <w:szCs w:val="1"/>
                <w:color w:val="auto"/>
              </w:rPr>
            </w:pPr>
          </w:p>
        </w:tc>
      </w:tr>
      <w:tr>
        <w:trPr>
          <w:trHeight w:val="397"/>
        </w:trPr>
        <w:tc>
          <w:tcPr>
            <w:tcW w:w="13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SP</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w:t>
            </w:r>
          </w:p>
        </w:tc>
        <w:tc>
          <w:tcPr>
            <w:tcW w:w="9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average of the Last Reported Sale Prices per share of Common Stock for the ten (10) consecutive Trading Days ending on,</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and including, the Trading Day immediately before such Ex-Dividend Date; and</w:t>
            </w:r>
          </w:p>
        </w:tc>
        <w:tc>
          <w:tcPr>
            <w:tcW w:w="0" w:type="dxa"/>
            <w:vAlign w:val="bottom"/>
          </w:tcPr>
          <w:p>
            <w:pPr>
              <w:spacing w:after="0"/>
              <w:rPr>
                <w:sz w:val="1"/>
                <w:szCs w:val="1"/>
                <w:color w:val="auto"/>
              </w:rPr>
            </w:pPr>
          </w:p>
        </w:tc>
      </w:tr>
      <w:tr>
        <w:trPr>
          <w:trHeight w:val="414"/>
        </w:trPr>
        <w:tc>
          <w:tcPr>
            <w:tcW w:w="13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FMV</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w:t>
            </w:r>
          </w:p>
        </w:tc>
        <w:tc>
          <w:tcPr>
            <w:tcW w:w="9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fair market value (as determined by the Company in good faith and in a commercially reasonable manner), as of such Ex-</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Dividend Date, of the shares of Capital Stock, evidences of indebtedness, assets, property, rights, options or warrants</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distributed per share of Common Stock pursuant to such distribution;</w:t>
            </w:r>
          </w:p>
        </w:tc>
        <w:tc>
          <w:tcPr>
            <w:tcW w:w="0" w:type="dxa"/>
            <w:vAlign w:val="bottom"/>
          </w:tcPr>
          <w:p>
            <w:pPr>
              <w:spacing w:after="0"/>
              <w:rPr>
                <w:sz w:val="1"/>
                <w:szCs w:val="1"/>
                <w:color w:val="auto"/>
              </w:rPr>
            </w:pPr>
          </w:p>
        </w:tc>
      </w:tr>
      <w:tr>
        <w:trPr>
          <w:trHeight w:val="557"/>
        </w:trPr>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80" w:type="dxa"/>
            <w:vAlign w:val="bottom"/>
          </w:tcPr>
          <w:p>
            <w:pPr>
              <w:ind w:left="3740"/>
              <w:spacing w:after="0"/>
              <w:rPr>
                <w:sz w:val="20"/>
                <w:szCs w:val="20"/>
                <w:color w:val="auto"/>
              </w:rPr>
            </w:pPr>
            <w:r>
              <w:rPr>
                <w:rFonts w:ascii="Times New Roman" w:cs="Times New Roman" w:eastAsia="Times New Roman" w:hAnsi="Times New Roman"/>
                <w:sz w:val="14"/>
                <w:szCs w:val="14"/>
                <w:color w:val="auto"/>
              </w:rPr>
              <w:t>39</w:t>
            </w:r>
          </w:p>
        </w:tc>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3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49" w:name="page50"/>
    <w:bookmarkEnd w:id="49"/>
    <w:p>
      <w:pPr>
        <w:jc w:val="both"/>
        <w:ind w:left="6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if</w:t>
      </w:r>
      <w:r>
        <w:rPr>
          <w:rFonts w:ascii="Times New Roman" w:cs="Times New Roman" w:eastAsia="Times New Roman" w:hAnsi="Times New Roman"/>
          <w:sz w:val="18"/>
          <w:szCs w:val="18"/>
          <w:i w:val="1"/>
          <w:iCs w:val="1"/>
          <w:color w:val="auto"/>
        </w:rPr>
        <w:t xml:space="preserve"> FMV </w:t>
      </w:r>
      <w:r>
        <w:rPr>
          <w:rFonts w:ascii="Times New Roman" w:cs="Times New Roman" w:eastAsia="Times New Roman" w:hAnsi="Times New Roman"/>
          <w:sz w:val="18"/>
          <w:szCs w:val="18"/>
          <w:color w:val="auto"/>
        </w:rPr>
        <w:t>is equal to or greater than</w:t>
      </w:r>
      <w:r>
        <w:rPr>
          <w:rFonts w:ascii="Times New Roman" w:cs="Times New Roman" w:eastAsia="Times New Roman" w:hAnsi="Times New Roman"/>
          <w:sz w:val="18"/>
          <w:szCs w:val="18"/>
          <w:i w:val="1"/>
          <w:iCs w:val="1"/>
          <w:color w:val="auto"/>
        </w:rPr>
        <w:t xml:space="preserve"> SP, </w:t>
      </w:r>
      <w:r>
        <w:rPr>
          <w:rFonts w:ascii="Times New Roman" w:cs="Times New Roman" w:eastAsia="Times New Roman" w:hAnsi="Times New Roman"/>
          <w:sz w:val="18"/>
          <w:szCs w:val="18"/>
          <w:color w:val="auto"/>
        </w:rPr>
        <w:t>then, in lieu of the foregoing adjustment to the Conversion Rate,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will receive, for each $1,000 principal amount of Notes held by such Holder on the record date for such distribution, at the same time and on the same terms as holders of Common Stock, and without having to convert its Notes, the amount and kind of shares of Capital Stock, evidences of indebtedness, assets, property, rights, options or warrants that such Holder would have received in such distribution if such Holder had owned, on such record date, a number of shares of Common Stock equal to the Conversion Rate in effect on such record date.</w:t>
      </w:r>
    </w:p>
    <w:p>
      <w:pPr>
        <w:spacing w:after="0" w:line="184" w:lineRule="exact"/>
        <w:rPr>
          <w:sz w:val="20"/>
          <w:szCs w:val="20"/>
          <w:color w:val="auto"/>
        </w:rPr>
      </w:pPr>
    </w:p>
    <w:p>
      <w:pPr>
        <w:jc w:val="both"/>
        <w:ind w:left="640" w:right="20"/>
        <w:spacing w:after="0" w:line="282" w:lineRule="auto"/>
        <w:rPr>
          <w:sz w:val="20"/>
          <w:szCs w:val="20"/>
          <w:color w:val="auto"/>
        </w:rPr>
      </w:pPr>
      <w:r>
        <w:rPr>
          <w:rFonts w:ascii="Times New Roman" w:cs="Times New Roman" w:eastAsia="Times New Roman" w:hAnsi="Times New Roman"/>
          <w:sz w:val="18"/>
          <w:szCs w:val="18"/>
          <w:color w:val="auto"/>
        </w:rPr>
        <w:t>To the extent such distribution is not so paid or made, the Conversion Rate will be readjusted to the Conversion Rate that would then be in effect had the adjustment been made on the basis of only the distribution, if any, actually made or paid.</w:t>
      </w:r>
    </w:p>
    <w:p>
      <w:pPr>
        <w:spacing w:after="0" w:line="160" w:lineRule="exact"/>
        <w:rPr>
          <w:sz w:val="20"/>
          <w:szCs w:val="20"/>
          <w:color w:val="auto"/>
        </w:rPr>
      </w:pPr>
    </w:p>
    <w:p>
      <w:pPr>
        <w:jc w:val="both"/>
        <w:ind w:left="640" w:firstLine="652"/>
        <w:spacing w:after="0" w:line="257" w:lineRule="auto"/>
        <w:tabs>
          <w:tab w:leader="none" w:pos="2064" w:val="left"/>
        </w:tabs>
        <w:numPr>
          <w:ilvl w:val="0"/>
          <w:numId w:val="7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Spin-Offs. </w:t>
      </w:r>
      <w:r>
        <w:rPr>
          <w:rFonts w:ascii="Times New Roman" w:cs="Times New Roman" w:eastAsia="Times New Roman" w:hAnsi="Times New Roman"/>
          <w:sz w:val="18"/>
          <w:szCs w:val="18"/>
          <w:color w:val="auto"/>
        </w:rPr>
        <w:t>If the Company distributes or dividends shares of Capital Stock of any class or series, or similar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interests, of or relating to an Affiliate, a Subsidiary or other business unit of the Company to all or substantially all holders of the Common Stock (other than solely pursuant to (x) a Common Stock Change Event, as to which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will apply; or (y) a tender offer or exchange offer for shares of Common Stock, as to which </w:t>
      </w:r>
      <w:r>
        <w:rPr>
          <w:rFonts w:ascii="Times New Roman" w:cs="Times New Roman" w:eastAsia="Times New Roman" w:hAnsi="Times New Roman"/>
          <w:sz w:val="18"/>
          <w:szCs w:val="18"/>
          <w:b w:val="1"/>
          <w:bCs w:val="1"/>
          <w:color w:val="auto"/>
        </w:rPr>
        <w:t>Section 5.05(A)(v)</w:t>
      </w:r>
      <w:r>
        <w:rPr>
          <w:rFonts w:ascii="Times New Roman" w:cs="Times New Roman" w:eastAsia="Times New Roman" w:hAnsi="Times New Roman"/>
          <w:sz w:val="18"/>
          <w:szCs w:val="18"/>
          <w:color w:val="auto"/>
        </w:rPr>
        <w:t xml:space="preserve"> will apply), and such Capital Stock or equity interests are listed or quoted (or will be listed or quoted upon the consummation of the transaction) on a U.S. national securities exchange (a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128270</wp:posOffset>
            </wp:positionV>
            <wp:extent cx="1303020" cy="3600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0302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500" w:type="dxa"/>
            <w:vAlign w:val="bottom"/>
          </w:tcPr>
          <w:p>
            <w:pPr>
              <w:spacing w:after="0"/>
              <w:rPr>
                <w:sz w:val="20"/>
                <w:szCs w:val="20"/>
                <w:color w:val="auto"/>
              </w:rPr>
            </w:pPr>
          </w:p>
        </w:tc>
        <w:tc>
          <w:tcPr>
            <w:tcW w:w="9420" w:type="dxa"/>
            <w:vAlign w:val="bottom"/>
          </w:tcPr>
          <w:p>
            <w:pPr>
              <w:spacing w:after="0"/>
              <w:rPr>
                <w:sz w:val="20"/>
                <w:szCs w:val="20"/>
                <w:color w:val="auto"/>
              </w:rPr>
            </w:pPr>
          </w:p>
        </w:tc>
      </w:tr>
      <w:tr>
        <w:trPr>
          <w:trHeight w:val="414"/>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0</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w:t>
            </w: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Conversion Rate in effect immediately before the Close of Business on the last Trading Day of the Spin-Off Valuation</w:t>
            </w:r>
          </w:p>
        </w:tc>
      </w:tr>
      <w:tr>
        <w:trPr>
          <w:trHeight w:val="234"/>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Period for such Spin-Off;</w:t>
            </w:r>
          </w:p>
        </w:tc>
      </w:tr>
      <w:tr>
        <w:trPr>
          <w:trHeight w:val="449"/>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1</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w:t>
            </w: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the Conversion Rate in effect immediately after the Close of Business on the last Trading Day of the Spin-Off Valuation Period;</w:t>
            </w:r>
          </w:p>
        </w:tc>
      </w:tr>
      <w:tr>
        <w:trPr>
          <w:trHeight w:val="393"/>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FMV</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w:t>
            </w: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product of (x) the average of the Last Reported Sale Prices per share or unit of the Capital Stock or equity interests</w:t>
            </w:r>
          </w:p>
        </w:tc>
      </w:tr>
      <w:tr>
        <w:trPr>
          <w:trHeight w:val="220"/>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distributed in such Spin-Off over the ten (10) consecutive Trading Day period (the </w:t>
            </w:r>
            <w:r>
              <w:rPr>
                <w:rFonts w:ascii="Times New Roman" w:cs="Times New Roman" w:eastAsia="Times New Roman" w:hAnsi="Times New Roman"/>
                <w:sz w:val="18"/>
                <w:szCs w:val="18"/>
                <w:b w:val="1"/>
                <w:bCs w:val="1"/>
                <w:color w:val="auto"/>
              </w:rPr>
              <w:t>“Spin-Off Valuation Period</w:t>
            </w:r>
            <w:r>
              <w:rPr>
                <w:rFonts w:ascii="Times New Roman" w:cs="Times New Roman" w:eastAsia="Times New Roman" w:hAnsi="Times New Roman"/>
                <w:sz w:val="18"/>
                <w:szCs w:val="18"/>
                <w:color w:val="auto"/>
              </w:rPr>
              <w:t>”) beginning</w:t>
            </w:r>
          </w:p>
        </w:tc>
      </w:tr>
      <w:tr>
        <w:trPr>
          <w:trHeight w:val="216"/>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on, and including, the Ex-Dividend Date for such Spin-Off (such average to be determined as if references to Common Stock in</w:t>
            </w:r>
          </w:p>
        </w:tc>
      </w:tr>
      <w:tr>
        <w:trPr>
          <w:trHeight w:val="216"/>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definitions of Last Reported Sale Price, Trading Day and Market Disruption Event were instead references to such Capital</w:t>
            </w:r>
          </w:p>
        </w:tc>
      </w:tr>
      <w:tr>
        <w:trPr>
          <w:trHeight w:val="216"/>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Stock or equity interests); and (y) the number of shares or units of such Capital Stock or equity interests distributed per share of</w:t>
            </w:r>
          </w:p>
        </w:tc>
      </w:tr>
      <w:tr>
        <w:trPr>
          <w:trHeight w:val="234"/>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in such Spin-Off; and</w:t>
            </w:r>
          </w:p>
        </w:tc>
      </w:tr>
      <w:tr>
        <w:trPr>
          <w:trHeight w:val="414"/>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SP</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w:t>
            </w: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average of the Last Reported Sale Prices per share of Common Stock for each Trading Day in the Spin-Off Valuation</w:t>
            </w:r>
          </w:p>
        </w:tc>
      </w:tr>
      <w:tr>
        <w:trPr>
          <w:trHeight w:val="234"/>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Period.</w:t>
            </w:r>
          </w:p>
        </w:tc>
      </w:tr>
    </w:tbl>
    <w:p>
      <w:pPr>
        <w:spacing w:after="0" w:line="194"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Section 5.05(A)(iii)(2)</w:t>
      </w:r>
      <w:r>
        <w:rPr>
          <w:rFonts w:ascii="Times New Roman" w:cs="Times New Roman" w:eastAsia="Times New Roman" w:hAnsi="Times New Roman"/>
          <w:sz w:val="18"/>
          <w:szCs w:val="18"/>
          <w:color w:val="auto"/>
        </w:rPr>
        <w:t>, if any VWAP Trading Day of the Observation Period for a Note to be Converted occurs during the Spin-Off Valuation Period for such Spin-Off, then, solely for purposes of determining the Conversion Rate for such VWAP Trading Day for such Conversion, such Spin-Off Valuation Period will be deemed to consist of the Trading Days occurring in the period from, and including, the Ex-Dividend Date for such Spin-Off to, and including, such VWAP Trading Day.</w:t>
      </w:r>
    </w:p>
    <w:p>
      <w:pPr>
        <w:spacing w:after="0" w:line="35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9" w:right="339" w:bottom="1440" w:gutter="0" w:footer="0" w:header="0"/>
        </w:sectPr>
      </w:pPr>
    </w:p>
    <w:bookmarkStart w:id="50" w:name="page51"/>
    <w:bookmarkEnd w:id="50"/>
    <w:p>
      <w:pPr>
        <w:jc w:val="both"/>
        <w:ind w:left="1300"/>
        <w:spacing w:after="0" w:line="268" w:lineRule="auto"/>
        <w:rPr>
          <w:sz w:val="20"/>
          <w:szCs w:val="20"/>
          <w:color w:val="auto"/>
        </w:rPr>
      </w:pPr>
      <w:r>
        <w:rPr>
          <w:rFonts w:ascii="Times New Roman" w:cs="Times New Roman" w:eastAsia="Times New Roman" w:hAnsi="Times New Roman"/>
          <w:sz w:val="18"/>
          <w:szCs w:val="18"/>
          <w:color w:val="auto"/>
        </w:rPr>
        <w:t xml:space="preserve">To the extent any dividend or distribution of the type set forth in this </w:t>
      </w:r>
      <w:r>
        <w:rPr>
          <w:rFonts w:ascii="Times New Roman" w:cs="Times New Roman" w:eastAsia="Times New Roman" w:hAnsi="Times New Roman"/>
          <w:sz w:val="18"/>
          <w:szCs w:val="18"/>
          <w:b w:val="1"/>
          <w:bCs w:val="1"/>
          <w:color w:val="auto"/>
        </w:rPr>
        <w:t>Section 5.05(A)(iii)(2)</w:t>
      </w:r>
      <w:r>
        <w:rPr>
          <w:rFonts w:ascii="Times New Roman" w:cs="Times New Roman" w:eastAsia="Times New Roman" w:hAnsi="Times New Roman"/>
          <w:sz w:val="18"/>
          <w:szCs w:val="18"/>
          <w:color w:val="auto"/>
        </w:rPr>
        <w:t xml:space="preserve"> is declared but not made or paid, the Conversion Rate will be readjusted to the Conversion Rate that would then be in effect had the adjustment been made on the basis of only the dividend or distribution, if any, actually made or paid.</w:t>
      </w:r>
    </w:p>
    <w:p>
      <w:pPr>
        <w:spacing w:after="0" w:line="173" w:lineRule="exact"/>
        <w:rPr>
          <w:sz w:val="20"/>
          <w:szCs w:val="20"/>
          <w:color w:val="auto"/>
        </w:rPr>
      </w:pPr>
    </w:p>
    <w:p>
      <w:pPr>
        <w:ind w:left="660" w:firstLine="644"/>
        <w:spacing w:after="0" w:line="284" w:lineRule="auto"/>
        <w:tabs>
          <w:tab w:leader="none" w:pos="206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Dividends or Distributions. </w:t>
      </w:r>
      <w:r>
        <w:rPr>
          <w:rFonts w:ascii="Times New Roman" w:cs="Times New Roman" w:eastAsia="Times New Roman" w:hAnsi="Times New Roman"/>
          <w:sz w:val="18"/>
          <w:szCs w:val="18"/>
          <w:color w:val="auto"/>
        </w:rPr>
        <w:t>If any cash dividend or distribution is made to all or substantially all holders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then the Conversion Rate will be increased based on the following formula:</w:t>
      </w:r>
    </w:p>
    <w:p>
      <w:pPr>
        <w:spacing w:after="0" w:line="137" w:lineRule="exact"/>
        <w:rPr>
          <w:sz w:val="20"/>
          <w:szCs w:val="20"/>
          <w:color w:val="auto"/>
        </w:rPr>
      </w:pPr>
    </w:p>
    <w:tbl>
      <w:tblPr>
        <w:tblLayout w:type="fixed"/>
        <w:tblInd w:w="660" w:type="dxa"/>
        <w:tblCellMar>
          <w:top w:w="0" w:type="dxa"/>
          <w:left w:w="0" w:type="dxa"/>
          <w:bottom w:w="0" w:type="dxa"/>
          <w:right w:w="0" w:type="dxa"/>
        </w:tblCellMar>
      </w:tblPr>
      <w:tr>
        <w:trPr>
          <w:trHeight w:val="265"/>
        </w:trPr>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160" w:type="dxa"/>
            <w:vAlign w:val="bottom"/>
            <w:vMerge w:val="restart"/>
          </w:tcPr>
          <w:p>
            <w:pPr>
              <w:ind w:left="308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CR</w:t>
            </w:r>
            <w:r>
              <w:rPr>
                <w:rFonts w:ascii="Times New Roman" w:cs="Times New Roman" w:eastAsia="Times New Roman" w:hAnsi="Times New Roman"/>
                <w:sz w:val="29"/>
                <w:szCs w:val="29"/>
                <w:i w:val="1"/>
                <w:iCs w:val="1"/>
                <w:color w:val="auto"/>
                <w:vertAlign w:val="subscript"/>
              </w:rPr>
              <w:t>0</w:t>
            </w:r>
            <w:r>
              <w:rPr>
                <w:rFonts w:ascii="Times New Roman" w:cs="Times New Roman" w:eastAsia="Times New Roman" w:hAnsi="Times New Roman"/>
                <w:sz w:val="18"/>
                <w:szCs w:val="18"/>
                <w:i w:val="1"/>
                <w:iCs w:val="1"/>
                <w:color w:val="auto"/>
              </w:rPr>
              <w:t xml:space="preserve"> x</w:t>
            </w:r>
          </w:p>
        </w:tc>
        <w:tc>
          <w:tcPr>
            <w:tcW w:w="5260" w:type="dxa"/>
            <w:vAlign w:val="bottom"/>
            <w:gridSpan w:val="2"/>
          </w:tcPr>
          <w:p>
            <w:pPr>
              <w:jc w:val="center"/>
              <w:ind w:right="4780"/>
              <w:spacing w:after="0"/>
              <w:rPr>
                <w:sz w:val="20"/>
                <w:szCs w:val="20"/>
                <w:color w:val="auto"/>
              </w:rPr>
            </w:pPr>
            <w:r>
              <w:rPr>
                <w:rFonts w:ascii="Times New Roman" w:cs="Times New Roman" w:eastAsia="Times New Roman" w:hAnsi="Times New Roman"/>
                <w:sz w:val="18"/>
                <w:szCs w:val="18"/>
                <w:i w:val="1"/>
                <w:iCs w:val="1"/>
                <w:color w:val="auto"/>
                <w:w w:val="99"/>
              </w:rPr>
              <w:t>SP</w:t>
            </w:r>
          </w:p>
        </w:tc>
        <w:tc>
          <w:tcPr>
            <w:tcW w:w="0" w:type="dxa"/>
            <w:vAlign w:val="bottom"/>
          </w:tcPr>
          <w:p>
            <w:pPr>
              <w:spacing w:after="0"/>
              <w:rPr>
                <w:sz w:val="1"/>
                <w:szCs w:val="1"/>
                <w:color w:val="auto"/>
              </w:rPr>
            </w:pPr>
          </w:p>
        </w:tc>
      </w:tr>
      <w:tr>
        <w:trPr>
          <w:trHeight w:val="236"/>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where:</w:t>
            </w:r>
          </w:p>
        </w:tc>
        <w:tc>
          <w:tcPr>
            <w:tcW w:w="500" w:type="dxa"/>
            <w:vAlign w:val="bottom"/>
          </w:tcPr>
          <w:p>
            <w:pPr>
              <w:spacing w:after="0"/>
              <w:rPr>
                <w:sz w:val="20"/>
                <w:szCs w:val="20"/>
                <w:color w:val="auto"/>
              </w:rPr>
            </w:pPr>
          </w:p>
        </w:tc>
        <w:tc>
          <w:tcPr>
            <w:tcW w:w="4160" w:type="dxa"/>
            <w:vAlign w:val="bottom"/>
            <w:vMerge w:val="continue"/>
          </w:tcPr>
          <w:p>
            <w:pPr>
              <w:spacing w:after="0"/>
              <w:rPr>
                <w:sz w:val="20"/>
                <w:szCs w:val="20"/>
                <w:color w:val="auto"/>
              </w:rPr>
            </w:pPr>
          </w:p>
        </w:tc>
        <w:tc>
          <w:tcPr>
            <w:tcW w:w="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SP-D</w:t>
            </w: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4"/>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0</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w:t>
            </w:r>
          </w:p>
        </w:tc>
        <w:tc>
          <w:tcPr>
            <w:tcW w:w="9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Conversion Rate in effect immediately before the Open of Business on the Ex-Dividend Date for such dividend or</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w:t>
            </w:r>
          </w:p>
        </w:tc>
        <w:tc>
          <w:tcPr>
            <w:tcW w:w="4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1</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w:t>
            </w:r>
          </w:p>
        </w:tc>
        <w:tc>
          <w:tcPr>
            <w:tcW w:w="9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c>
          <w:tcPr>
            <w:tcW w:w="0" w:type="dxa"/>
            <w:vAlign w:val="bottom"/>
          </w:tcPr>
          <w:p>
            <w:pPr>
              <w:spacing w:after="0"/>
              <w:rPr>
                <w:sz w:val="1"/>
                <w:szCs w:val="1"/>
                <w:color w:val="auto"/>
              </w:rPr>
            </w:pPr>
          </w:p>
        </w:tc>
      </w:tr>
      <w:tr>
        <w:trPr>
          <w:trHeight w:val="397"/>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SP</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w:t>
            </w:r>
          </w:p>
        </w:tc>
        <w:tc>
          <w:tcPr>
            <w:tcW w:w="9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Last Reported Sale Price per share of Common Stock on the Trading Day immediately before such Ex-Dividend Date; and</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cash amount distributed per share of Common Stock in such dividend or distribution; and</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480" w:hanging="797"/>
        <w:spacing w:after="0"/>
        <w:tabs>
          <w:tab w:leader="none" w:pos="1480" w:val="left"/>
        </w:tabs>
        <w:numPr>
          <w:ilvl w:val="0"/>
          <w:numId w:val="7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7"/>
          <w:szCs w:val="17"/>
          <w:color w:val="auto"/>
        </w:rPr>
        <w:t>the cash amount distributed per share of Common Stock in such dividend or distribution.</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if</w:t>
      </w:r>
      <w:r>
        <w:rPr>
          <w:rFonts w:ascii="Times New Roman" w:cs="Times New Roman" w:eastAsia="Times New Roman" w:hAnsi="Times New Roman"/>
          <w:sz w:val="18"/>
          <w:szCs w:val="18"/>
          <w:i w:val="1"/>
          <w:iCs w:val="1"/>
          <w:color w:val="auto"/>
        </w:rPr>
        <w:t xml:space="preserve"> D </w:t>
      </w:r>
      <w:r>
        <w:rPr>
          <w:rFonts w:ascii="Times New Roman" w:cs="Times New Roman" w:eastAsia="Times New Roman" w:hAnsi="Times New Roman"/>
          <w:sz w:val="18"/>
          <w:szCs w:val="18"/>
          <w:color w:val="auto"/>
        </w:rPr>
        <w:t>is equal to or greater than</w:t>
      </w:r>
      <w:r>
        <w:rPr>
          <w:rFonts w:ascii="Times New Roman" w:cs="Times New Roman" w:eastAsia="Times New Roman" w:hAnsi="Times New Roman"/>
          <w:sz w:val="18"/>
          <w:szCs w:val="18"/>
          <w:i w:val="1"/>
          <w:iCs w:val="1"/>
          <w:color w:val="auto"/>
        </w:rPr>
        <w:t xml:space="preserve"> SP, </w:t>
      </w:r>
      <w:r>
        <w:rPr>
          <w:rFonts w:ascii="Times New Roman" w:cs="Times New Roman" w:eastAsia="Times New Roman" w:hAnsi="Times New Roman"/>
          <w:sz w:val="18"/>
          <w:szCs w:val="18"/>
          <w:color w:val="auto"/>
        </w:rPr>
        <w:t>then, in lieu of the foregoing adjustment to the Conversion Rate, each Holder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for each $1,000 principal amount of Notes held by such Holder on the record date for such dividend or distribution, at the same time and on the same terms as holders of Common Stock, and without having to convert its Notes, the amount of cash that such Holder would have received in such dividend or distribution if such Holder had owned, on such record date, a number of shares of Common Stock equal to the Conversion Rate in effect on such record date.</w:t>
      </w:r>
    </w:p>
    <w:p>
      <w:pPr>
        <w:spacing w:after="0" w:line="18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To the extent such dividend or distribution is declared but not made or paid, the Conversion Rate will be readjusted to the Conversion Rate that would then be in effect had the adjustment been made on the basis of only the dividend or distribution, if any, actually made or paid.</w:t>
      </w:r>
    </w:p>
    <w:p>
      <w:pPr>
        <w:spacing w:after="0" w:line="160" w:lineRule="exact"/>
        <w:rPr>
          <w:sz w:val="20"/>
          <w:szCs w:val="20"/>
          <w:color w:val="auto"/>
        </w:rPr>
      </w:pPr>
    </w:p>
    <w:p>
      <w:pPr>
        <w:jc w:val="both"/>
        <w:ind w:left="660" w:firstLine="644"/>
        <w:spacing w:after="0" w:line="256" w:lineRule="auto"/>
        <w:tabs>
          <w:tab w:leader="none" w:pos="203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Tender Offers or Exchange Offers. </w:t>
      </w:r>
      <w:r>
        <w:rPr>
          <w:rFonts w:ascii="Times New Roman" w:cs="Times New Roman" w:eastAsia="Times New Roman" w:hAnsi="Times New Roman"/>
          <w:sz w:val="18"/>
          <w:szCs w:val="18"/>
          <w:color w:val="auto"/>
        </w:rPr>
        <w:t>If the Company or any of its Subsidiaries makes a payment in respect of a tender offer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exchange offer for shares of Common Stock (other than solely pursuant to an odd-lot tender offer pursuant to Rule 13e-4(h)(5) under the Exchange Act), and the value (determined as of the Expiration Time by the Company in good faith and in a commercially reasonable manner) of the cash and other consideration paid or payable per share of Common Stock in such tender or exchange offer exceeds the Last Reported Sale Price per share of Common Stock on the Trading Day immediately after the last date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on which tenders or exchanges may be made pursuant to such tender or exchange offer (as it may be amended), then the Conversion Rate will be increased based on the following formula: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386"/>
        </w:trPr>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40" w:type="dxa"/>
            <w:vAlign w:val="bottom"/>
            <w:vMerge w:val="restart"/>
          </w:tcPr>
          <w:p>
            <w:pPr>
              <w:ind w:left="2500"/>
              <w:spacing w:after="0"/>
              <w:rPr>
                <w:sz w:val="20"/>
                <w:szCs w:val="20"/>
                <w:color w:val="auto"/>
              </w:rPr>
            </w:pPr>
            <w:r>
              <w:rPr>
                <w:rFonts w:ascii="Times New Roman" w:cs="Times New Roman" w:eastAsia="Times New Roman" w:hAnsi="Times New Roman"/>
                <w:sz w:val="18"/>
                <w:szCs w:val="18"/>
                <w:i w:val="1"/>
                <w:iCs w:val="1"/>
                <w:color w:val="auto"/>
                <w:w w:val="96"/>
              </w:rPr>
              <w:t>CR</w:t>
            </w:r>
            <w:r>
              <w:rPr>
                <w:rFonts w:ascii="Times New Roman" w:cs="Times New Roman" w:eastAsia="Times New Roman" w:hAnsi="Times New Roman"/>
                <w:sz w:val="29"/>
                <w:szCs w:val="29"/>
                <w:i w:val="1"/>
                <w:iCs w:val="1"/>
                <w:color w:val="auto"/>
                <w:w w:val="96"/>
                <w:vertAlign w:val="subscript"/>
              </w:rPr>
              <w:t>1</w:t>
            </w:r>
            <w:r>
              <w:rPr>
                <w:rFonts w:ascii="Times New Roman" w:cs="Times New Roman" w:eastAsia="Times New Roman" w:hAnsi="Times New Roman"/>
                <w:sz w:val="18"/>
                <w:szCs w:val="18"/>
                <w:i w:val="1"/>
                <w:iCs w:val="1"/>
                <w:color w:val="auto"/>
                <w:w w:val="96"/>
              </w:rPr>
              <w:t xml:space="preserve"> </w:t>
            </w:r>
            <w:r>
              <w:rPr>
                <w:rFonts w:ascii="Times New Roman" w:cs="Times New Roman" w:eastAsia="Times New Roman" w:hAnsi="Times New Roman"/>
                <w:sz w:val="18"/>
                <w:szCs w:val="18"/>
                <w:color w:val="auto"/>
                <w:w w:val="96"/>
              </w:rPr>
              <w:t>=</w:t>
            </w:r>
            <w:r>
              <w:rPr>
                <w:rFonts w:ascii="Times New Roman" w:cs="Times New Roman" w:eastAsia="Times New Roman" w:hAnsi="Times New Roman"/>
                <w:sz w:val="18"/>
                <w:szCs w:val="18"/>
                <w:i w:val="1"/>
                <w:iCs w:val="1"/>
                <w:color w:val="auto"/>
                <w:w w:val="96"/>
              </w:rPr>
              <w:t xml:space="preserve"> CR</w:t>
            </w:r>
            <w:r>
              <w:rPr>
                <w:rFonts w:ascii="Times New Roman" w:cs="Times New Roman" w:eastAsia="Times New Roman" w:hAnsi="Times New Roman"/>
                <w:sz w:val="29"/>
                <w:szCs w:val="29"/>
                <w:i w:val="1"/>
                <w:iCs w:val="1"/>
                <w:color w:val="auto"/>
                <w:w w:val="96"/>
                <w:vertAlign w:val="subscript"/>
              </w:rPr>
              <w:t>0</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x</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 xml:space="preserve">AC </w:t>
            </w:r>
            <w:r>
              <w:rPr>
                <w:rFonts w:ascii="Times New Roman" w:cs="Times New Roman" w:eastAsia="Times New Roman" w:hAnsi="Times New Roman"/>
                <w:sz w:val="18"/>
                <w:szCs w:val="18"/>
                <w:color w:val="auto"/>
                <w:w w:val="98"/>
              </w:rPr>
              <w:t>+ (</w:t>
            </w:r>
            <w:r>
              <w:rPr>
                <w:rFonts w:ascii="Times New Roman" w:cs="Times New Roman" w:eastAsia="Times New Roman" w:hAnsi="Times New Roman"/>
                <w:sz w:val="18"/>
                <w:szCs w:val="18"/>
                <w:i w:val="1"/>
                <w:iCs w:val="1"/>
                <w:color w:val="auto"/>
                <w:w w:val="98"/>
              </w:rPr>
              <w:t xml:space="preserve">SP </w:t>
            </w:r>
            <w:r>
              <w:rPr>
                <w:rFonts w:ascii="Times New Roman" w:cs="Times New Roman" w:eastAsia="Times New Roman" w:hAnsi="Times New Roman"/>
                <w:sz w:val="18"/>
                <w:szCs w:val="18"/>
                <w:color w:val="auto"/>
                <w:w w:val="98"/>
              </w:rPr>
              <w:t>x</w:t>
            </w:r>
            <w:r>
              <w:rPr>
                <w:rFonts w:ascii="Times New Roman" w:cs="Times New Roman" w:eastAsia="Times New Roman" w:hAnsi="Times New Roman"/>
                <w:sz w:val="18"/>
                <w:szCs w:val="18"/>
                <w:i w:val="1"/>
                <w:iCs w:val="1"/>
                <w:color w:val="auto"/>
                <w:w w:val="98"/>
              </w:rPr>
              <w:t xml:space="preserve"> OS</w:t>
            </w:r>
            <w:r>
              <w:rPr>
                <w:rFonts w:ascii="Times New Roman" w:cs="Times New Roman" w:eastAsia="Times New Roman" w:hAnsi="Times New Roman"/>
                <w:sz w:val="29"/>
                <w:szCs w:val="29"/>
                <w:i w:val="1"/>
                <w:iCs w:val="1"/>
                <w:color w:val="auto"/>
                <w:w w:val="98"/>
                <w:vertAlign w:val="subscript"/>
              </w:rPr>
              <w:t>1</w:t>
            </w:r>
            <w:r>
              <w:rPr>
                <w:rFonts w:ascii="Times New Roman" w:cs="Times New Roman" w:eastAsia="Times New Roman" w:hAnsi="Times New Roman"/>
                <w:sz w:val="18"/>
                <w:szCs w:val="18"/>
                <w:color w:val="auto"/>
                <w:w w:val="98"/>
              </w:rPr>
              <w:t>)</w:t>
            </w: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3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where:</w:t>
            </w:r>
          </w:p>
        </w:tc>
        <w:tc>
          <w:tcPr>
            <w:tcW w:w="500" w:type="dxa"/>
            <w:vAlign w:val="bottom"/>
          </w:tcPr>
          <w:p>
            <w:pPr>
              <w:spacing w:after="0"/>
              <w:rPr>
                <w:sz w:val="9"/>
                <w:szCs w:val="9"/>
                <w:color w:val="auto"/>
              </w:rPr>
            </w:pPr>
          </w:p>
        </w:tc>
        <w:tc>
          <w:tcPr>
            <w:tcW w:w="334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5860" w:type="dxa"/>
            <w:vAlign w:val="bottom"/>
            <w:gridSpan w:val="2"/>
            <w:vMerge w:val="restart"/>
          </w:tcPr>
          <w:p>
            <w:pPr>
              <w:jc w:val="center"/>
              <w:ind w:right="4220"/>
              <w:spacing w:after="0"/>
              <w:rPr>
                <w:sz w:val="20"/>
                <w:szCs w:val="20"/>
                <w:color w:val="auto"/>
              </w:rPr>
            </w:pPr>
            <w:r>
              <w:rPr>
                <w:rFonts w:ascii="Times New Roman" w:cs="Times New Roman" w:eastAsia="Times New Roman" w:hAnsi="Times New Roman"/>
                <w:sz w:val="18"/>
                <w:szCs w:val="18"/>
                <w:i w:val="1"/>
                <w:iCs w:val="1"/>
                <w:color w:val="auto"/>
                <w:w w:val="97"/>
              </w:rPr>
              <w:t xml:space="preserve">SP </w:t>
            </w:r>
            <w:r>
              <w:rPr>
                <w:rFonts w:ascii="Times New Roman" w:cs="Times New Roman" w:eastAsia="Times New Roman" w:hAnsi="Times New Roman"/>
                <w:sz w:val="18"/>
                <w:szCs w:val="18"/>
                <w:color w:val="auto"/>
                <w:w w:val="97"/>
              </w:rPr>
              <w:t>x</w:t>
            </w:r>
            <w:r>
              <w:rPr>
                <w:rFonts w:ascii="Times New Roman" w:cs="Times New Roman" w:eastAsia="Times New Roman" w:hAnsi="Times New Roman"/>
                <w:sz w:val="18"/>
                <w:szCs w:val="18"/>
                <w:i w:val="1"/>
                <w:iCs w:val="1"/>
                <w:color w:val="auto"/>
                <w:w w:val="97"/>
              </w:rPr>
              <w:t xml:space="preserve"> OS</w:t>
            </w:r>
            <w:r>
              <w:rPr>
                <w:rFonts w:ascii="Times New Roman" w:cs="Times New Roman" w:eastAsia="Times New Roman" w:hAnsi="Times New Roman"/>
                <w:sz w:val="29"/>
                <w:szCs w:val="29"/>
                <w:i w:val="1"/>
                <w:iCs w:val="1"/>
                <w:color w:val="auto"/>
                <w:w w:val="97"/>
                <w:vertAlign w:val="subscript"/>
              </w:rPr>
              <w:t>0</w:t>
            </w:r>
          </w:p>
        </w:tc>
        <w:tc>
          <w:tcPr>
            <w:tcW w:w="0" w:type="dxa"/>
            <w:vAlign w:val="bottom"/>
          </w:tcPr>
          <w:p>
            <w:pPr>
              <w:spacing w:after="0"/>
              <w:rPr>
                <w:sz w:val="1"/>
                <w:szCs w:val="1"/>
                <w:color w:val="auto"/>
              </w:rPr>
            </w:pPr>
          </w:p>
        </w:tc>
      </w:tr>
      <w:tr>
        <w:trPr>
          <w:trHeight w:val="266"/>
        </w:trPr>
        <w:tc>
          <w:tcPr>
            <w:tcW w:w="1320" w:type="dxa"/>
            <w:vAlign w:val="bottom"/>
            <w:vMerge w:val="continue"/>
          </w:tcPr>
          <w:p>
            <w:pPr>
              <w:spacing w:after="0"/>
              <w:rPr>
                <w:sz w:val="23"/>
                <w:szCs w:val="23"/>
                <w:color w:val="auto"/>
              </w:rPr>
            </w:pPr>
          </w:p>
        </w:tc>
        <w:tc>
          <w:tcPr>
            <w:tcW w:w="5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2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4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4"/>
        </w:trPr>
        <w:tc>
          <w:tcPr>
            <w:tcW w:w="13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0</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w:t>
            </w:r>
          </w:p>
        </w:tc>
        <w:tc>
          <w:tcPr>
            <w:tcW w:w="9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the Conversion Rate in effect immediately before the Close of Business on the last Trading Day of the Tender/Exchange Offer</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Valuation Period for such tender or exchange offer;</w:t>
            </w:r>
          </w:p>
        </w:tc>
        <w:tc>
          <w:tcPr>
            <w:tcW w:w="0" w:type="dxa"/>
            <w:vAlign w:val="bottom"/>
          </w:tcPr>
          <w:p>
            <w:pPr>
              <w:spacing w:after="0"/>
              <w:rPr>
                <w:sz w:val="1"/>
                <w:szCs w:val="1"/>
                <w:color w:val="auto"/>
              </w:rPr>
            </w:pPr>
          </w:p>
        </w:tc>
      </w:tr>
      <w:tr>
        <w:trPr>
          <w:trHeight w:val="557"/>
        </w:trPr>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jc w:val="right"/>
              <w:ind w:right="1236"/>
              <w:spacing w:after="0"/>
              <w:rPr>
                <w:sz w:val="20"/>
                <w:szCs w:val="20"/>
                <w:color w:val="auto"/>
              </w:rPr>
            </w:pPr>
            <w:r>
              <w:rPr>
                <w:rFonts w:ascii="Times New Roman" w:cs="Times New Roman" w:eastAsia="Times New Roman" w:hAnsi="Times New Roman"/>
                <w:sz w:val="14"/>
                <w:szCs w:val="14"/>
                <w:color w:val="auto"/>
              </w:rPr>
              <w:t>41</w:t>
            </w: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3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51" w:name="page52"/>
    <w:bookmarkEnd w:id="51"/>
    <w:p>
      <w:pPr>
        <w:spacing w:after="0" w:line="1" w:lineRule="exact"/>
        <w:rPr>
          <w:sz w:val="20"/>
          <w:szCs w:val="20"/>
          <w:color w:val="auto"/>
        </w:rPr>
      </w:pPr>
    </w:p>
    <w:tbl>
      <w:tblPr>
        <w:tblLayout w:type="fixed"/>
        <w:tblInd w:w="24" w:type="dxa"/>
        <w:tblCellMar>
          <w:top w:w="0" w:type="dxa"/>
          <w:left w:w="0" w:type="dxa"/>
          <w:bottom w:w="0" w:type="dxa"/>
          <w:right w:w="0" w:type="dxa"/>
        </w:tblCellMar>
      </w:tblPr>
      <w:tr>
        <w:trPr>
          <w:trHeight w:val="338"/>
        </w:trPr>
        <w:tc>
          <w:tcPr>
            <w:tcW w:w="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1</w:t>
            </w: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w:t>
            </w: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Conversion Rate in effect immediately after the Close of Business on the last Trading Day of the Tender/Exchange Offer</w:t>
            </w:r>
          </w:p>
        </w:tc>
      </w:tr>
      <w:tr>
        <w:trPr>
          <w:trHeight w:val="234"/>
        </w:trPr>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Valuation Period;</w:t>
            </w: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w:t>
            </w: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w:t>
            </w: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 xml:space="preserve">the aggregate value (determined as of the time (the </w:t>
            </w:r>
            <w:r>
              <w:rPr>
                <w:rFonts w:ascii="Times New Roman" w:cs="Times New Roman" w:eastAsia="Times New Roman" w:hAnsi="Times New Roman"/>
                <w:sz w:val="18"/>
                <w:szCs w:val="18"/>
                <w:b w:val="1"/>
                <w:bCs w:val="1"/>
                <w:color w:val="auto"/>
                <w:w w:val="99"/>
              </w:rPr>
              <w:t>“Expiration Time</w:t>
            </w:r>
            <w:r>
              <w:rPr>
                <w:rFonts w:ascii="Times New Roman" w:cs="Times New Roman" w:eastAsia="Times New Roman" w:hAnsi="Times New Roman"/>
                <w:sz w:val="18"/>
                <w:szCs w:val="18"/>
                <w:color w:val="auto"/>
                <w:w w:val="99"/>
              </w:rPr>
              <w:t>”) such tender or exchange offer expires by the Company</w:t>
            </w:r>
          </w:p>
        </w:tc>
      </w:tr>
      <w:tr>
        <w:trPr>
          <w:trHeight w:val="216"/>
        </w:trPr>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 good faith and in a commercially reasonable manner) of all cash and other consideration paid or payable for shares of</w:t>
            </w:r>
          </w:p>
        </w:tc>
      </w:tr>
      <w:tr>
        <w:trPr>
          <w:trHeight w:val="234"/>
        </w:trPr>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purchased or exchanged in such tender or exchange offer;</w:t>
            </w: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9"/>
                <w:szCs w:val="29"/>
                <w:i w:val="1"/>
                <w:iCs w:val="1"/>
                <w:color w:val="auto"/>
                <w:vertAlign w:val="subscript"/>
              </w:rPr>
              <w:t>0</w:t>
            </w: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w:t>
            </w: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before the Expiration Time (including all shares of Common</w:t>
            </w:r>
          </w:p>
        </w:tc>
      </w:tr>
      <w:tr>
        <w:trPr>
          <w:trHeight w:val="234"/>
        </w:trPr>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accepted for purchase or exchange in such tender or exchange offer);</w:t>
            </w: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9"/>
                <w:szCs w:val="29"/>
                <w:i w:val="1"/>
                <w:iCs w:val="1"/>
                <w:color w:val="auto"/>
                <w:vertAlign w:val="subscript"/>
              </w:rPr>
              <w:t>1</w:t>
            </w: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w:t>
            </w: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after the Expiration Time (excluding all shares of Common</w:t>
            </w:r>
          </w:p>
        </w:tc>
      </w:tr>
      <w:tr>
        <w:trPr>
          <w:trHeight w:val="234"/>
        </w:trPr>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accepted for purchase or exchange in such tender or exchange offer); and</w:t>
            </w:r>
          </w:p>
        </w:tc>
      </w:tr>
      <w:tr>
        <w:trPr>
          <w:trHeight w:val="410"/>
        </w:trPr>
        <w:tc>
          <w:tcPr>
            <w:tcW w:w="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SP</w:t>
            </w: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w:t>
            </w: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average of the Last Reported Sale Prices per share of Common Stock over the ten (10) consecutive Trading Day period (the</w:t>
            </w:r>
          </w:p>
        </w:tc>
      </w:tr>
      <w:tr>
        <w:trPr>
          <w:trHeight w:val="220"/>
        </w:trPr>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“Tender/Exchange Offer Valuation Period</w:t>
            </w:r>
            <w:r>
              <w:rPr>
                <w:rFonts w:ascii="Times New Roman" w:cs="Times New Roman" w:eastAsia="Times New Roman" w:hAnsi="Times New Roman"/>
                <w:sz w:val="18"/>
                <w:szCs w:val="18"/>
                <w:color w:val="auto"/>
              </w:rPr>
              <w:t>”) beginning on, and including, the Trading Day immediately after the Expiration</w:t>
            </w:r>
          </w:p>
        </w:tc>
      </w:tr>
      <w:tr>
        <w:trPr>
          <w:trHeight w:val="234"/>
        </w:trPr>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Date;</w:t>
            </w:r>
          </w:p>
        </w:tc>
      </w:tr>
    </w:tbl>
    <w:p>
      <w:pPr>
        <w:spacing w:after="0" w:line="194"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the Conversion Rate will in no event be adjusted down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5.05(A)(v)</w:t>
      </w:r>
      <w:r>
        <w:rPr>
          <w:rFonts w:ascii="Times New Roman" w:cs="Times New Roman" w:eastAsia="Times New Roman" w:hAnsi="Times New Roman"/>
          <w:sz w:val="18"/>
          <w:szCs w:val="18"/>
          <w:color w:val="auto"/>
        </w:rPr>
        <w:t>, except to the extent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the immediately following paragraph. Notwithstanding anything to the contrary in this </w:t>
      </w:r>
      <w:r>
        <w:rPr>
          <w:rFonts w:ascii="Times New Roman" w:cs="Times New Roman" w:eastAsia="Times New Roman" w:hAnsi="Times New Roman"/>
          <w:sz w:val="18"/>
          <w:szCs w:val="18"/>
          <w:b w:val="1"/>
          <w:bCs w:val="1"/>
          <w:color w:val="auto"/>
        </w:rPr>
        <w:t>Section 5.05(A)(v)</w:t>
      </w:r>
      <w:r>
        <w:rPr>
          <w:rFonts w:ascii="Times New Roman" w:cs="Times New Roman" w:eastAsia="Times New Roman" w:hAnsi="Times New Roman"/>
          <w:sz w:val="18"/>
          <w:szCs w:val="18"/>
          <w:color w:val="auto"/>
        </w:rPr>
        <w:t>, if any VWAP Trading Day of the Observation Period for a Note to be Converted occurs during the Tender/Exchange Offer Valuation Period for such tender or exchange offer, then, solely for purposes of determining the Conversion Rate for such VWAP Trading Day for such Conversion, such Tender/Exchange Offer Valuation Period will be deemed to consist of the Trading Days occurring in the period from, and including, the Trading Day immediately after the Expiration Date for such tender or exchange offer to, and including, such VWAP Trading Day.</w:t>
      </w:r>
    </w:p>
    <w:p>
      <w:pPr>
        <w:spacing w:after="0" w:line="186"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To the extent such tender or exchange offer is announced but not consummated (including as a result of being precluded from consummating such tender or exchange offer under applicable law), or any purchases or exchanges of shares of Common Stock in such tender or exchange offer are rescinded, the Conversion Rate will be readjusted to the Conversion Rate that would then be in effect had the adjustment been made on the basis of only the purchases or exchanges of shares of Common Stock, if any, actually made, and not rescinded, in such tender or exchange offer.</w:t>
      </w:r>
    </w:p>
    <w:p>
      <w:pPr>
        <w:spacing w:after="0" w:line="178" w:lineRule="exact"/>
        <w:rPr>
          <w:sz w:val="20"/>
          <w:szCs w:val="20"/>
          <w:color w:val="auto"/>
        </w:rPr>
      </w:pPr>
    </w:p>
    <w:p>
      <w:pPr>
        <w:ind w:left="644" w:hanging="644"/>
        <w:spacing w:after="0"/>
        <w:tabs>
          <w:tab w:leader="none" w:pos="644" w:val="left"/>
        </w:tabs>
        <w:numPr>
          <w:ilvl w:val="0"/>
          <w:numId w:val="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No Adjustments in Certain Cases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010000"/>
        </w:rPr>
      </w:pPr>
    </w:p>
    <w:p>
      <w:pPr>
        <w:jc w:val="both"/>
        <w:ind w:left="4" w:firstLine="644"/>
        <w:spacing w:after="0" w:line="256" w:lineRule="auto"/>
        <w:tabs>
          <w:tab w:leader="none" w:pos="1289"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Where Holders Participate in the Transaction or Event Without Conversion. Notwithstanding anything to the contrary in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5.05(A)</w:t>
      </w:r>
      <w:r>
        <w:rPr>
          <w:rFonts w:ascii="Times New Roman" w:cs="Times New Roman" w:eastAsia="Times New Roman" w:hAnsi="Times New Roman"/>
          <w:sz w:val="18"/>
          <w:szCs w:val="18"/>
          <w:color w:val="auto"/>
        </w:rPr>
        <w:t>, the Company will not be obligated to adjust the Conversion Rate on account of a transaction or other event otherwise requiring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adjustment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(other than a stock split or combination of the type set forth in </w:t>
      </w:r>
      <w:r>
        <w:rPr>
          <w:rFonts w:ascii="Times New Roman" w:cs="Times New Roman" w:eastAsia="Times New Roman" w:hAnsi="Times New Roman"/>
          <w:sz w:val="18"/>
          <w:szCs w:val="18"/>
          <w:b w:val="1"/>
          <w:bCs w:val="1"/>
          <w:color w:val="auto"/>
        </w:rPr>
        <w:t>Section 5.05(A)(i)</w:t>
      </w:r>
      <w:r>
        <w:rPr>
          <w:rFonts w:ascii="Times New Roman" w:cs="Times New Roman" w:eastAsia="Times New Roman" w:hAnsi="Times New Roman"/>
          <w:sz w:val="18"/>
          <w:szCs w:val="18"/>
          <w:color w:val="auto"/>
        </w:rPr>
        <w:t xml:space="preserve"> or a tender or exchange offer of the type set forth in </w:t>
      </w:r>
      <w:r>
        <w:rPr>
          <w:rFonts w:ascii="Times New Roman" w:cs="Times New Roman" w:eastAsia="Times New Roman" w:hAnsi="Times New Roman"/>
          <w:sz w:val="18"/>
          <w:szCs w:val="18"/>
          <w:b w:val="1"/>
          <w:bCs w:val="1"/>
          <w:color w:val="auto"/>
        </w:rPr>
        <w:t>Section 5.05(A)(v)</w:t>
      </w:r>
      <w:r>
        <w:rPr>
          <w:rFonts w:ascii="Times New Roman" w:cs="Times New Roman" w:eastAsia="Times New Roman" w:hAnsi="Times New Roman"/>
          <w:sz w:val="18"/>
          <w:szCs w:val="18"/>
          <w:color w:val="auto"/>
        </w:rPr>
        <w:t>) if each Holder participates, at the same time and on the same terms as holders of Common Stock, and solely by virtue of being a Holder of Notes, in such transaction or event without having to Convert such Holder’s Notes and as if such Holder held a number of shares of Common Stock equal to the product of (i) the Conversion Rate in effect on the related record date; and (ii) the aggregate principal amount (expressed in thousands) of Notes held by such Holder on such date.</w:t>
      </w:r>
    </w:p>
    <w:p>
      <w:pPr>
        <w:spacing w:after="0" w:line="182" w:lineRule="exact"/>
        <w:rPr>
          <w:rFonts w:ascii="Times New Roman" w:cs="Times New Roman" w:eastAsia="Times New Roman" w:hAnsi="Times New Roman"/>
          <w:sz w:val="18"/>
          <w:szCs w:val="18"/>
          <w:color w:val="auto"/>
        </w:rPr>
      </w:pPr>
    </w:p>
    <w:p>
      <w:pPr>
        <w:ind w:left="1184" w:hanging="536"/>
        <w:spacing w:after="0"/>
        <w:tabs>
          <w:tab w:leader="none" w:pos="118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Certain Events. </w:t>
      </w:r>
      <w:r>
        <w:rPr>
          <w:rFonts w:ascii="Times New Roman" w:cs="Times New Roman" w:eastAsia="Times New Roman" w:hAnsi="Times New Roman"/>
          <w:sz w:val="18"/>
          <w:szCs w:val="18"/>
          <w:color w:val="auto"/>
        </w:rPr>
        <w:t>The Company will not be required to adjust the Conversion Rate except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w:t>
      </w:r>
    </w:p>
    <w:p>
      <w:pPr>
        <w:spacing w:after="0" w:line="3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5.07</w:t>
      </w:r>
      <w:r>
        <w:rPr>
          <w:rFonts w:ascii="Times New Roman" w:cs="Times New Roman" w:eastAsia="Times New Roman" w:hAnsi="Times New Roman"/>
          <w:sz w:val="18"/>
          <w:szCs w:val="18"/>
          <w:color w:val="auto"/>
        </w:rPr>
        <w:t>. Without limiting the foregoing, the Company will not be obligated to adjust the Conversion Rate on account of:</w:t>
      </w:r>
    </w:p>
    <w:p>
      <w:pPr>
        <w:spacing w:after="0" w:line="378"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0" w:right="339" w:bottom="1440" w:gutter="0" w:footer="0" w:header="0"/>
        </w:sectPr>
      </w:pPr>
    </w:p>
    <w:bookmarkStart w:id="52" w:name="page53"/>
    <w:bookmarkEnd w:id="52"/>
    <w:p>
      <w:pPr>
        <w:ind w:left="1300" w:firstLine="652"/>
        <w:spacing w:after="0" w:line="286" w:lineRule="auto"/>
        <w:tabs>
          <w:tab w:leader="none" w:pos="2597" w:val="left"/>
        </w:tabs>
        <w:numPr>
          <w:ilvl w:val="2"/>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b w:val="1"/>
          <w:bCs w:val="1"/>
          <w:color w:val="auto"/>
        </w:rPr>
        <w:t>Section 5.05</w:t>
      </w:r>
      <w:r>
        <w:rPr>
          <w:rFonts w:ascii="Times New Roman" w:cs="Times New Roman" w:eastAsia="Times New Roman" w:hAnsi="Times New Roman"/>
          <w:sz w:val="18"/>
          <w:szCs w:val="18"/>
          <w:color w:val="auto"/>
        </w:rPr>
        <w:t>, the sale of shares of Common Stock for a purchase price that is less than the market price per share of Common Stock or less than the Conversion Price;</w:t>
      </w:r>
    </w:p>
    <w:p>
      <w:pPr>
        <w:spacing w:after="0" w:line="158" w:lineRule="exact"/>
        <w:rPr>
          <w:rFonts w:ascii="Times New Roman" w:cs="Times New Roman" w:eastAsia="Times New Roman" w:hAnsi="Times New Roman"/>
          <w:sz w:val="18"/>
          <w:szCs w:val="18"/>
          <w:color w:val="010000"/>
        </w:rPr>
      </w:pPr>
    </w:p>
    <w:p>
      <w:pPr>
        <w:jc w:val="both"/>
        <w:ind w:left="1300" w:firstLine="652"/>
        <w:spacing w:after="0" w:line="266" w:lineRule="auto"/>
        <w:tabs>
          <w:tab w:leader="none" w:pos="2682" w:val="left"/>
        </w:tabs>
        <w:numPr>
          <w:ilvl w:val="2"/>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issuance of any shares of Common Stock pursuant to any present or future plan providing for the reinvestment of dividends or interest payable on the Company’s securities and the investment of additional optional amounts in shares of Common Stock under any such plan;</w:t>
      </w:r>
    </w:p>
    <w:p>
      <w:pPr>
        <w:spacing w:after="0" w:line="175" w:lineRule="exact"/>
        <w:rPr>
          <w:rFonts w:ascii="Times New Roman" w:cs="Times New Roman" w:eastAsia="Times New Roman" w:hAnsi="Times New Roman"/>
          <w:sz w:val="18"/>
          <w:szCs w:val="18"/>
          <w:color w:val="010000"/>
        </w:rPr>
      </w:pPr>
    </w:p>
    <w:p>
      <w:pPr>
        <w:ind w:left="1300" w:right="20" w:firstLine="652"/>
        <w:spacing w:after="0" w:line="282" w:lineRule="auto"/>
        <w:tabs>
          <w:tab w:leader="none" w:pos="2634" w:val="left"/>
        </w:tabs>
        <w:numPr>
          <w:ilvl w:val="2"/>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issuance of any shares of Common Stock or options or rights to purchase shares of Common Stock pursuant to any present or future employee, director or consultant benefit plan or pro</w:t>
      </w:r>
      <w:r>
        <w:rPr>
          <w:rFonts w:ascii="Times New Roman" w:cs="Times New Roman" w:eastAsia="Times New Roman" w:hAnsi="Times New Roman"/>
          <w:sz w:val="18"/>
          <w:szCs w:val="18"/>
          <w:u w:val="single" w:color="auto"/>
          <w:color w:val="auto"/>
        </w:rPr>
        <w:t>gram</w:t>
      </w:r>
      <w:r>
        <w:rPr>
          <w:rFonts w:ascii="Times New Roman" w:cs="Times New Roman" w:eastAsia="Times New Roman" w:hAnsi="Times New Roman"/>
          <w:sz w:val="18"/>
          <w:szCs w:val="18"/>
          <w:color w:val="auto"/>
        </w:rPr>
        <w:t xml:space="preserve"> of, or assumed by, the Company or any of its Subsidiaries;</w:t>
      </w:r>
    </w:p>
    <w:p>
      <w:pPr>
        <w:spacing w:after="0" w:line="161" w:lineRule="exact"/>
        <w:rPr>
          <w:rFonts w:ascii="Times New Roman" w:cs="Times New Roman" w:eastAsia="Times New Roman" w:hAnsi="Times New Roman"/>
          <w:sz w:val="18"/>
          <w:szCs w:val="18"/>
          <w:color w:val="010000"/>
        </w:rPr>
      </w:pPr>
    </w:p>
    <w:p>
      <w:pPr>
        <w:ind w:left="1300" w:firstLine="652"/>
        <w:spacing w:after="0" w:line="282" w:lineRule="auto"/>
        <w:tabs>
          <w:tab w:leader="none" w:pos="2752" w:val="left"/>
        </w:tabs>
        <w:numPr>
          <w:ilvl w:val="2"/>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issuance of any shares of Common Stock pursuant to any option, warrant, right or convertible or exchangeable security of the Company outstanding as of the Issue Date;</w:t>
      </w:r>
    </w:p>
    <w:p>
      <w:pPr>
        <w:spacing w:after="0" w:line="161" w:lineRule="exact"/>
        <w:rPr>
          <w:rFonts w:ascii="Times New Roman" w:cs="Times New Roman" w:eastAsia="Times New Roman" w:hAnsi="Times New Roman"/>
          <w:sz w:val="18"/>
          <w:szCs w:val="18"/>
          <w:color w:val="010000"/>
        </w:rPr>
      </w:pPr>
    </w:p>
    <w:p>
      <w:pPr>
        <w:ind w:left="2620" w:hanging="668"/>
        <w:spacing w:after="0"/>
        <w:tabs>
          <w:tab w:leader="none" w:pos="2620" w:val="left"/>
        </w:tabs>
        <w:numPr>
          <w:ilvl w:val="2"/>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solely a change in the par value of the Common Stock; or</w:t>
      </w:r>
    </w:p>
    <w:p>
      <w:pPr>
        <w:spacing w:after="0" w:line="225" w:lineRule="exact"/>
        <w:rPr>
          <w:rFonts w:ascii="Times New Roman" w:cs="Times New Roman" w:eastAsia="Times New Roman" w:hAnsi="Times New Roman"/>
          <w:sz w:val="18"/>
          <w:szCs w:val="18"/>
          <w:color w:val="010000"/>
        </w:rPr>
      </w:pPr>
    </w:p>
    <w:p>
      <w:pPr>
        <w:ind w:left="2620" w:hanging="668"/>
        <w:spacing w:after="0"/>
        <w:tabs>
          <w:tab w:leader="none" w:pos="2620" w:val="left"/>
        </w:tabs>
        <w:numPr>
          <w:ilvl w:val="2"/>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accrued and unpaid interest on the Notes.</w:t>
      </w:r>
    </w:p>
    <w:p>
      <w:pPr>
        <w:spacing w:after="0" w:line="221" w:lineRule="exact"/>
        <w:rPr>
          <w:rFonts w:ascii="Times New Roman" w:cs="Times New Roman" w:eastAsia="Times New Roman" w:hAnsi="Times New Roman"/>
          <w:sz w:val="18"/>
          <w:szCs w:val="18"/>
          <w:color w:val="010000"/>
        </w:rPr>
      </w:pPr>
    </w:p>
    <w:p>
      <w:pPr>
        <w:jc w:val="both"/>
        <w:ind w:firstLine="656"/>
        <w:spacing w:after="0" w:line="257" w:lineRule="auto"/>
        <w:tabs>
          <w:tab w:leader="none" w:pos="1347" w:val="left"/>
        </w:tabs>
        <w:numPr>
          <w:ilvl w:val="0"/>
          <w:numId w:val="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Adjustment Deferral. </w:t>
      </w:r>
      <w:r>
        <w:rPr>
          <w:rFonts w:ascii="Times New Roman" w:cs="Times New Roman" w:eastAsia="Times New Roman" w:hAnsi="Times New Roman"/>
          <w:sz w:val="18"/>
          <w:szCs w:val="18"/>
          <w:color w:val="auto"/>
        </w:rPr>
        <w:t>If an adjustment to the Conversion Rate otherwise required by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result in a change of less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one percent (1%) to the Conversion Rate, then, notwithstanding anything to the contrary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the Company may, at its election, defer and carry forward such adjustment, except that all such deferred adjustments must be given effect immediately upon the earliest of the following: (i) when all such deferred adjustments would, had they not been so deferred and carried forward, result in a change of at least one percent (1%) to the Conversion Rate; (ii) the Conversion Date of, or any VWAP Trading Day of an Observation Period for, any Note; (iii) the date a Fundamental Change or Make-Whole Fundamental Change occurs; (iv) the date the Company calls any Notes for Redemption; and (v) March 1, 2030.</w:t>
      </w:r>
    </w:p>
    <w:p>
      <w:pPr>
        <w:spacing w:after="0" w:line="184" w:lineRule="exact"/>
        <w:rPr>
          <w:rFonts w:ascii="Times New Roman" w:cs="Times New Roman" w:eastAsia="Times New Roman" w:hAnsi="Times New Roman"/>
          <w:sz w:val="18"/>
          <w:szCs w:val="18"/>
          <w:color w:val="010000"/>
        </w:rPr>
      </w:pPr>
    </w:p>
    <w:p>
      <w:pPr>
        <w:ind w:left="1320" w:hanging="664"/>
        <w:spacing w:after="0"/>
        <w:tabs>
          <w:tab w:leader="none" w:pos="1320" w:val="left"/>
        </w:tabs>
        <w:numPr>
          <w:ilvl w:val="0"/>
          <w:numId w:val="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Adjustments Not Yet Effective. </w:t>
      </w:r>
      <w:r>
        <w:rPr>
          <w:rFonts w:ascii="Times New Roman" w:cs="Times New Roman" w:eastAsia="Times New Roman" w:hAnsi="Times New Roman"/>
          <w:sz w:val="18"/>
          <w:szCs w:val="18"/>
          <w:color w:val="auto"/>
        </w:rPr>
        <w:t>Notwithstanding anything to the contrary in this Indenture or the Notes, if:</w:t>
      </w:r>
    </w:p>
    <w:p>
      <w:pPr>
        <w:spacing w:after="0" w:line="227"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is to be Converted pursuant to Combination Settlement;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6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record date, effective date or Expiration Time for any event that requires an adjustment to the Conversion Rate pursuant to </w:t>
      </w:r>
      <w:r>
        <w:rPr>
          <w:rFonts w:ascii="Times New Roman" w:cs="Times New Roman" w:eastAsia="Times New Roman" w:hAnsi="Times New Roman"/>
          <w:sz w:val="18"/>
          <w:szCs w:val="18"/>
          <w:b w:val="1"/>
          <w:bCs w:val="1"/>
          <w:color w:val="auto"/>
        </w:rPr>
        <w:t xml:space="preserve">Section 5.05(A) </w:t>
      </w:r>
      <w:r>
        <w:rPr>
          <w:rFonts w:ascii="Times New Roman" w:cs="Times New Roman" w:eastAsia="Times New Roman" w:hAnsi="Times New Roman"/>
          <w:sz w:val="18"/>
          <w:szCs w:val="18"/>
          <w:color w:val="auto"/>
        </w:rPr>
        <w:t>has occurred on or before any VWAP Trading Day in the Observation Period for such Conversion, but an adjustment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Rate for such event has not yet become effective as of such VWAP Trading Day;</w:t>
      </w:r>
    </w:p>
    <w:p>
      <w:pPr>
        <w:spacing w:after="0" w:line="17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Consideration due in respect of such VWAP Trading Day includes any whole or fractional shares of Common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and</w:t>
      </w:r>
    </w:p>
    <w:p>
      <w:pPr>
        <w:spacing w:after="0" w:line="206"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are not entitled to participate in such event (because they were not held on the related record date or otherwise),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then, solely for purposes of such Conversion, the Company will, without duplication, give effect to such adjustment on such VWAP Trading Day. In such case, if the date on which the Company is otherwise required to deliver the consideration due upon such Conversion is before the first date on which the amount of such adjustment can be determined, then the Company will delay the settlement of such Conversion until the second (2nd) Business Day after such first date.</w:t>
      </w:r>
    </w:p>
    <w:p>
      <w:pPr>
        <w:spacing w:after="0" w:line="178" w:lineRule="exact"/>
        <w:rPr>
          <w:sz w:val="20"/>
          <w:szCs w:val="20"/>
          <w:color w:val="auto"/>
        </w:rPr>
      </w:pPr>
    </w:p>
    <w:p>
      <w:pPr>
        <w:ind w:right="20" w:firstLine="656"/>
        <w:spacing w:after="0" w:line="284" w:lineRule="auto"/>
        <w:tabs>
          <w:tab w:leader="none" w:pos="1292" w:val="left"/>
        </w:tabs>
        <w:numPr>
          <w:ilvl w:val="0"/>
          <w:numId w:val="8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Conversion Rate Adjustments Where Converting Holders Participate in the Relevant Transaction or Event</w:t>
      </w:r>
      <w:r>
        <w:rPr>
          <w:rFonts w:ascii="Times New Roman" w:cs="Times New Roman" w:eastAsia="Times New Roman" w:hAnsi="Times New Roman"/>
          <w:sz w:val="18"/>
          <w:szCs w:val="18"/>
          <w:color w:val="auto"/>
        </w:rPr>
        <w:t>. Notwithstanding anything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contrary in this Indenture or the Notes, if:</w:t>
      </w:r>
    </w:p>
    <w:p>
      <w:pPr>
        <w:spacing w:after="0" w:line="156" w:lineRule="exact"/>
        <w:rPr>
          <w:rFonts w:ascii="Times New Roman" w:cs="Times New Roman" w:eastAsia="Times New Roman" w:hAnsi="Times New Roman"/>
          <w:sz w:val="18"/>
          <w:szCs w:val="18"/>
          <w:color w:val="010000"/>
        </w:rPr>
      </w:pPr>
    </w:p>
    <w:p>
      <w:pPr>
        <w:ind w:left="1980" w:hanging="676"/>
        <w:spacing w:after="0"/>
        <w:tabs>
          <w:tab w:leader="none" w:pos="19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Conversion Rate adjustment for any dividend or distribution becomes effective on any Ex-Dividend Date pursuant to </w:t>
      </w:r>
      <w:r>
        <w:rPr>
          <w:rFonts w:ascii="Times New Roman" w:cs="Times New Roman" w:eastAsia="Times New Roman" w:hAnsi="Times New Roman"/>
          <w:sz w:val="18"/>
          <w:szCs w:val="18"/>
          <w:b w:val="1"/>
          <w:bCs w:val="1"/>
          <w:color w:val="auto"/>
        </w:rPr>
        <w:t>Section</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5.05(A)</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ind w:left="1920" w:hanging="616"/>
        <w:spacing w:after="0"/>
        <w:tabs>
          <w:tab w:leader="none" w:pos="19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is to be Converted pursuant to Combination Settlement;</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00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VWAP Trading Day in the Observation Period for such Conversion occurs on or after such Ex-Dividend Date and on or before the related record date;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01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Consideration due in respect of such VWAP Trading Day includes any whole or fractional shares of Common Stock based on a Conversion Rate that is adjusted for such dividend or distribution; and</w:t>
      </w:r>
    </w:p>
    <w:p>
      <w:pPr>
        <w:spacing w:after="0" w:line="15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shares would be entitled to participate in such dividend or distribution (including pursuant to </w:t>
      </w:r>
      <w:r>
        <w:rPr>
          <w:rFonts w:ascii="Times New Roman" w:cs="Times New Roman" w:eastAsia="Times New Roman" w:hAnsi="Times New Roman"/>
          <w:sz w:val="18"/>
          <w:szCs w:val="18"/>
          <w:b w:val="1"/>
          <w:bCs w:val="1"/>
          <w:color w:val="auto"/>
        </w:rPr>
        <w:t>Section 5.02(C)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then the Conversion Rate adjustment relating to such Ex-Dividend Date will be made for such Conversion in respect of such VWAP Trading Day, but the shares of Common Stock issuable with respect to such VWAP Trading Day based on such adjusted Conversion Rate will not be entitled to participate in such dividend or distribution.</w:t>
      </w:r>
    </w:p>
    <w:p>
      <w:pPr>
        <w:spacing w:after="0" w:line="174" w:lineRule="exact"/>
        <w:rPr>
          <w:sz w:val="20"/>
          <w:szCs w:val="20"/>
          <w:color w:val="auto"/>
        </w:rPr>
      </w:pPr>
    </w:p>
    <w:p>
      <w:pPr>
        <w:jc w:val="both"/>
        <w:ind w:firstLine="656"/>
        <w:spacing w:after="0" w:line="256" w:lineRule="auto"/>
        <w:tabs>
          <w:tab w:leader="none" w:pos="1417"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Stockholder Rights Plans. </w:t>
      </w:r>
      <w:r>
        <w:rPr>
          <w:rFonts w:ascii="Times New Roman" w:cs="Times New Roman" w:eastAsia="Times New Roman" w:hAnsi="Times New Roman"/>
          <w:sz w:val="18"/>
          <w:szCs w:val="18"/>
          <w:color w:val="auto"/>
        </w:rPr>
        <w:t>If any shares of Common Stock are to be issued upon Conversion of any Note and, at the time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Conversion, the Company has in effect any stockholder rights plan, then the Holder of such Note will be entitled to receive, in addition to, and concurrently with the delivery of, the Conversion Consideration otherwise payable under this Indenture upon such Conversion, the rights set forth in such stockholder rights plan, unless such rights have separated from the Common Stock at such time, in which case, and only in such case, the Conversion Rate will be adjusted pursuant to </w:t>
      </w:r>
      <w:r>
        <w:rPr>
          <w:rFonts w:ascii="Times New Roman" w:cs="Times New Roman" w:eastAsia="Times New Roman" w:hAnsi="Times New Roman"/>
          <w:sz w:val="18"/>
          <w:szCs w:val="18"/>
          <w:b w:val="1"/>
          <w:bCs w:val="1"/>
          <w:color w:val="auto"/>
        </w:rPr>
        <w:t>Section 5.05(A)(iii)(1)</w:t>
      </w:r>
      <w:r>
        <w:rPr>
          <w:rFonts w:ascii="Times New Roman" w:cs="Times New Roman" w:eastAsia="Times New Roman" w:hAnsi="Times New Roman"/>
          <w:sz w:val="18"/>
          <w:szCs w:val="18"/>
          <w:color w:val="auto"/>
        </w:rPr>
        <w:t xml:space="preserve"> on account of such separation as if, at the time of such separation, the Company had made a distribution of the type referred to in such Section to all holders of the Common Stock, subject to potential readjustment in accordance with the last paragraph of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5.05(A)(iii)(1)</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010000"/>
        </w:rPr>
      </w:pPr>
    </w:p>
    <w:p>
      <w:pPr>
        <w:jc w:val="both"/>
        <w:ind w:firstLine="656"/>
        <w:spacing w:after="0" w:line="267" w:lineRule="auto"/>
        <w:tabs>
          <w:tab w:leader="none" w:pos="1298"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Limitation on Effecting Transactions Resulting in Certain Adjustments. </w:t>
      </w:r>
      <w:r>
        <w:rPr>
          <w:rFonts w:ascii="Times New Roman" w:cs="Times New Roman" w:eastAsia="Times New Roman" w:hAnsi="Times New Roman"/>
          <w:sz w:val="18"/>
          <w:szCs w:val="18"/>
          <w:color w:val="auto"/>
        </w:rPr>
        <w:t>The Company will not engage in or be a party to any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event that would require the Conversion Rate to be adjusted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xml:space="preserve"> to an amount that would result in the Conversion Price per share of Common Stock being less than the par value per share of Common Stock.</w:t>
      </w:r>
    </w:p>
    <w:p>
      <w:pPr>
        <w:spacing w:after="0" w:line="173" w:lineRule="exact"/>
        <w:rPr>
          <w:rFonts w:ascii="Times New Roman" w:cs="Times New Roman" w:eastAsia="Times New Roman" w:hAnsi="Times New Roman"/>
          <w:sz w:val="18"/>
          <w:szCs w:val="18"/>
          <w:color w:val="010000"/>
        </w:rPr>
      </w:pPr>
    </w:p>
    <w:p>
      <w:pPr>
        <w:jc w:val="both"/>
        <w:ind w:firstLine="656"/>
        <w:spacing w:after="0" w:line="257" w:lineRule="auto"/>
        <w:tabs>
          <w:tab w:leader="none" w:pos="1366"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Equitable Adjustments to Prices. </w:t>
      </w:r>
      <w:r>
        <w:rPr>
          <w:rFonts w:ascii="Times New Roman" w:cs="Times New Roman" w:eastAsia="Times New Roman" w:hAnsi="Times New Roman"/>
          <w:sz w:val="18"/>
          <w:szCs w:val="18"/>
          <w:color w:val="auto"/>
        </w:rPr>
        <w:t>Whenever any provision of this Indenture requires the Company to calculate the average of the Last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Reported Sale Prices, or any function thereof, over a period of multiple days (including to calculate the Stock Price or an adjustment to the Conversion Rate), or to calculate Daily VWAPs over an Observation Period, the Company, if appropriate, will make appropriate adjustments, if any, to such calculations to account for any adjustment to the Conversion Rate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that becomes effective, or any event requiring such an adjustment to the Conversion Rate where the Ex-Dividend Date or effective date, as applicable, of such event occurs, at any time during such period or Observation Period, as applicable.</w:t>
      </w:r>
    </w:p>
    <w:p>
      <w:pPr>
        <w:spacing w:after="0" w:line="180" w:lineRule="exact"/>
        <w:rPr>
          <w:rFonts w:ascii="Times New Roman" w:cs="Times New Roman" w:eastAsia="Times New Roman" w:hAnsi="Times New Roman"/>
          <w:sz w:val="18"/>
          <w:szCs w:val="18"/>
          <w:color w:val="010000"/>
        </w:rPr>
      </w:pPr>
    </w:p>
    <w:p>
      <w:pPr>
        <w:jc w:val="both"/>
        <w:ind w:firstLine="656"/>
        <w:spacing w:after="0" w:line="262" w:lineRule="auto"/>
        <w:tabs>
          <w:tab w:leader="none" w:pos="1156"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Calculation of Number of Outstanding Shares of Common Stock. </w:t>
      </w:r>
      <w:r>
        <w:rPr>
          <w:rFonts w:ascii="Times New Roman" w:cs="Times New Roman" w:eastAsia="Times New Roman" w:hAnsi="Times New Roman"/>
          <w:sz w:val="18"/>
          <w:szCs w:val="18"/>
          <w:color w:val="auto"/>
        </w:rPr>
        <w:t>For purposes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the number of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at any time will (i) include shares issuable in respect of scrip certificates issued in lieu of fractions of shares of Common Stock; and (ii) exclude shares of Common Stock held in the Company’s treasury (unless the Company pays any dividend or makes any distribution on shares of Common Stock held in its treasury).</w:t>
      </w:r>
    </w:p>
    <w:p>
      <w:pPr>
        <w:spacing w:after="0" w:line="178" w:lineRule="exact"/>
        <w:rPr>
          <w:rFonts w:ascii="Times New Roman" w:cs="Times New Roman" w:eastAsia="Times New Roman" w:hAnsi="Times New Roman"/>
          <w:sz w:val="18"/>
          <w:szCs w:val="18"/>
          <w:color w:val="010000"/>
        </w:rPr>
      </w:pPr>
    </w:p>
    <w:p>
      <w:pPr>
        <w:ind w:firstLine="656"/>
        <w:spacing w:after="0" w:line="284" w:lineRule="auto"/>
        <w:tabs>
          <w:tab w:leader="none" w:pos="1306"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Calculations. </w:t>
      </w:r>
      <w:r>
        <w:rPr>
          <w:rFonts w:ascii="Times New Roman" w:cs="Times New Roman" w:eastAsia="Times New Roman" w:hAnsi="Times New Roman"/>
          <w:sz w:val="18"/>
          <w:szCs w:val="18"/>
          <w:color w:val="auto"/>
        </w:rPr>
        <w:t>All calculations with respect to the Conversion Rate and adjustments thereto will be made to the nearest 1/10,000th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of Common Stock (with 5/100,000ths rounded upward).</w:t>
      </w:r>
    </w:p>
    <w:p>
      <w:pPr>
        <w:spacing w:after="0" w:line="156" w:lineRule="exact"/>
        <w:rPr>
          <w:rFonts w:ascii="Times New Roman" w:cs="Times New Roman" w:eastAsia="Times New Roman" w:hAnsi="Times New Roman"/>
          <w:sz w:val="18"/>
          <w:szCs w:val="18"/>
          <w:color w:val="010000"/>
        </w:rPr>
      </w:pPr>
    </w:p>
    <w:p>
      <w:pPr>
        <w:jc w:val="both"/>
        <w:ind w:firstLine="656"/>
        <w:spacing w:after="0" w:line="262" w:lineRule="auto"/>
        <w:tabs>
          <w:tab w:leader="none" w:pos="1258"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Notice of Conversion Rate Adjustments. </w:t>
      </w:r>
      <w:r>
        <w:rPr>
          <w:rFonts w:ascii="Times New Roman" w:cs="Times New Roman" w:eastAsia="Times New Roman" w:hAnsi="Times New Roman"/>
          <w:sz w:val="18"/>
          <w:szCs w:val="18"/>
          <w:color w:val="auto"/>
        </w:rPr>
        <w:t>Upon the effectiveness of any adjustment to the Conversion Rate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will promptly send notice to the Holders, the Trustee and the Conversion Agent containing (i) a brief description of the transaction or other event on account of which such adjustment was made; (ii) the Conversion Rate in effect immediately after such adjustment; and (iii) the effective time of such adjustment.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5.06</w:t>
      </w:r>
      <w:r>
        <w:rPr>
          <w:sz w:val="20"/>
          <w:szCs w:val="20"/>
          <w:color w:val="auto"/>
        </w:rPr>
        <w:tab/>
      </w:r>
      <w:r>
        <w:rPr>
          <w:rFonts w:ascii="Times New Roman" w:cs="Times New Roman" w:eastAsia="Times New Roman" w:hAnsi="Times New Roman"/>
          <w:sz w:val="17"/>
          <w:szCs w:val="17"/>
          <w:b w:val="1"/>
          <w:bCs w:val="1"/>
          <w:color w:val="auto"/>
        </w:rPr>
        <w:t>VOLUNTARY ADJUSTMENTS.</w:t>
      </w:r>
    </w:p>
    <w:p>
      <w:pPr>
        <w:spacing w:after="0" w:line="227" w:lineRule="exact"/>
        <w:rPr>
          <w:sz w:val="20"/>
          <w:szCs w:val="20"/>
          <w:color w:val="auto"/>
        </w:rPr>
      </w:pPr>
    </w:p>
    <w:p>
      <w:pPr>
        <w:jc w:val="both"/>
        <w:ind w:firstLine="656"/>
        <w:spacing w:after="0" w:line="258" w:lineRule="auto"/>
        <w:tabs>
          <w:tab w:leader="none" w:pos="1253"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To the extent permitted by law and applicable stock exchange rules, the Company, from time to time, may (but is not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increase the Conversion Rate by any amount if (i) the Board of Directors determines that such increase is either (x) in the best interest of the Company; or (y) advisable to avoid or diminish any income tax imposed on holders of Common Stock or rights to purchase Common Stock as a result of any dividend or distribution of shares (or rights to acquire shares) of Common Stock or any similar event; (ii) such increase is in effect for a period of at least twenty (20) Business Days; and (iii) such increase is irrevocable during such period.</w:t>
      </w:r>
    </w:p>
    <w:p>
      <w:pPr>
        <w:spacing w:after="0" w:line="181" w:lineRule="exact"/>
        <w:rPr>
          <w:rFonts w:ascii="Times New Roman" w:cs="Times New Roman" w:eastAsia="Times New Roman" w:hAnsi="Times New Roman"/>
          <w:sz w:val="18"/>
          <w:szCs w:val="18"/>
          <w:color w:val="010000"/>
        </w:rPr>
      </w:pPr>
    </w:p>
    <w:p>
      <w:pPr>
        <w:jc w:val="both"/>
        <w:ind w:firstLine="656"/>
        <w:spacing w:after="0" w:line="268" w:lineRule="auto"/>
        <w:tabs>
          <w:tab w:leader="none" w:pos="1261"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Notice of Voluntary Increases. </w:t>
      </w:r>
      <w:r>
        <w:rPr>
          <w:rFonts w:ascii="Times New Roman" w:cs="Times New Roman" w:eastAsia="Times New Roman" w:hAnsi="Times New Roman"/>
          <w:sz w:val="18"/>
          <w:szCs w:val="18"/>
          <w:color w:val="auto"/>
        </w:rPr>
        <w:t>If the Board of Directors determines to increase the Conversion Rate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5.06(A)</w:t>
      </w:r>
      <w:r>
        <w:rPr>
          <w:rFonts w:ascii="Times New Roman" w:cs="Times New Roman" w:eastAsia="Times New Roman" w:hAnsi="Times New Roman"/>
          <w:sz w:val="18"/>
          <w:szCs w:val="18"/>
          <w:color w:val="auto"/>
        </w:rPr>
        <w:t>, then,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later than the first Business Day of the related twenty (20) or more Business Day period referred to in </w:t>
      </w:r>
      <w:r>
        <w:rPr>
          <w:rFonts w:ascii="Times New Roman" w:cs="Times New Roman" w:eastAsia="Times New Roman" w:hAnsi="Times New Roman"/>
          <w:sz w:val="18"/>
          <w:szCs w:val="18"/>
          <w:b w:val="1"/>
          <w:bCs w:val="1"/>
          <w:color w:val="auto"/>
        </w:rPr>
        <w:t>Section 5.06(A)</w:t>
      </w:r>
      <w:r>
        <w:rPr>
          <w:rFonts w:ascii="Times New Roman" w:cs="Times New Roman" w:eastAsia="Times New Roman" w:hAnsi="Times New Roman"/>
          <w:sz w:val="18"/>
          <w:szCs w:val="18"/>
          <w:color w:val="auto"/>
        </w:rPr>
        <w:t>, the Company will send notice to each Holder, the Trustee and the Conversion Agent of such increase, the amount thereof and the period during which such increase will be in effect.</w:t>
      </w:r>
    </w:p>
    <w:p>
      <w:pPr>
        <w:spacing w:after="0" w:line="17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5.07</w:t>
      </w:r>
      <w:r>
        <w:rPr>
          <w:sz w:val="20"/>
          <w:szCs w:val="20"/>
          <w:color w:val="auto"/>
        </w:rPr>
        <w:tab/>
      </w:r>
      <w:r>
        <w:rPr>
          <w:rFonts w:ascii="Times New Roman" w:cs="Times New Roman" w:eastAsia="Times New Roman" w:hAnsi="Times New Roman"/>
          <w:sz w:val="17"/>
          <w:szCs w:val="17"/>
          <w:b w:val="1"/>
          <w:bCs w:val="1"/>
          <w:color w:val="auto"/>
        </w:rPr>
        <w:t>ADJUSTMENTS TO THE CONVERSION RATE IN CONNECTION WITH A MAKE-WHOLE FUNDAMENTAL CHANGE.</w:t>
      </w:r>
    </w:p>
    <w:p>
      <w:pPr>
        <w:spacing w:after="0" w:line="227" w:lineRule="exact"/>
        <w:rPr>
          <w:sz w:val="20"/>
          <w:szCs w:val="20"/>
          <w:color w:val="auto"/>
        </w:rPr>
      </w:pPr>
    </w:p>
    <w:p>
      <w:pPr>
        <w:jc w:val="both"/>
        <w:ind w:firstLine="656"/>
        <w:spacing w:after="0" w:line="261" w:lineRule="auto"/>
        <w:tabs>
          <w:tab w:leader="none" w:pos="1195" w:val="left"/>
        </w:tabs>
        <w:numPr>
          <w:ilvl w:val="0"/>
          <w:numId w:val="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If a Make-Whole Fundamental Change occurs and the Conversion Date for the Conversion of a Note occurs during the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Make-Whole Fundamental Change Conversion Period, then, subject to this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xml:space="preserve"> the Conversion Rate applicable to such Conversion will be increased by a number of shares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set forth in the table below corresponding (after interpolation as provided in, and subject to, the provisions below) to the Make-Whole Fundamental Change Effective Date and the Stock Price of such Make-Whole Fundamental Change: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Make-Whole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Fundamental Change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Stock Price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6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61.11</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70.00</w:t>
            </w:r>
          </w:p>
        </w:tc>
        <w:tc>
          <w:tcPr>
            <w:tcW w:w="980" w:type="dxa"/>
            <w:vAlign w:val="bottom"/>
            <w:tcBorders>
              <w:top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80.97</w:t>
            </w:r>
          </w:p>
        </w:tc>
        <w:tc>
          <w:tcPr>
            <w:tcW w:w="78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90.00</w:t>
            </w:r>
          </w:p>
        </w:tc>
        <w:tc>
          <w:tcPr>
            <w:tcW w:w="84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$ 105.26</w:t>
            </w:r>
          </w:p>
        </w:tc>
        <w:tc>
          <w:tcPr>
            <w:tcW w:w="1020" w:type="dxa"/>
            <w:vAlign w:val="bottom"/>
            <w:tcBorders>
              <w:top w:val="single" w:sz="8" w:color="auto"/>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$ 125.00</w:t>
            </w:r>
          </w:p>
        </w:tc>
        <w:tc>
          <w:tcPr>
            <w:tcW w:w="88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$ 150.00</w:t>
            </w:r>
          </w:p>
        </w:tc>
        <w:tc>
          <w:tcPr>
            <w:tcW w:w="76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$ 200.00</w:t>
            </w:r>
          </w:p>
        </w:tc>
        <w:tc>
          <w:tcPr>
            <w:tcW w:w="1000" w:type="dxa"/>
            <w:vAlign w:val="bottom"/>
            <w:tcBorders>
              <w:top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$ 250.00</w:t>
            </w:r>
          </w:p>
        </w:tc>
        <w:tc>
          <w:tcPr>
            <w:tcW w:w="76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$ 300.00</w:t>
            </w:r>
          </w:p>
        </w:tc>
        <w:tc>
          <w:tcPr>
            <w:tcW w:w="880" w:type="dxa"/>
            <w:vAlign w:val="bottom"/>
            <w:tcBorders>
              <w:top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$ 400.00</w:t>
            </w:r>
          </w:p>
        </w:tc>
      </w:tr>
      <w:tr>
        <w:trPr>
          <w:trHeight w:val="27"/>
        </w:trPr>
        <w:tc>
          <w:tcPr>
            <w:tcW w:w="1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June 5, 2025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4.0138</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3.1234</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2.3489</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1.8873</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1.3366</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0.8844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0.5425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0.2138</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0.0811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0.0252</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2026</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4.0138</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3.1234</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2.3489</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1.8873</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1.3088</w:t>
            </w:r>
          </w:p>
        </w:tc>
        <w:tc>
          <w:tcPr>
            <w:tcW w:w="10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0.8386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0.4939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0.1779</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0.0596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0.0145</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1, 2027</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4.0138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3.1234</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2.3315</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1.8023</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1.1956</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0.7266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0.3989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0.1217</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0.0310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0.0035</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2028</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4.0138</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3.1234</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2.1443</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1.5904</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0.9817</w:t>
            </w:r>
          </w:p>
        </w:tc>
        <w:tc>
          <w:tcPr>
            <w:tcW w:w="10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0.5414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0.2605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0.0560</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0.0062</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1, 2029</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4.0138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2.8046</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1.7194</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1.1566</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0.5999</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0.2613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0.0898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0.0053</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0.0000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2030</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4.0138</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1.9356</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0.0000</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0.0000</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0.0000</w:t>
            </w:r>
          </w:p>
        </w:tc>
        <w:tc>
          <w:tcPr>
            <w:tcW w:w="10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0.0000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0.0000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such Make-Whole Fundamental Change Effective Date or Stock Price is not set forth in the table above, then:</w:t>
      </w:r>
    </w:p>
    <w:p>
      <w:pPr>
        <w:spacing w:after="0" w:line="225" w:lineRule="exact"/>
        <w:rPr>
          <w:sz w:val="20"/>
          <w:szCs w:val="20"/>
          <w:color w:val="auto"/>
        </w:rPr>
      </w:pPr>
    </w:p>
    <w:p>
      <w:pPr>
        <w:jc w:val="both"/>
        <w:ind w:left="660" w:firstLine="644"/>
        <w:spacing w:after="0" w:line="261" w:lineRule="auto"/>
        <w:tabs>
          <w:tab w:leader="none" w:pos="202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365-or 366-day year, as applicable; and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9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 Price is greater than $400.00 (subject to adjustment in the same manner as the Stock Prices set forth in the column headings of the table above are adjusted pursuant to </w:t>
      </w:r>
      <w:r>
        <w:rPr>
          <w:rFonts w:ascii="Times New Roman" w:cs="Times New Roman" w:eastAsia="Times New Roman" w:hAnsi="Times New Roman"/>
          <w:sz w:val="18"/>
          <w:szCs w:val="18"/>
          <w:b w:val="1"/>
          <w:bCs w:val="1"/>
          <w:color w:val="auto"/>
        </w:rPr>
        <w:t>Section 5.07(B)</w:t>
      </w:r>
      <w:r>
        <w:rPr>
          <w:rFonts w:ascii="Times New Roman" w:cs="Times New Roman" w:eastAsia="Times New Roman" w:hAnsi="Times New Roman"/>
          <w:sz w:val="18"/>
          <w:szCs w:val="18"/>
          <w:color w:val="auto"/>
        </w:rPr>
        <w:t>), or less than $61.11 (subject to adjustment in the same manner), per share, then no Additional Shares will be added to the Conversion Rate.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Indenture or the Notes, in no event will the Conversion Rate be increased to an amount that exceeds 16.3639 shares of Common Stock per $1,000 principal amount of Notes, which amount is subject to adjustment in the same manner as, and at the same time and for the same events for which, the Conversion Rate is required to be adjusted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For the avoidance of doubt, but subject to </w:t>
      </w:r>
      <w:r>
        <w:rPr>
          <w:rFonts w:ascii="Times New Roman" w:cs="Times New Roman" w:eastAsia="Times New Roman" w:hAnsi="Times New Roman"/>
          <w:sz w:val="18"/>
          <w:szCs w:val="18"/>
          <w:b w:val="1"/>
          <w:bCs w:val="1"/>
          <w:color w:val="auto"/>
        </w:rPr>
        <w:t>Section 4.03(I),</w:t>
      </w:r>
      <w:r>
        <w:rPr>
          <w:rFonts w:ascii="Times New Roman" w:cs="Times New Roman" w:eastAsia="Times New Roman" w:hAnsi="Times New Roman"/>
          <w:sz w:val="18"/>
          <w:szCs w:val="18"/>
          <w:color w:val="auto"/>
        </w:rPr>
        <w:t xml:space="preserve"> (x) the sending of a Redemption Notice will constitute a Make-Whole Fundamental Change only with respect to the Notes called for Redemption pursuant to such Redemption Notice, and not with respect to any other Notes; and (y) the Conversion Rate applicable to the Notes not so called for Redemption will not be subject to increase pursuant to this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xml:space="preserve"> on account of such Redemption Notice.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jc w:val="both"/>
        <w:ind w:firstLine="656"/>
        <w:spacing w:after="0" w:line="261" w:lineRule="auto"/>
        <w:tabs>
          <w:tab w:leader="none" w:pos="1288" w:val="left"/>
        </w:tabs>
        <w:numPr>
          <w:ilvl w:val="0"/>
          <w:numId w:val="8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Adjustment of Stock Prices and Number of Additional Shares. </w:t>
      </w:r>
      <w:r>
        <w:rPr>
          <w:rFonts w:ascii="Times New Roman" w:cs="Times New Roman" w:eastAsia="Times New Roman" w:hAnsi="Times New Roman"/>
          <w:sz w:val="18"/>
          <w:szCs w:val="18"/>
          <w:color w:val="auto"/>
        </w:rPr>
        <w:t>The Stock Prices in the first row</w:t>
      </w:r>
      <w:r>
        <w:rPr>
          <w:rFonts w:ascii="Times New Roman" w:cs="Times New Roman" w:eastAsia="Times New Roman" w:hAnsi="Times New Roman"/>
          <w:sz w:val="18"/>
          <w:szCs w:val="18"/>
          <w:i w:val="1"/>
          <w:iCs w:val="1"/>
          <w:color w:val="auto"/>
        </w:rPr>
        <w:t xml:space="preserve"> (i.e., </w:t>
      </w:r>
      <w:r>
        <w:rPr>
          <w:rFonts w:ascii="Times New Roman" w:cs="Times New Roman" w:eastAsia="Times New Roman" w:hAnsi="Times New Roman"/>
          <w:sz w:val="18"/>
          <w:szCs w:val="18"/>
          <w:color w:val="auto"/>
        </w:rPr>
        <w:t>the column headers) of the table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forth in </w:t>
      </w:r>
      <w:r>
        <w:rPr>
          <w:rFonts w:ascii="Times New Roman" w:cs="Times New Roman" w:eastAsia="Times New Roman" w:hAnsi="Times New Roman"/>
          <w:sz w:val="18"/>
          <w:szCs w:val="18"/>
          <w:b w:val="1"/>
          <w:bCs w:val="1"/>
          <w:color w:val="auto"/>
        </w:rPr>
        <w:t>Section 5.07(A)</w:t>
      </w:r>
      <w:r>
        <w:rPr>
          <w:rFonts w:ascii="Times New Roman" w:cs="Times New Roman" w:eastAsia="Times New Roman" w:hAnsi="Times New Roman"/>
          <w:sz w:val="18"/>
          <w:szCs w:val="18"/>
          <w:color w:val="auto"/>
        </w:rPr>
        <w:t xml:space="preserve"> will be adjusted in the same manner as, and at the same time and for the same events for which, the Conversion Price is adjusted as a result of the operation of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The numbers of Additional Shares in the table set forth in </w:t>
      </w:r>
      <w:r>
        <w:rPr>
          <w:rFonts w:ascii="Times New Roman" w:cs="Times New Roman" w:eastAsia="Times New Roman" w:hAnsi="Times New Roman"/>
          <w:sz w:val="18"/>
          <w:szCs w:val="18"/>
          <w:b w:val="1"/>
          <w:bCs w:val="1"/>
          <w:color w:val="auto"/>
        </w:rPr>
        <w:t>Section 5.07(A)</w:t>
      </w:r>
      <w:r>
        <w:rPr>
          <w:rFonts w:ascii="Times New Roman" w:cs="Times New Roman" w:eastAsia="Times New Roman" w:hAnsi="Times New Roman"/>
          <w:sz w:val="18"/>
          <w:szCs w:val="18"/>
          <w:color w:val="auto"/>
        </w:rPr>
        <w:t xml:space="preserve"> will be adjusted in the same manner as, and at the same time and for the same events for which, the Conversion Rate is adjusted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010000"/>
        </w:rPr>
      </w:pPr>
    </w:p>
    <w:p>
      <w:pPr>
        <w:jc w:val="both"/>
        <w:ind w:firstLine="656"/>
        <w:spacing w:after="0" w:line="262" w:lineRule="auto"/>
        <w:tabs>
          <w:tab w:leader="none" w:pos="1320" w:val="left"/>
        </w:tabs>
        <w:numPr>
          <w:ilvl w:val="0"/>
          <w:numId w:val="8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Notice of the Occurrence of a Make-Whole Fundamental Change. </w:t>
      </w:r>
      <w:r>
        <w:rPr>
          <w:rFonts w:ascii="Times New Roman" w:cs="Times New Roman" w:eastAsia="Times New Roman" w:hAnsi="Times New Roman"/>
          <w:sz w:val="18"/>
          <w:szCs w:val="18"/>
          <w:color w:val="auto"/>
        </w:rPr>
        <w:t>The Company will notify the Holders, the Trustee and the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Agent of each Make-Whole Fundamental Change (i) occurring pursuant to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of the definition thereof in accordance with </w:t>
      </w:r>
      <w:r>
        <w:rPr>
          <w:rFonts w:ascii="Times New Roman" w:cs="Times New Roman" w:eastAsia="Times New Roman" w:hAnsi="Times New Roman"/>
          <w:sz w:val="18"/>
          <w:szCs w:val="18"/>
          <w:b w:val="1"/>
          <w:bCs w:val="1"/>
          <w:color w:val="auto"/>
        </w:rPr>
        <w:t>Section 5.01(C)(i)(3)</w:t>
      </w: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and (ii) occurring pursuant to</w:t>
      </w:r>
      <w:r>
        <w:rPr>
          <w:rFonts w:ascii="Times New Roman" w:cs="Times New Roman" w:eastAsia="Times New Roman" w:hAnsi="Times New Roman"/>
          <w:sz w:val="18"/>
          <w:szCs w:val="18"/>
          <w:b w:val="1"/>
          <w:bCs w:val="1"/>
          <w:color w:val="auto"/>
        </w:rPr>
        <w:t xml:space="preserve"> clause (B) </w:t>
      </w:r>
      <w:r>
        <w:rPr>
          <w:rFonts w:ascii="Times New Roman" w:cs="Times New Roman" w:eastAsia="Times New Roman" w:hAnsi="Times New Roman"/>
          <w:sz w:val="18"/>
          <w:szCs w:val="18"/>
          <w:color w:val="auto"/>
        </w:rPr>
        <w:t>of the definition thereof in accordance with</w:t>
      </w:r>
      <w:r>
        <w:rPr>
          <w:rFonts w:ascii="Times New Roman" w:cs="Times New Roman" w:eastAsia="Times New Roman" w:hAnsi="Times New Roman"/>
          <w:sz w:val="18"/>
          <w:szCs w:val="18"/>
          <w:b w:val="1"/>
          <w:bCs w:val="1"/>
          <w:color w:val="auto"/>
        </w:rPr>
        <w:t xml:space="preserve"> Section 4.03(F)</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5.08</w:t>
      </w:r>
      <w:r>
        <w:rPr>
          <w:sz w:val="20"/>
          <w:szCs w:val="20"/>
          <w:color w:val="auto"/>
        </w:rPr>
        <w:tab/>
      </w:r>
      <w:r>
        <w:rPr>
          <w:rFonts w:ascii="Times New Roman" w:cs="Times New Roman" w:eastAsia="Times New Roman" w:hAnsi="Times New Roman"/>
          <w:sz w:val="18"/>
          <w:szCs w:val="18"/>
          <w:b w:val="1"/>
          <w:bCs w:val="1"/>
          <w:color w:val="auto"/>
        </w:rPr>
        <w:t>EXCHANGE IN LIEU OF CONVERSION.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and subject to the terms of this </w:t>
      </w:r>
      <w:r>
        <w:rPr>
          <w:rFonts w:ascii="Times New Roman" w:cs="Times New Roman" w:eastAsia="Times New Roman" w:hAnsi="Times New Roman"/>
          <w:sz w:val="18"/>
          <w:szCs w:val="18"/>
          <w:b w:val="1"/>
          <w:bCs w:val="1"/>
          <w:color w:val="auto"/>
        </w:rPr>
        <w:t>Section 5.08</w:t>
      </w:r>
      <w:r>
        <w:rPr>
          <w:rFonts w:ascii="Times New Roman" w:cs="Times New Roman" w:eastAsia="Times New Roman" w:hAnsi="Times New Roman"/>
          <w:sz w:val="18"/>
          <w:szCs w:val="18"/>
          <w:color w:val="auto"/>
        </w:rPr>
        <w:t>, if a Note is submitted for Conversion, the Company may elect to arrange to have such Note exchanged in lieu of Conversion by a financial institution designated by the Company. To make such election, the Company must send notice of such election to the Holder of such Note, the Trustee and the Conversion Agent before the Close of Business on the Business Day immediately following the Conversion Date for such Note. If the Company has made such election, then:</w:t>
      </w:r>
    </w:p>
    <w:p>
      <w:pPr>
        <w:spacing w:after="0" w:line="180" w:lineRule="exact"/>
        <w:rPr>
          <w:sz w:val="20"/>
          <w:szCs w:val="20"/>
          <w:color w:val="auto"/>
        </w:rPr>
      </w:pPr>
    </w:p>
    <w:p>
      <w:pPr>
        <w:jc w:val="both"/>
        <w:ind w:firstLine="656"/>
        <w:spacing w:after="0" w:line="261" w:lineRule="auto"/>
        <w:tabs>
          <w:tab w:leader="none" w:pos="1333"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 later than the Business Day immediately following such Conversion Date, the Company must deliver (or cause the Conversion Agent to deliver) such Note, together with delivery instructions for the Conversion Consideration due upon such Conversion (including wire instructions, if applicable), to a financial institution designated by the Company that has agreed to deliver such Conversion Consideration in the manner and at the time the Company would have had to deliver the same pursuant to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291"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such Note is a Global Note, then (i) such designated institution will send written confirmation to the Conversion Agent promptly after wiring the cash Conversion Consideration, if any, and delivering any other Conversion Consideration, due upon such Conversion to the Holder of such Note; and (ii) the Conversion Agent will as soon as reasonably practicable thereafter contact such Holder’s custodian with the Depositary to confirm receipt of the same; and</w:t>
      </w:r>
    </w:p>
    <w:p>
      <w:pPr>
        <w:spacing w:after="0" w:line="179"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Note will not cease to be outstanding by reason of such exchange in lieu of Conversion;</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if such financial institution does not accept such Note or fails to timely deliver such Conversion Consideration, then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will be responsible for delivering such Conversion Consideration in the manner and at the time provided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as if the Company had not elected to make an exchange in lieu of Conversion.</w:t>
      </w:r>
    </w:p>
    <w:p>
      <w:pPr>
        <w:spacing w:after="0" w:line="17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5.09</w:t>
      </w:r>
      <w:r>
        <w:rPr>
          <w:sz w:val="20"/>
          <w:szCs w:val="20"/>
          <w:color w:val="auto"/>
        </w:rPr>
        <w:tab/>
      </w:r>
      <w:r>
        <w:rPr>
          <w:rFonts w:ascii="Times New Roman" w:cs="Times New Roman" w:eastAsia="Times New Roman" w:hAnsi="Times New Roman"/>
          <w:sz w:val="17"/>
          <w:szCs w:val="17"/>
          <w:b w:val="1"/>
          <w:bCs w:val="1"/>
          <w:color w:val="auto"/>
        </w:rPr>
        <w:t>EFFECT OF COMMON STOCK CHANGE EVENT.</w:t>
      </w:r>
    </w:p>
    <w:p>
      <w:pPr>
        <w:spacing w:after="0" w:line="227" w:lineRule="exact"/>
        <w:rPr>
          <w:sz w:val="20"/>
          <w:szCs w:val="20"/>
          <w:color w:val="auto"/>
        </w:rPr>
      </w:pPr>
    </w:p>
    <w:p>
      <w:pPr>
        <w:ind w:left="1320" w:hanging="664"/>
        <w:spacing w:after="0"/>
        <w:tabs>
          <w:tab w:leader="none" w:pos="1320" w:val="left"/>
        </w:tabs>
        <w:numPr>
          <w:ilvl w:val="0"/>
          <w:numId w:val="9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If there occurs any:</w:t>
      </w:r>
    </w:p>
    <w:p>
      <w:pPr>
        <w:spacing w:after="0" w:line="227" w:lineRule="exact"/>
        <w:rPr>
          <w:rFonts w:ascii="Times New Roman" w:cs="Times New Roman" w:eastAsia="Times New Roman" w:hAnsi="Times New Roman"/>
          <w:sz w:val="18"/>
          <w:szCs w:val="18"/>
          <w:color w:val="010000"/>
        </w:rPr>
      </w:pPr>
    </w:p>
    <w:p>
      <w:pPr>
        <w:jc w:val="both"/>
        <w:ind w:left="660" w:firstLine="644"/>
        <w:spacing w:after="0" w:line="266" w:lineRule="auto"/>
        <w:tabs>
          <w:tab w:leader="none" w:pos="196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recapitalization, reclassification or change of the Common Stock (other than (x) changes solely resulting from a subdivision or combination of the Common Stock, (y) a change only in par value or from par value to no par value or no par value to par value and (z) stock splits and stock combinations that do not involve the issuance of any other series or class of securities);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ind w:left="1980" w:hanging="676"/>
        <w:spacing w:after="0"/>
        <w:tabs>
          <w:tab w:leader="none" w:pos="1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merger, combination or binding or statutory share exchange involving the Company;</w:t>
      </w:r>
    </w:p>
    <w:p>
      <w:pPr>
        <w:spacing w:after="0" w:line="22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lease or other transfer of all or substantially all of the assets of the Company and its Subsidiaries, taken as a whole, to any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or</w:t>
      </w:r>
    </w:p>
    <w:p>
      <w:pPr>
        <w:spacing w:after="0" w:line="20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similar event,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and, as a result of which, the Common Stock is converted into, or is exchanged for, or represents solely the right to receive, other securities, cash or other property, or any combination of the foregoing (such an event, a </w:t>
      </w:r>
      <w:r>
        <w:rPr>
          <w:rFonts w:ascii="Times New Roman" w:cs="Times New Roman" w:eastAsia="Times New Roman" w:hAnsi="Times New Roman"/>
          <w:sz w:val="18"/>
          <w:szCs w:val="18"/>
          <w:b w:val="1"/>
          <w:bCs w:val="1"/>
          <w:color w:val="auto"/>
        </w:rPr>
        <w:t>“Common Stock Change Event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such other securities, cash or property, the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amount and kind of Reference Property that a holder of one (1) share of Common Stock would be entitled to receive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account of such Common Stock Change Event (without giving effect to any arrangement not to issue or deliver a fractional portion of any security or other property), a </w:t>
      </w:r>
      <w:r>
        <w:rPr>
          <w:rFonts w:ascii="Times New Roman" w:cs="Times New Roman" w:eastAsia="Times New Roman" w:hAnsi="Times New Roman"/>
          <w:sz w:val="18"/>
          <w:szCs w:val="18"/>
          <w:b w:val="1"/>
          <w:bCs w:val="1"/>
          <w:color w:val="auto"/>
        </w:rPr>
        <w:t>“Reference Property Unit”</w:t>
      </w:r>
      <w:r>
        <w:rPr>
          <w:rFonts w:ascii="Times New Roman" w:cs="Times New Roman" w:eastAsia="Times New Roman" w:hAnsi="Times New Roman"/>
          <w:sz w:val="18"/>
          <w:szCs w:val="18"/>
          <w:color w:val="auto"/>
        </w:rPr>
        <w:t>), then, notwithstanding anything to the contrary in this Indenture or the Notes,</w:t>
      </w:r>
    </w:p>
    <w:p>
      <w:pPr>
        <w:spacing w:after="0" w:line="183" w:lineRule="exact"/>
        <w:rPr>
          <w:sz w:val="20"/>
          <w:szCs w:val="20"/>
          <w:color w:val="auto"/>
        </w:rPr>
      </w:pPr>
    </w:p>
    <w:p>
      <w:pPr>
        <w:jc w:val="both"/>
        <w:ind w:left="1300" w:firstLine="652"/>
        <w:spacing w:after="0" w:line="254" w:lineRule="auto"/>
        <w:tabs>
          <w:tab w:leader="none" w:pos="2689" w:val="left"/>
        </w:tabs>
        <w:numPr>
          <w:ilvl w:val="0"/>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from and after the effective time of such Common Stock Change Event, (I) the Conversion Consideration due upon Conversion of any Note, and the conditions to any such Conversion, will be determined in the same manner as if each reference to any number of shares of Common Stock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(or in any related definitions) were instead a reference to the same number of Reference Property Units; (II) for purposes of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each reference to any number of shares of Common Stock in such Section (or in any related definitions) will instead be deemed to be a reference to the same number of Reference Property Units; and (HI) for purposes of the definitions of “Fundamental Change” and “Make-Whole Fundamental Change,” references to “Common Stock” and the Company’s “common equity” will be deemed to refer to the common equity (including depositary receipts representing common equity), if any, forming part of such Reference Property;</w:t>
      </w:r>
    </w:p>
    <w:p>
      <w:pPr>
        <w:spacing w:after="0" w:line="191" w:lineRule="exact"/>
        <w:rPr>
          <w:rFonts w:ascii="Times New Roman" w:cs="Times New Roman" w:eastAsia="Times New Roman" w:hAnsi="Times New Roman"/>
          <w:sz w:val="18"/>
          <w:szCs w:val="18"/>
          <w:color w:val="010000"/>
        </w:rPr>
      </w:pPr>
    </w:p>
    <w:p>
      <w:pPr>
        <w:jc w:val="both"/>
        <w:ind w:left="1300" w:firstLine="652"/>
        <w:spacing w:after="0" w:line="256" w:lineRule="auto"/>
        <w:tabs>
          <w:tab w:leader="none" w:pos="2591" w:val="left"/>
        </w:tabs>
        <w:numPr>
          <w:ilvl w:val="0"/>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such Reference Property Unit consists entirely of cash, then (I) each Conversion of any Note with a Conversion Date that occurs on or after the effective date of such Common Stock Change Event will be settled entirely in cash in an amount, per $1,000 principal amount of such Note being Converted, equal to the product of (x) the Conversion Rate in effect on such Conversion Date (including, for the avoidance of doubt, any increase to such Conversion Rate pursuant to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if applicable); and (y) the amount of cash constituting such Reference Property Unit; and (II) the Company will settle each such Conversion no later than the fifth (5th) Business Day after the relevant Conversion Date; and</w:t>
      </w:r>
    </w:p>
    <w:p>
      <w:pPr>
        <w:spacing w:after="0" w:line="187" w:lineRule="exact"/>
        <w:rPr>
          <w:rFonts w:ascii="Times New Roman" w:cs="Times New Roman" w:eastAsia="Times New Roman" w:hAnsi="Times New Roman"/>
          <w:sz w:val="18"/>
          <w:szCs w:val="18"/>
          <w:color w:val="010000"/>
        </w:rPr>
      </w:pPr>
    </w:p>
    <w:p>
      <w:pPr>
        <w:jc w:val="both"/>
        <w:ind w:left="1300" w:firstLine="652"/>
        <w:spacing w:after="0" w:line="255" w:lineRule="auto"/>
        <w:tabs>
          <w:tab w:leader="none" w:pos="2637" w:val="left"/>
        </w:tabs>
        <w:numPr>
          <w:ilvl w:val="0"/>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for these purposes, (I) the Daily VWAP of any Reference Property Unit or portion thereof that consists of a class of common equity securities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and in a commercially reasonable manner by the Company (or, in the case of cash denominated in U.S. dollars, the face amount thereof).</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Holders, the Trustee and the Conversion Agent of such weighted average as soon as practicable after such determination is made.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At or before the effective time of such Common Stock Change Event, the Company and the resulting, surviving or transferee Person (if not the Company) of such Common Stock Change Event (the </w:t>
      </w:r>
      <w:r>
        <w:rPr>
          <w:rFonts w:ascii="Times New Roman" w:cs="Times New Roman" w:eastAsia="Times New Roman" w:hAnsi="Times New Roman"/>
          <w:sz w:val="18"/>
          <w:szCs w:val="18"/>
          <w:b w:val="1"/>
          <w:bCs w:val="1"/>
          <w:color w:val="auto"/>
        </w:rPr>
        <w:t>“Successor Person</w:t>
      </w:r>
      <w:r>
        <w:rPr>
          <w:rFonts w:ascii="Times New Roman" w:cs="Times New Roman" w:eastAsia="Times New Roman" w:hAnsi="Times New Roman"/>
          <w:sz w:val="18"/>
          <w:szCs w:val="18"/>
          <w:color w:val="auto"/>
        </w:rPr>
        <w:t xml:space="preserve">”) will execute and deliver to the Trustee a supplemental indenture pursuant to </w:t>
      </w:r>
      <w:r>
        <w:rPr>
          <w:rFonts w:ascii="Times New Roman" w:cs="Times New Roman" w:eastAsia="Times New Roman" w:hAnsi="Times New Roman"/>
          <w:sz w:val="18"/>
          <w:szCs w:val="18"/>
          <w:b w:val="1"/>
          <w:bCs w:val="1"/>
          <w:color w:val="auto"/>
        </w:rPr>
        <w:t>Section 8.01(F)</w:t>
      </w:r>
      <w:r>
        <w:rPr>
          <w:rFonts w:ascii="Times New Roman" w:cs="Times New Roman" w:eastAsia="Times New Roman" w:hAnsi="Times New Roman"/>
          <w:sz w:val="18"/>
          <w:szCs w:val="18"/>
          <w:color w:val="auto"/>
        </w:rPr>
        <w:t>, which supplemental indenture will (x) provide for subsequent Conversions of Notes in the manner set forth in this</w:t>
      </w:r>
      <w:r>
        <w:rPr>
          <w:rFonts w:ascii="Times New Roman" w:cs="Times New Roman" w:eastAsia="Times New Roman" w:hAnsi="Times New Roman"/>
          <w:sz w:val="18"/>
          <w:szCs w:val="18"/>
          <w:b w:val="1"/>
          <w:bCs w:val="1"/>
          <w:color w:val="auto"/>
        </w:rPr>
        <w:t xml:space="preserve"> Section 5.09</w:t>
      </w:r>
      <w:r>
        <w:rPr>
          <w:rFonts w:ascii="Times New Roman" w:cs="Times New Roman" w:eastAsia="Times New Roman" w:hAnsi="Times New Roman"/>
          <w:sz w:val="18"/>
          <w:szCs w:val="18"/>
          <w:color w:val="auto"/>
        </w:rPr>
        <w:t>; (y)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 for subsequent adjustments to the Conversion Rate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in a manner consistent with this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and (z) contain such other provisions, if any, that the Company reasonably determines are appropriate to preserve the economic interests of the Holders and to give effect to the provisions of this </w:t>
      </w:r>
      <w:r>
        <w:rPr>
          <w:rFonts w:ascii="Times New Roman" w:cs="Times New Roman" w:eastAsia="Times New Roman" w:hAnsi="Times New Roman"/>
          <w:sz w:val="18"/>
          <w:szCs w:val="18"/>
          <w:b w:val="1"/>
          <w:bCs w:val="1"/>
          <w:color w:val="auto"/>
        </w:rPr>
        <w:t>Section 5.09(A)</w:t>
      </w:r>
      <w:r>
        <w:rPr>
          <w:rFonts w:ascii="Times New Roman" w:cs="Times New Roman" w:eastAsia="Times New Roman" w:hAnsi="Times New Roman"/>
          <w:sz w:val="18"/>
          <w:szCs w:val="18"/>
          <w:color w:val="auto"/>
        </w:rPr>
        <w:t>. If the Reference Property includes shares of stock or other securities or assets (other than cash) of a Person other than the Successor Person, then such other Person will also execute such supplemental indenture and such supplemental indenture will contain such additional provisions, if any, that the Company reasonably determines are appropriate to preserve the economic interests of the Holders.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ind w:right="20" w:firstLine="656"/>
        <w:spacing w:after="0" w:line="284" w:lineRule="auto"/>
        <w:tabs>
          <w:tab w:leader="none" w:pos="1261" w:val="left"/>
        </w:tabs>
        <w:numPr>
          <w:ilvl w:val="0"/>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Notice of Common Stock Change Events. </w:t>
      </w:r>
      <w:r>
        <w:rPr>
          <w:rFonts w:ascii="Times New Roman" w:cs="Times New Roman" w:eastAsia="Times New Roman" w:hAnsi="Times New Roman"/>
          <w:sz w:val="18"/>
          <w:szCs w:val="18"/>
          <w:color w:val="auto"/>
        </w:rPr>
        <w:t>The Company will provide notice of each Common Stock Change Event to Holders, the Trustee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Conversion Agent no later than the Business Day after the effective date of such Common Stock Change Event.</w:t>
      </w:r>
    </w:p>
    <w:p>
      <w:pPr>
        <w:spacing w:after="0" w:line="158" w:lineRule="exact"/>
        <w:rPr>
          <w:rFonts w:ascii="Times New Roman" w:cs="Times New Roman" w:eastAsia="Times New Roman" w:hAnsi="Times New Roman"/>
          <w:sz w:val="18"/>
          <w:szCs w:val="18"/>
          <w:color w:val="010000"/>
        </w:rPr>
      </w:pPr>
    </w:p>
    <w:p>
      <w:pPr>
        <w:ind w:left="1320" w:hanging="664"/>
        <w:spacing w:after="0"/>
        <w:tabs>
          <w:tab w:leader="none" w:pos="1320" w:val="left"/>
        </w:tabs>
        <w:numPr>
          <w:ilvl w:val="0"/>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Compliance Covenant. </w:t>
      </w:r>
      <w:r>
        <w:rPr>
          <w:rFonts w:ascii="Times New Roman" w:cs="Times New Roman" w:eastAsia="Times New Roman" w:hAnsi="Times New Roman"/>
          <w:sz w:val="18"/>
          <w:szCs w:val="18"/>
          <w:color w:val="auto"/>
        </w:rPr>
        <w:t>The Company will not become a party to any Common Stock Change Event unless its terms are consistent with</w:t>
      </w:r>
    </w:p>
    <w:p>
      <w:pPr>
        <w:spacing w:after="0" w:line="29"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Section 5.09.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SUCCESSORS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6.01</w:t>
      </w:r>
      <w:r>
        <w:rPr>
          <w:sz w:val="20"/>
          <w:szCs w:val="20"/>
          <w:color w:val="auto"/>
        </w:rPr>
        <w:tab/>
      </w:r>
      <w:r>
        <w:rPr>
          <w:rFonts w:ascii="Times New Roman" w:cs="Times New Roman" w:eastAsia="Times New Roman" w:hAnsi="Times New Roman"/>
          <w:sz w:val="17"/>
          <w:szCs w:val="17"/>
          <w:b w:val="1"/>
          <w:bCs w:val="1"/>
          <w:color w:val="auto"/>
        </w:rPr>
        <w:t>WHEN THE COMPANY MAY MERGE, ETC.</w:t>
      </w:r>
    </w:p>
    <w:p>
      <w:pPr>
        <w:spacing w:after="0" w:line="227" w:lineRule="exact"/>
        <w:rPr>
          <w:sz w:val="20"/>
          <w:szCs w:val="20"/>
          <w:color w:val="auto"/>
        </w:rPr>
      </w:pPr>
    </w:p>
    <w:p>
      <w:pPr>
        <w:jc w:val="both"/>
        <w:ind w:firstLine="656"/>
        <w:spacing w:after="0" w:line="267" w:lineRule="auto"/>
        <w:tabs>
          <w:tab w:leader="none" w:pos="1514" w:val="left"/>
        </w:tabs>
        <w:numPr>
          <w:ilvl w:val="0"/>
          <w:numId w:val="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The Company will not consolidate with or merge with or into, or (directly, or indirectly through one or more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Subsidiaries) sell, lease or otherwise transfer, in one transaction or a series of transactions, all or substantially all of the assets of the Company and its Subsidiaries, taken as a whole, to another Person (a </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unless:</w:t>
      </w:r>
    </w:p>
    <w:p>
      <w:pPr>
        <w:spacing w:after="0" w:line="175" w:lineRule="exact"/>
        <w:rPr>
          <w:rFonts w:ascii="Times New Roman" w:cs="Times New Roman" w:eastAsia="Times New Roman" w:hAnsi="Times New Roman"/>
          <w:sz w:val="18"/>
          <w:szCs w:val="18"/>
          <w:color w:val="010000"/>
        </w:rPr>
      </w:pPr>
    </w:p>
    <w:p>
      <w:pPr>
        <w:jc w:val="both"/>
        <w:ind w:left="660" w:firstLine="644"/>
        <w:spacing w:after="0" w:line="258" w:lineRule="auto"/>
        <w:tabs>
          <w:tab w:leader="none" w:pos="1917"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resulting, surviving or transferee Person either (x) is the Company or (y) if not the Company, is a Qualified Successor Entity (such Qualified Successor Entity, the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xml:space="preserve">) duly organized and existing under the laws of the United States of America, any State thereof or the District of Columbia that expressly assumes (by executing and delivering to the Trustee, at or before the effective time of such Business Combination Event, a supplemental indenture pursuant to </w:t>
      </w:r>
      <w:r>
        <w:rPr>
          <w:rFonts w:ascii="Times New Roman" w:cs="Times New Roman" w:eastAsia="Times New Roman" w:hAnsi="Times New Roman"/>
          <w:sz w:val="18"/>
          <w:szCs w:val="18"/>
          <w:b w:val="1"/>
          <w:bCs w:val="1"/>
          <w:color w:val="auto"/>
        </w:rPr>
        <w:t>Section 8.01(E)</w:t>
      </w:r>
      <w:r>
        <w:rPr>
          <w:rFonts w:ascii="Times New Roman" w:cs="Times New Roman" w:eastAsia="Times New Roman" w:hAnsi="Times New Roman"/>
          <w:sz w:val="18"/>
          <w:szCs w:val="18"/>
          <w:color w:val="auto"/>
        </w:rPr>
        <w:t>) all of the Company’s obligations under this Indenture and the Notes; and</w:t>
      </w:r>
    </w:p>
    <w:p>
      <w:pPr>
        <w:spacing w:after="0" w:line="183"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Business Combination Event, no Default or Event of Default will have occurred and be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w:t>
      </w:r>
    </w:p>
    <w:p>
      <w:pPr>
        <w:spacing w:after="0" w:line="204" w:lineRule="exact"/>
        <w:rPr>
          <w:rFonts w:ascii="Times New Roman" w:cs="Times New Roman" w:eastAsia="Times New Roman" w:hAnsi="Times New Roman"/>
          <w:sz w:val="18"/>
          <w:szCs w:val="18"/>
          <w:color w:val="auto"/>
        </w:rPr>
      </w:pPr>
    </w:p>
    <w:p>
      <w:pPr>
        <w:jc w:val="both"/>
        <w:ind w:firstLine="656"/>
        <w:spacing w:after="0" w:line="261" w:lineRule="auto"/>
        <w:tabs>
          <w:tab w:leader="none" w:pos="1324" w:val="left"/>
        </w:tabs>
        <w:numPr>
          <w:ilvl w:val="0"/>
          <w:numId w:val="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Delivery of Officer’s Certificate and Opinion of Counsel to the Trustee. </w:t>
      </w:r>
      <w:r>
        <w:rPr>
          <w:rFonts w:ascii="Times New Roman" w:cs="Times New Roman" w:eastAsia="Times New Roman" w:hAnsi="Times New Roman"/>
          <w:sz w:val="18"/>
          <w:szCs w:val="18"/>
          <w:color w:val="auto"/>
        </w:rPr>
        <w:t>At or before the effective time of any Business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Event, the Company will deliver to the Trustee an Officer’s Certificate and Opinion of Counsel, each stating that (i) such Business Combination Event (and, if applicable, the related supplemental indenture) comply with </w:t>
      </w:r>
      <w:r>
        <w:rPr>
          <w:rFonts w:ascii="Times New Roman" w:cs="Times New Roman" w:eastAsia="Times New Roman" w:hAnsi="Times New Roman"/>
          <w:sz w:val="18"/>
          <w:szCs w:val="18"/>
          <w:b w:val="1"/>
          <w:bCs w:val="1"/>
          <w:color w:val="auto"/>
        </w:rPr>
        <w:t>Section 6.01(A)</w:t>
      </w:r>
      <w:r>
        <w:rPr>
          <w:rFonts w:ascii="Times New Roman" w:cs="Times New Roman" w:eastAsia="Times New Roman" w:hAnsi="Times New Roman"/>
          <w:sz w:val="18"/>
          <w:szCs w:val="18"/>
          <w:color w:val="auto"/>
        </w:rPr>
        <w:t>; and (ii) all conditions precedent to such Business Combination Event provided in this Indenture have been satisfied.</w:t>
      </w:r>
    </w:p>
    <w:p>
      <w:pPr>
        <w:spacing w:after="0" w:line="17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6.02</w:t>
      </w:r>
      <w:r>
        <w:rPr>
          <w:sz w:val="20"/>
          <w:szCs w:val="20"/>
          <w:color w:val="auto"/>
        </w:rPr>
        <w:tab/>
      </w:r>
      <w:r>
        <w:rPr>
          <w:rFonts w:ascii="Times New Roman" w:cs="Times New Roman" w:eastAsia="Times New Roman" w:hAnsi="Times New Roman"/>
          <w:sz w:val="17"/>
          <w:szCs w:val="17"/>
          <w:b w:val="1"/>
          <w:bCs w:val="1"/>
          <w:color w:val="auto"/>
        </w:rPr>
        <w:t>SUCCESSOR ENTITY SUBSTITUTED.</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At the effective time of any Business Combination Event that complies with </w:t>
      </w:r>
      <w:r>
        <w:rPr>
          <w:rFonts w:ascii="Times New Roman" w:cs="Times New Roman" w:eastAsia="Times New Roman" w:hAnsi="Times New Roman"/>
          <w:sz w:val="18"/>
          <w:szCs w:val="18"/>
          <w:b w:val="1"/>
          <w:bCs w:val="1"/>
          <w:color w:val="auto"/>
        </w:rPr>
        <w:t>Section 6.01</w:t>
      </w:r>
      <w:r>
        <w:rPr>
          <w:rFonts w:ascii="Times New Roman" w:cs="Times New Roman" w:eastAsia="Times New Roman" w:hAnsi="Times New Roman"/>
          <w:sz w:val="18"/>
          <w:szCs w:val="18"/>
          <w:color w:val="auto"/>
        </w:rPr>
        <w:t>, the Successor Entity (if not the Company) will succeed to, and may exercise every right and power of, the Company under this Indenture and the Notes with the same effect as if such Successor Entity had been named as the Company in this Indenture and the Notes, and, except in the case of a lease, the predecessor Company will be discharged from its obligations under this Indenture and the Notes.</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6.03</w:t>
      </w:r>
      <w:r>
        <w:rPr>
          <w:sz w:val="20"/>
          <w:szCs w:val="20"/>
          <w:color w:val="auto"/>
        </w:rPr>
        <w:tab/>
      </w:r>
      <w:r>
        <w:rPr>
          <w:rFonts w:ascii="Times New Roman" w:cs="Times New Roman" w:eastAsia="Times New Roman" w:hAnsi="Times New Roman"/>
          <w:sz w:val="17"/>
          <w:szCs w:val="17"/>
          <w:b w:val="1"/>
          <w:bCs w:val="1"/>
          <w:color w:val="auto"/>
        </w:rPr>
        <w:t>EXCLUSION FOR ASSET TRANSFERS WITH WHOLLY OWNED SUBSIDIARIES.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 xml:space="preserve"> will not apply to any transfer of assets between or among the Company and any one or more of its Wholly Owned Subsidiaries not effected by merger or consolidation.</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DEFAULTS AND REMEDIES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7.01</w:t>
      </w:r>
      <w:r>
        <w:rPr>
          <w:sz w:val="20"/>
          <w:szCs w:val="20"/>
          <w:color w:val="auto"/>
        </w:rPr>
        <w:tab/>
      </w:r>
      <w:r>
        <w:rPr>
          <w:rFonts w:ascii="Times New Roman" w:cs="Times New Roman" w:eastAsia="Times New Roman" w:hAnsi="Times New Roman"/>
          <w:sz w:val="17"/>
          <w:szCs w:val="17"/>
          <w:b w:val="1"/>
          <w:bCs w:val="1"/>
          <w:color w:val="auto"/>
        </w:rPr>
        <w:t>EVENTS OF DEFAULT.</w:t>
      </w:r>
    </w:p>
    <w:p>
      <w:pPr>
        <w:spacing w:after="0" w:line="225" w:lineRule="exact"/>
        <w:rPr>
          <w:sz w:val="20"/>
          <w:szCs w:val="20"/>
          <w:color w:val="auto"/>
        </w:rPr>
      </w:pPr>
    </w:p>
    <w:p>
      <w:pPr>
        <w:ind w:left="1320" w:hanging="664"/>
        <w:spacing w:after="0"/>
        <w:tabs>
          <w:tab w:leader="none" w:pos="1320" w:val="left"/>
        </w:tabs>
        <w:numPr>
          <w:ilvl w:val="0"/>
          <w:numId w:val="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Definition of Events of Default.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occurrence of any of the following:</w:t>
      </w:r>
    </w:p>
    <w:p>
      <w:pPr>
        <w:spacing w:after="0" w:line="229" w:lineRule="exact"/>
        <w:rPr>
          <w:rFonts w:ascii="Times New Roman" w:cs="Times New Roman" w:eastAsia="Times New Roman" w:hAnsi="Times New Roman"/>
          <w:sz w:val="18"/>
          <w:szCs w:val="18"/>
          <w:color w:val="010000"/>
        </w:rPr>
      </w:pPr>
    </w:p>
    <w:p>
      <w:pPr>
        <w:ind w:left="660" w:firstLine="644"/>
        <w:spacing w:after="0" w:line="282" w:lineRule="auto"/>
        <w:tabs>
          <w:tab w:leader="none" w:pos="217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when due (whether at maturity, upon Redemption or Repurchase Upon Fundamental Change or otherwise) of the principal of, or the Redemption Price or Fundamental Change Repurchase Price for, any Note;</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05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for thirty (30) consecutive days in the payment when due of Special Interest or Additional Interest, if any, that has accrued on any Note;</w:t>
      </w:r>
    </w:p>
    <w:p>
      <w:pPr>
        <w:spacing w:after="0" w:line="157" w:lineRule="exact"/>
        <w:rPr>
          <w:rFonts w:ascii="Times New Roman" w:cs="Times New Roman" w:eastAsia="Times New Roman" w:hAnsi="Times New Roman"/>
          <w:sz w:val="18"/>
          <w:szCs w:val="18"/>
          <w:color w:val="auto"/>
        </w:rPr>
      </w:pPr>
    </w:p>
    <w:p>
      <w:pPr>
        <w:jc w:val="both"/>
        <w:ind w:left="660" w:firstLine="644"/>
        <w:spacing w:after="0" w:line="268" w:lineRule="auto"/>
        <w:tabs>
          <w:tab w:leader="none" w:pos="1942"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failure to deliver, when required by this Indenture, a Fundamental Change Notice, or a notice pursuant to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5.01(C)(i)(3)</w:t>
      </w:r>
      <w:r>
        <w:rPr>
          <w:rFonts w:ascii="Times New Roman" w:cs="Times New Roman" w:eastAsia="Times New Roman" w:hAnsi="Times New Roman"/>
          <w:sz w:val="18"/>
          <w:szCs w:val="18"/>
          <w:color w:val="auto"/>
        </w:rPr>
        <w:t>, if (in the case of any notice other than a notice pursuant to</w:t>
      </w:r>
      <w:r>
        <w:rPr>
          <w:rFonts w:ascii="Times New Roman" w:cs="Times New Roman" w:eastAsia="Times New Roman" w:hAnsi="Times New Roman"/>
          <w:sz w:val="18"/>
          <w:szCs w:val="18"/>
          <w:b w:val="1"/>
          <w:bCs w:val="1"/>
          <w:color w:val="auto"/>
        </w:rPr>
        <w:t xml:space="preserve"> Section 5.01(C)(i)(3)(a)</w:t>
      </w:r>
      <w:r>
        <w:rPr>
          <w:rFonts w:ascii="Times New Roman" w:cs="Times New Roman" w:eastAsia="Times New Roman" w:hAnsi="Times New Roman"/>
          <w:sz w:val="18"/>
          <w:szCs w:val="18"/>
          <w:color w:val="auto"/>
        </w:rPr>
        <w:t>) such failure is not cured within five (5)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its occurrence;</w:t>
      </w:r>
    </w:p>
    <w:p>
      <w:pPr>
        <w:spacing w:after="0" w:line="170" w:lineRule="exact"/>
        <w:rPr>
          <w:rFonts w:ascii="Times New Roman" w:cs="Times New Roman" w:eastAsia="Times New Roman" w:hAnsi="Times New Roman"/>
          <w:sz w:val="18"/>
          <w:szCs w:val="18"/>
          <w:color w:val="auto"/>
        </w:rPr>
      </w:pPr>
    </w:p>
    <w:p>
      <w:pPr>
        <w:ind w:left="660" w:firstLine="644"/>
        <w:spacing w:after="0" w:line="286" w:lineRule="auto"/>
        <w:tabs>
          <w:tab w:leader="none" w:pos="191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the Company’s obligation to Convert a Note in accordance with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upon the exercise of the Conversion right with respect thereto, if such default is not cured within five (5) days after its occurrence;</w:t>
      </w:r>
    </w:p>
    <w:p>
      <w:pPr>
        <w:spacing w:after="0" w:line="15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the Company’s obligations under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8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any of the Company’s obligations or agreements under this Indenture or the Notes (other than a default set forth in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(iv)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(v)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b w:val="1"/>
          <w:bCs w:val="1"/>
          <w:color w:val="auto"/>
        </w:rPr>
        <w:t xml:space="preserve"> Section 7.01(A)</w:t>
      </w:r>
      <w:r>
        <w:rPr>
          <w:rFonts w:ascii="Times New Roman" w:cs="Times New Roman" w:eastAsia="Times New Roman" w:hAnsi="Times New Roman"/>
          <w:sz w:val="18"/>
          <w:szCs w:val="18"/>
          <w:color w:val="auto"/>
        </w:rPr>
        <w:t>) where such default is not cured or waived within sixty (60) days after notice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by the Trustee, or to the Company and the Trustee by Holders of at least twenty five percent (25%) of the aggregate principal amount of Notes then outstanding, which notice must specify such default, demand that it be remedied and state that such notice is a “Notice of Default”;</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22"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by the Company or any of the Company’s Significant Subsidiaries with respect to any one or more mortgages, agreements or other instruments under which there is outstanding, or by which there is secured or evidenced, any indebtedness for money borrowed of at least eighty million dollars ($80,000,000) (or its foreign currency equivalent) in the aggregate of the Company or any of the Company’s Significant Subsidiaries, whether such indebtedness exists as of the Issue Date or is thereafter created, where such default:</w:t>
      </w:r>
    </w:p>
    <w:p>
      <w:pPr>
        <w:spacing w:after="0" w:line="179" w:lineRule="exact"/>
        <w:rPr>
          <w:rFonts w:ascii="Times New Roman" w:cs="Times New Roman" w:eastAsia="Times New Roman" w:hAnsi="Times New Roman"/>
          <w:sz w:val="18"/>
          <w:szCs w:val="18"/>
          <w:color w:val="auto"/>
        </w:rPr>
      </w:pPr>
    </w:p>
    <w:p>
      <w:pPr>
        <w:ind w:left="1300" w:firstLine="652"/>
        <w:spacing w:after="0" w:line="282" w:lineRule="auto"/>
        <w:tabs>
          <w:tab w:leader="none" w:pos="2505" w:val="left"/>
        </w:tabs>
        <w:numPr>
          <w:ilvl w:val="2"/>
          <w:numId w:val="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constitutes a failure to pay the principal of such indebtedness when due and payable at its stated maturity, upon required repurchase, upon declaration of acceleration or otherwise, in each case after the expiration of any applicable grace period; or</w:t>
      </w:r>
    </w:p>
    <w:p>
      <w:pPr>
        <w:spacing w:after="0" w:line="161" w:lineRule="exact"/>
        <w:rPr>
          <w:rFonts w:ascii="Times New Roman" w:cs="Times New Roman" w:eastAsia="Times New Roman" w:hAnsi="Times New Roman"/>
          <w:sz w:val="18"/>
          <w:szCs w:val="18"/>
          <w:color w:val="010000"/>
        </w:rPr>
      </w:pPr>
    </w:p>
    <w:p>
      <w:pPr>
        <w:ind w:left="2620" w:hanging="668"/>
        <w:spacing w:after="0"/>
        <w:tabs>
          <w:tab w:leader="none" w:pos="2620" w:val="left"/>
        </w:tabs>
        <w:numPr>
          <w:ilvl w:val="2"/>
          <w:numId w:val="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results in such indebtedness becoming or being declared due and payable before its stated maturity,</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in each case where such default is not cured or waived within thirty (30) days after notice to the Company by the Trustee or to the Company and the Trustee by Holders of at least twenty five percent (25%) of the aggregate principal amount of Notes then outstanding;</w:t>
      </w:r>
    </w:p>
    <w:p>
      <w:pPr>
        <w:spacing w:after="0" w:line="162" w:lineRule="exact"/>
        <w:rPr>
          <w:sz w:val="20"/>
          <w:szCs w:val="20"/>
          <w:color w:val="auto"/>
        </w:rPr>
      </w:pPr>
    </w:p>
    <w:p>
      <w:pPr>
        <w:ind w:left="1940" w:hanging="636"/>
        <w:spacing w:after="0"/>
        <w:tabs>
          <w:tab w:leader="none" w:pos="19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Significant Subsidiaries, pursuant to or within the meaning of any Bankruptcy Law, either:</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commences a voluntary case or proceeding;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ind w:left="2620" w:hanging="668"/>
        <w:spacing w:after="0"/>
        <w:tabs>
          <w:tab w:leader="none" w:pos="2620" w:val="left"/>
        </w:tabs>
        <w:numPr>
          <w:ilvl w:val="1"/>
          <w:numId w:val="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consents to the entry of an order for relief against it in an involuntary case or proceeding;</w:t>
      </w:r>
    </w:p>
    <w:p>
      <w:pPr>
        <w:spacing w:after="0" w:line="225" w:lineRule="exact"/>
        <w:rPr>
          <w:rFonts w:ascii="Times New Roman" w:cs="Times New Roman" w:eastAsia="Times New Roman" w:hAnsi="Times New Roman"/>
          <w:sz w:val="18"/>
          <w:szCs w:val="18"/>
          <w:color w:val="010000"/>
        </w:rPr>
      </w:pPr>
    </w:p>
    <w:p>
      <w:pPr>
        <w:ind w:left="2620" w:hanging="668"/>
        <w:spacing w:after="0"/>
        <w:tabs>
          <w:tab w:leader="none" w:pos="2620" w:val="left"/>
        </w:tabs>
        <w:numPr>
          <w:ilvl w:val="1"/>
          <w:numId w:val="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consents to the appointment of a custodian of it or for any substantial part of its property;</w:t>
      </w:r>
    </w:p>
    <w:p>
      <w:pPr>
        <w:spacing w:after="0" w:line="225" w:lineRule="exact"/>
        <w:rPr>
          <w:rFonts w:ascii="Times New Roman" w:cs="Times New Roman" w:eastAsia="Times New Roman" w:hAnsi="Times New Roman"/>
          <w:sz w:val="18"/>
          <w:szCs w:val="18"/>
          <w:color w:val="010000"/>
        </w:rPr>
      </w:pPr>
    </w:p>
    <w:p>
      <w:pPr>
        <w:ind w:left="2620" w:hanging="668"/>
        <w:spacing w:after="0"/>
        <w:tabs>
          <w:tab w:leader="none" w:pos="2620" w:val="left"/>
        </w:tabs>
        <w:numPr>
          <w:ilvl w:val="1"/>
          <w:numId w:val="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makes a general assignment for the benefit of its creditors;</w:t>
      </w:r>
    </w:p>
    <w:p>
      <w:pPr>
        <w:spacing w:after="0" w:line="225" w:lineRule="exact"/>
        <w:rPr>
          <w:rFonts w:ascii="Times New Roman" w:cs="Times New Roman" w:eastAsia="Times New Roman" w:hAnsi="Times New Roman"/>
          <w:sz w:val="18"/>
          <w:szCs w:val="18"/>
          <w:color w:val="010000"/>
        </w:rPr>
      </w:pPr>
    </w:p>
    <w:p>
      <w:pPr>
        <w:ind w:left="2620" w:hanging="668"/>
        <w:spacing w:after="0"/>
        <w:tabs>
          <w:tab w:leader="none" w:pos="2620" w:val="left"/>
        </w:tabs>
        <w:numPr>
          <w:ilvl w:val="1"/>
          <w:numId w:val="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takes any comparable action under any foreign Bankruptcy Law; or</w:t>
      </w:r>
    </w:p>
    <w:p>
      <w:pPr>
        <w:spacing w:after="0" w:line="225" w:lineRule="exact"/>
        <w:rPr>
          <w:rFonts w:ascii="Times New Roman" w:cs="Times New Roman" w:eastAsia="Times New Roman" w:hAnsi="Times New Roman"/>
          <w:sz w:val="18"/>
          <w:szCs w:val="18"/>
          <w:color w:val="010000"/>
        </w:rPr>
      </w:pPr>
    </w:p>
    <w:p>
      <w:pPr>
        <w:ind w:left="2620" w:hanging="668"/>
        <w:spacing w:after="0"/>
        <w:tabs>
          <w:tab w:leader="none" w:pos="2620" w:val="left"/>
        </w:tabs>
        <w:numPr>
          <w:ilvl w:val="1"/>
          <w:numId w:val="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generally is not paying its debts as they become due; or</w:t>
      </w:r>
    </w:p>
    <w:p>
      <w:pPr>
        <w:spacing w:after="0" w:line="225" w:lineRule="exact"/>
        <w:rPr>
          <w:rFonts w:ascii="Times New Roman" w:cs="Times New Roman" w:eastAsia="Times New Roman" w:hAnsi="Times New Roman"/>
          <w:sz w:val="18"/>
          <w:szCs w:val="18"/>
          <w:color w:val="010000"/>
        </w:rPr>
      </w:pPr>
    </w:p>
    <w:p>
      <w:pPr>
        <w:ind w:left="2020" w:hanging="716"/>
        <w:spacing w:after="0"/>
        <w:tabs>
          <w:tab w:leader="none" w:pos="20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 either:</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9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is for relief against the Company or any of its Significant Subsidiaries in an involuntary case or proceeding;</w:t>
      </w:r>
    </w:p>
    <w:p>
      <w:pPr>
        <w:spacing w:after="0" w:line="225" w:lineRule="exact"/>
        <w:rPr>
          <w:rFonts w:ascii="Times New Roman" w:cs="Times New Roman" w:eastAsia="Times New Roman" w:hAnsi="Times New Roman"/>
          <w:sz w:val="18"/>
          <w:szCs w:val="18"/>
          <w:color w:val="010000"/>
        </w:rPr>
      </w:pPr>
    </w:p>
    <w:p>
      <w:pPr>
        <w:ind w:left="1300" w:firstLine="652"/>
        <w:spacing w:after="0" w:line="282" w:lineRule="auto"/>
        <w:tabs>
          <w:tab w:leader="none" w:pos="2552" w:val="left"/>
        </w:tabs>
        <w:numPr>
          <w:ilvl w:val="1"/>
          <w:numId w:val="9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appoints a custodian of the Company or any of its Significant Subsidiaries, or for any substantial part of the property of the Company or any of its Significant Subsidiaries;</w:t>
      </w:r>
    </w:p>
    <w:p>
      <w:pPr>
        <w:spacing w:after="0" w:line="161" w:lineRule="exact"/>
        <w:rPr>
          <w:rFonts w:ascii="Times New Roman" w:cs="Times New Roman" w:eastAsia="Times New Roman" w:hAnsi="Times New Roman"/>
          <w:sz w:val="18"/>
          <w:szCs w:val="18"/>
          <w:color w:val="010000"/>
        </w:rPr>
      </w:pPr>
    </w:p>
    <w:p>
      <w:pPr>
        <w:ind w:left="2620" w:hanging="668"/>
        <w:spacing w:after="0"/>
        <w:tabs>
          <w:tab w:leader="none" w:pos="2620" w:val="left"/>
        </w:tabs>
        <w:numPr>
          <w:ilvl w:val="1"/>
          <w:numId w:val="9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orders the winding up or liquidation of the Company or any of its Significant Subsidiaries; or</w:t>
      </w:r>
    </w:p>
    <w:p>
      <w:pPr>
        <w:spacing w:after="0" w:line="225" w:lineRule="exact"/>
        <w:rPr>
          <w:rFonts w:ascii="Times New Roman" w:cs="Times New Roman" w:eastAsia="Times New Roman" w:hAnsi="Times New Roman"/>
          <w:sz w:val="18"/>
          <w:szCs w:val="18"/>
          <w:color w:val="010000"/>
        </w:rPr>
      </w:pPr>
    </w:p>
    <w:p>
      <w:pPr>
        <w:ind w:left="2620" w:hanging="668"/>
        <w:spacing w:after="0"/>
        <w:tabs>
          <w:tab w:leader="none" w:pos="2620" w:val="left"/>
        </w:tabs>
        <w:numPr>
          <w:ilvl w:val="1"/>
          <w:numId w:val="9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grants any similar relief under any foreign Bankruptcy Law,</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and, in each case under this </w:t>
      </w:r>
      <w:r>
        <w:rPr>
          <w:rFonts w:ascii="Times New Roman" w:cs="Times New Roman" w:eastAsia="Times New Roman" w:hAnsi="Times New Roman"/>
          <w:sz w:val="18"/>
          <w:szCs w:val="18"/>
          <w:b w:val="1"/>
          <w:bCs w:val="1"/>
          <w:color w:val="auto"/>
        </w:rPr>
        <w:t>Section 7.01(A)(ix)</w:t>
      </w:r>
      <w:r>
        <w:rPr>
          <w:rFonts w:ascii="Times New Roman" w:cs="Times New Roman" w:eastAsia="Times New Roman" w:hAnsi="Times New Roman"/>
          <w:sz w:val="18"/>
          <w:szCs w:val="18"/>
          <w:color w:val="auto"/>
        </w:rPr>
        <w:t>, such order or decree remains unstayed and in effect for at least sixty (60) days.</w:t>
      </w:r>
    </w:p>
    <w:p>
      <w:pPr>
        <w:spacing w:after="0" w:line="225" w:lineRule="exact"/>
        <w:rPr>
          <w:sz w:val="20"/>
          <w:szCs w:val="20"/>
          <w:color w:val="auto"/>
        </w:rPr>
      </w:pPr>
    </w:p>
    <w:p>
      <w:pPr>
        <w:jc w:val="both"/>
        <w:ind w:firstLine="656"/>
        <w:spacing w:after="0" w:line="268" w:lineRule="auto"/>
        <w:tabs>
          <w:tab w:leader="none" w:pos="1297" w:val="left"/>
        </w:tabs>
        <w:numPr>
          <w:ilvl w:val="0"/>
          <w:numId w:val="1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Cause Irrelevant. </w:t>
      </w:r>
      <w:r>
        <w:rPr>
          <w:rFonts w:ascii="Times New Roman" w:cs="Times New Roman" w:eastAsia="Times New Roman" w:hAnsi="Times New Roman"/>
          <w:sz w:val="18"/>
          <w:szCs w:val="18"/>
          <w:color w:val="auto"/>
        </w:rPr>
        <w:t>Each of the events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constitute an Event of Default regardless of the cause thereof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voluntary or involuntary or effected by operation of law or pursuant to any judgment, decree or order of any court or any order, rule or regulation of any administrative or governmental body.</w:t>
      </w:r>
    </w:p>
    <w:p>
      <w:pPr>
        <w:spacing w:after="0" w:line="17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7.02</w:t>
      </w:r>
      <w:r>
        <w:rPr>
          <w:sz w:val="20"/>
          <w:szCs w:val="20"/>
          <w:color w:val="auto"/>
        </w:rPr>
        <w:tab/>
      </w:r>
      <w:r>
        <w:rPr>
          <w:rFonts w:ascii="Times New Roman" w:cs="Times New Roman" w:eastAsia="Times New Roman" w:hAnsi="Times New Roman"/>
          <w:sz w:val="17"/>
          <w:szCs w:val="17"/>
          <w:b w:val="1"/>
          <w:bCs w:val="1"/>
          <w:color w:val="auto"/>
        </w:rPr>
        <w:t>ACCELERATION.</w:t>
      </w:r>
    </w:p>
    <w:p>
      <w:pPr>
        <w:spacing w:after="0" w:line="225" w:lineRule="exact"/>
        <w:rPr>
          <w:sz w:val="20"/>
          <w:szCs w:val="20"/>
          <w:color w:val="auto"/>
        </w:rPr>
      </w:pPr>
    </w:p>
    <w:p>
      <w:pPr>
        <w:jc w:val="both"/>
        <w:ind w:firstLine="656"/>
        <w:spacing w:after="0" w:line="268" w:lineRule="auto"/>
        <w:tabs>
          <w:tab w:leader="none" w:pos="1366" w:val="left"/>
        </w:tabs>
        <w:numPr>
          <w:ilvl w:val="0"/>
          <w:numId w:val="1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Automatic Acceleration in Certain Circumstances. </w:t>
      </w:r>
      <w:r>
        <w:rPr>
          <w:rFonts w:ascii="Times New Roman" w:cs="Times New Roman" w:eastAsia="Times New Roman" w:hAnsi="Times New Roman"/>
          <w:sz w:val="18"/>
          <w:szCs w:val="18"/>
          <w:color w:val="auto"/>
        </w:rPr>
        <w:t>If an Event of Default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7.01(A)(viii)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7.01(A)(ix)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the Company (and not solely with respect to a Significant Subsidiary of the Company), then the principal amount of, and all accrued and unpaid interest, if any, on, all of the Notes then outstanding will immediately become due and payable without any further action or notice by any Person.</w:t>
      </w:r>
    </w:p>
    <w:p>
      <w:pPr>
        <w:spacing w:after="0" w:line="170" w:lineRule="exact"/>
        <w:rPr>
          <w:rFonts w:ascii="Times New Roman" w:cs="Times New Roman" w:eastAsia="Times New Roman" w:hAnsi="Times New Roman"/>
          <w:sz w:val="18"/>
          <w:szCs w:val="18"/>
          <w:color w:val="010000"/>
        </w:rPr>
      </w:pPr>
    </w:p>
    <w:p>
      <w:pPr>
        <w:jc w:val="both"/>
        <w:ind w:firstLine="656"/>
        <w:spacing w:after="0" w:line="259" w:lineRule="auto"/>
        <w:tabs>
          <w:tab w:leader="none" w:pos="1185" w:val="left"/>
        </w:tabs>
        <w:numPr>
          <w:ilvl w:val="0"/>
          <w:numId w:val="1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Optional Acceleration. </w:t>
      </w:r>
      <w:r>
        <w:rPr>
          <w:rFonts w:ascii="Times New Roman" w:cs="Times New Roman" w:eastAsia="Times New Roman" w:hAnsi="Times New Roman"/>
          <w:sz w:val="18"/>
          <w:szCs w:val="18"/>
          <w:color w:val="auto"/>
        </w:rPr>
        <w:t>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7.03</w:t>
      </w:r>
      <w:r>
        <w:rPr>
          <w:rFonts w:ascii="Times New Roman" w:cs="Times New Roman" w:eastAsia="Times New Roman" w:hAnsi="Times New Roman"/>
          <w:sz w:val="18"/>
          <w:szCs w:val="18"/>
          <w:color w:val="auto"/>
        </w:rPr>
        <w:t>, if an Event of Default (other than an Event of Default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7.01(A)(viii)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 xml:space="preserve">7.01(A)(ix) </w:t>
      </w:r>
      <w:r>
        <w:rPr>
          <w:rFonts w:ascii="Times New Roman" w:cs="Times New Roman" w:eastAsia="Times New Roman" w:hAnsi="Times New Roman"/>
          <w:sz w:val="18"/>
          <w:szCs w:val="18"/>
          <w:color w:val="auto"/>
        </w:rPr>
        <w:t>with respect to the Company and not solely with respect to a Significant Subsidiary of the Company) occurs and is continuing, then the Trustee,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notice to the Company, or Holders of at least twenty five percent (25%) of the aggregate principal amount of Notes then outstanding, by notice to the Company and the Trustee, may declare the principal amount of, and all accrued and unpaid interest, if any, on, all of the Notes then outstanding to become due and payable immediately.</w:t>
      </w:r>
    </w:p>
    <w:p>
      <w:pPr>
        <w:spacing w:after="0" w:line="181" w:lineRule="exact"/>
        <w:rPr>
          <w:rFonts w:ascii="Times New Roman" w:cs="Times New Roman" w:eastAsia="Times New Roman" w:hAnsi="Times New Roman"/>
          <w:sz w:val="18"/>
          <w:szCs w:val="18"/>
          <w:color w:val="010000"/>
        </w:rPr>
      </w:pPr>
    </w:p>
    <w:p>
      <w:pPr>
        <w:jc w:val="both"/>
        <w:ind w:firstLine="656"/>
        <w:spacing w:after="0" w:line="258" w:lineRule="auto"/>
        <w:tabs>
          <w:tab w:leader="none" w:pos="1248" w:val="left"/>
        </w:tabs>
        <w:numPr>
          <w:ilvl w:val="0"/>
          <w:numId w:val="1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Rescission of Acceleration. </w:t>
      </w:r>
      <w:r>
        <w:rPr>
          <w:rFonts w:ascii="Times New Roman" w:cs="Times New Roman" w:eastAsia="Times New Roman" w:hAnsi="Times New Roman"/>
          <w:sz w:val="18"/>
          <w:szCs w:val="18"/>
          <w:color w:val="auto"/>
        </w:rPr>
        <w:t>Notwithstanding anything to the contrary in this Indenture or the Notes, the Holders of a majority in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amount of the Notes then outstanding, by notice to the Company and the Trustee, may, on behalf of all Holders, rescind any acceleration of the Notes and its consequences if (i) such rescission would not conflict with any judgment or decree of a court of competent jurisdiction; and (ii) all existing Events of Default (except the non-payment of principal of, or interest, if any, on, the Notes that has become due solely because of such acceleration) have been cured or waived. No such rescission will affect any subsequent Default or impair any right consequent thereto.</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7.03</w:t>
      </w:r>
      <w:r>
        <w:rPr>
          <w:sz w:val="20"/>
          <w:szCs w:val="20"/>
          <w:color w:val="auto"/>
        </w:rPr>
        <w:tab/>
      </w:r>
      <w:r>
        <w:rPr>
          <w:rFonts w:ascii="Times New Roman" w:cs="Times New Roman" w:eastAsia="Times New Roman" w:hAnsi="Times New Roman"/>
          <w:sz w:val="17"/>
          <w:szCs w:val="17"/>
          <w:b w:val="1"/>
          <w:bCs w:val="1"/>
          <w:color w:val="auto"/>
        </w:rPr>
        <w:t>SOLE REMEDY FOR A FAILURE TO REPORT.</w:t>
      </w:r>
    </w:p>
    <w:p>
      <w:pPr>
        <w:spacing w:after="0" w:line="227" w:lineRule="exact"/>
        <w:rPr>
          <w:sz w:val="20"/>
          <w:szCs w:val="20"/>
          <w:color w:val="auto"/>
        </w:rPr>
      </w:pPr>
    </w:p>
    <w:p>
      <w:pPr>
        <w:jc w:val="both"/>
        <w:ind w:firstLine="656"/>
        <w:spacing w:after="0" w:line="255" w:lineRule="auto"/>
        <w:tabs>
          <w:tab w:leader="none" w:pos="1312" w:val="left"/>
        </w:tabs>
        <w:numPr>
          <w:ilvl w:val="0"/>
          <w:numId w:val="1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Notwithstanding anything to the contrary in this Indenture or the Notes, the Company may elect that the sole remedy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Event of Default (a </w:t>
      </w:r>
      <w:r>
        <w:rPr>
          <w:rFonts w:ascii="Times New Roman" w:cs="Times New Roman" w:eastAsia="Times New Roman" w:hAnsi="Times New Roman"/>
          <w:sz w:val="18"/>
          <w:szCs w:val="18"/>
          <w:b w:val="1"/>
          <w:bCs w:val="1"/>
          <w:color w:val="auto"/>
        </w:rPr>
        <w:t>“Reporting Event of Default”</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b w:val="1"/>
          <w:bCs w:val="1"/>
          <w:color w:val="auto"/>
        </w:rPr>
        <w:t>Section 7.01(A)(vi)</w:t>
      </w:r>
      <w:r>
        <w:rPr>
          <w:rFonts w:ascii="Times New Roman" w:cs="Times New Roman" w:eastAsia="Times New Roman" w:hAnsi="Times New Roman"/>
          <w:sz w:val="18"/>
          <w:szCs w:val="18"/>
          <w:color w:val="auto"/>
        </w:rPr>
        <w:t xml:space="preserve"> arising from the Company’s failure to comply with </w:t>
      </w:r>
      <w:r>
        <w:rPr>
          <w:rFonts w:ascii="Times New Roman" w:cs="Times New Roman" w:eastAsia="Times New Roman" w:hAnsi="Times New Roman"/>
          <w:sz w:val="18"/>
          <w:szCs w:val="18"/>
          <w:b w:val="1"/>
          <w:bCs w:val="1"/>
          <w:color w:val="auto"/>
        </w:rPr>
        <w:t>Section 3.02</w:t>
      </w:r>
      <w:r>
        <w:rPr>
          <w:rFonts w:ascii="Times New Roman" w:cs="Times New Roman" w:eastAsia="Times New Roman" w:hAnsi="Times New Roman"/>
          <w:sz w:val="18"/>
          <w:szCs w:val="18"/>
          <w:color w:val="auto"/>
        </w:rPr>
        <w:t xml:space="preserve"> will, for each of the first three hundred sixty five (365) calendar days on which a Reporting Event of Default has occurred and is continuing, consist exclusively of the accrual of Special Interest on the Notes. If the Company has made such an election, then (i) the Notes will be subject to acceleration pursuant to </w:t>
      </w:r>
      <w:r>
        <w:rPr>
          <w:rFonts w:ascii="Times New Roman" w:cs="Times New Roman" w:eastAsia="Times New Roman" w:hAnsi="Times New Roman"/>
          <w:sz w:val="18"/>
          <w:szCs w:val="18"/>
          <w:b w:val="1"/>
          <w:bCs w:val="1"/>
          <w:color w:val="auto"/>
        </w:rPr>
        <w:t xml:space="preserve">Section 7.02 </w:t>
      </w:r>
      <w:r>
        <w:rPr>
          <w:rFonts w:ascii="Times New Roman" w:cs="Times New Roman" w:eastAsia="Times New Roman" w:hAnsi="Times New Roman"/>
          <w:sz w:val="18"/>
          <w:szCs w:val="18"/>
          <w:color w:val="auto"/>
        </w:rPr>
        <w:t>on account of the relevant Reporting Event of Default from, and including, the three hundred sixty sixth (366th) calendar day on which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Reporting Event of Default has occurred and is continuing or if the Company fails to pay any accrued and unpaid Special Interest when due; and (ii) Special Interest will cease to accrue on any Notes from, and including, such three hundred sixty sixth (366th) calendar day (it being understood that interest on any defaulted Special Interest will nonetheless accrue pursuant to </w:t>
      </w:r>
      <w:r>
        <w:rPr>
          <w:rFonts w:ascii="Times New Roman" w:cs="Times New Roman" w:eastAsia="Times New Roman" w:hAnsi="Times New Roman"/>
          <w:sz w:val="18"/>
          <w:szCs w:val="18"/>
          <w:b w:val="1"/>
          <w:bCs w:val="1"/>
          <w:color w:val="auto"/>
        </w:rPr>
        <w:t>Section 2.05(B)</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010000"/>
        </w:rPr>
      </w:pPr>
    </w:p>
    <w:p>
      <w:pPr>
        <w:jc w:val="both"/>
        <w:ind w:firstLine="656"/>
        <w:spacing w:after="0" w:line="257" w:lineRule="auto"/>
        <w:tabs>
          <w:tab w:leader="none" w:pos="1261" w:val="left"/>
        </w:tabs>
        <w:numPr>
          <w:ilvl w:val="0"/>
          <w:numId w:val="1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Amount and Payment of Special Interest. </w:t>
      </w:r>
      <w:r>
        <w:rPr>
          <w:rFonts w:ascii="Times New Roman" w:cs="Times New Roman" w:eastAsia="Times New Roman" w:hAnsi="Times New Roman"/>
          <w:sz w:val="18"/>
          <w:szCs w:val="18"/>
          <w:color w:val="auto"/>
        </w:rPr>
        <w:t>Any Special Interest that accrues on a Note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7.03(A)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accrue at a rate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annum equal to one quarter of one percent (0.25%) of the principal amount thereof for the first one hundred eighty (180) days on which Special Interest accrues and, thereafter, at a rate per annum equal to one half of one percent (0.50%) of the principal amount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will Special Interest, together with any Additional Interest, accrue on any day on a Note at a combined rate per annum that exceeds one half of one percent (0.50%). For the avoidance of doubt, any Special Interest that accrues on a Note will, subject to the proviso of the immediately preceding sentence, be in addition to any Additional Interest that accrues on such Note.</w:t>
      </w:r>
    </w:p>
    <w:p>
      <w:pPr>
        <w:spacing w:after="0" w:line="182" w:lineRule="exact"/>
        <w:rPr>
          <w:rFonts w:ascii="Times New Roman" w:cs="Times New Roman" w:eastAsia="Times New Roman" w:hAnsi="Times New Roman"/>
          <w:sz w:val="18"/>
          <w:szCs w:val="18"/>
          <w:color w:val="010000"/>
        </w:rPr>
      </w:pPr>
    </w:p>
    <w:p>
      <w:pPr>
        <w:jc w:val="both"/>
        <w:ind w:firstLine="656"/>
        <w:spacing w:after="0" w:line="259" w:lineRule="auto"/>
        <w:tabs>
          <w:tab w:leader="none" w:pos="1288" w:val="left"/>
        </w:tabs>
        <w:numPr>
          <w:ilvl w:val="0"/>
          <w:numId w:val="1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Notice of Election. </w:t>
      </w:r>
      <w:r>
        <w:rPr>
          <w:rFonts w:ascii="Times New Roman" w:cs="Times New Roman" w:eastAsia="Times New Roman" w:hAnsi="Times New Roman"/>
          <w:sz w:val="18"/>
          <w:szCs w:val="18"/>
          <w:color w:val="auto"/>
        </w:rPr>
        <w:t>To make the election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7.03(A)</w:t>
      </w:r>
      <w:r>
        <w:rPr>
          <w:rFonts w:ascii="Times New Roman" w:cs="Times New Roman" w:eastAsia="Times New Roman" w:hAnsi="Times New Roman"/>
          <w:sz w:val="18"/>
          <w:szCs w:val="18"/>
          <w:color w:val="auto"/>
        </w:rPr>
        <w:t>, the Company must send to the Holders, the Trustee and the Paying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before the date on which each Reporting Event of Default first occurs, a notice that (i) briefly describes the report(s) that the Company failed to file with the SEC; (ii) states that the Company is electing that the sole remedy for such Reporting Event of Default consist of the accrual of Special Interest; and (iii) briefly describes the periods during which and rate at which Special Interest will accrue and the circumstances under which the Notes will be subject to acceleration on account of such Reporting Event of Default.</w:t>
      </w:r>
    </w:p>
    <w:p>
      <w:pPr>
        <w:spacing w:after="0" w:line="181"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370" w:val="left"/>
        </w:tabs>
        <w:numPr>
          <w:ilvl w:val="0"/>
          <w:numId w:val="1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Notice to Trustee and Paying Agent; Trustee’s Disclaimer. </w:t>
      </w:r>
      <w:r>
        <w:rPr>
          <w:rFonts w:ascii="Times New Roman" w:cs="Times New Roman" w:eastAsia="Times New Roman" w:hAnsi="Times New Roman"/>
          <w:sz w:val="18"/>
          <w:szCs w:val="18"/>
          <w:color w:val="auto"/>
        </w:rPr>
        <w:t>If Special Interest accrues on any Note, then, no later than five (5)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before each date on which such Special Interest is to be paid, the Company will deliver an Officer’s Certificate to the Trustee and the Paying Agent stating (i) that the Company is obligated to pay Special Interest on such Note on such date of payment; and (ii) the amount of such Special Interest that is payable on such date of payment. The Trustee will have no duty to determine whether any Special Interest is payable or the amount thereof.</w:t>
      </w:r>
    </w:p>
    <w:p>
      <w:pPr>
        <w:spacing w:after="0" w:line="177" w:lineRule="exact"/>
        <w:rPr>
          <w:rFonts w:ascii="Times New Roman" w:cs="Times New Roman" w:eastAsia="Times New Roman" w:hAnsi="Times New Roman"/>
          <w:sz w:val="18"/>
          <w:szCs w:val="18"/>
          <w:color w:val="010000"/>
        </w:rPr>
      </w:pPr>
    </w:p>
    <w:p>
      <w:pPr>
        <w:ind w:firstLine="656"/>
        <w:spacing w:after="0" w:line="286" w:lineRule="auto"/>
        <w:tabs>
          <w:tab w:leader="none" w:pos="1381" w:val="left"/>
        </w:tabs>
        <w:numPr>
          <w:ilvl w:val="0"/>
          <w:numId w:val="1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No Effect on Other Events of Default. </w:t>
      </w:r>
      <w:r>
        <w:rPr>
          <w:rFonts w:ascii="Times New Roman" w:cs="Times New Roman" w:eastAsia="Times New Roman" w:hAnsi="Times New Roman"/>
          <w:sz w:val="18"/>
          <w:szCs w:val="18"/>
          <w:color w:val="auto"/>
        </w:rPr>
        <w:t>No election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a Reporting Event of Default will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rights of any Holder with respect to any other Event of Default, including with respect to any other Reporting Event of Default.</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7.04</w:t>
      </w:r>
      <w:r>
        <w:rPr>
          <w:sz w:val="20"/>
          <w:szCs w:val="20"/>
          <w:color w:val="auto"/>
        </w:rPr>
        <w:tab/>
      </w:r>
      <w:r>
        <w:rPr>
          <w:rFonts w:ascii="Times New Roman" w:cs="Times New Roman" w:eastAsia="Times New Roman" w:hAnsi="Times New Roman"/>
          <w:sz w:val="17"/>
          <w:szCs w:val="17"/>
          <w:b w:val="1"/>
          <w:bCs w:val="1"/>
          <w:color w:val="auto"/>
        </w:rPr>
        <w:t>OTHER REMEDIES.</w:t>
      </w:r>
    </w:p>
    <w:p>
      <w:pPr>
        <w:spacing w:after="0" w:line="227" w:lineRule="exact"/>
        <w:rPr>
          <w:sz w:val="20"/>
          <w:szCs w:val="20"/>
          <w:color w:val="auto"/>
        </w:rPr>
      </w:pPr>
    </w:p>
    <w:p>
      <w:pPr>
        <w:ind w:firstLine="656"/>
        <w:spacing w:after="0" w:line="284" w:lineRule="auto"/>
        <w:tabs>
          <w:tab w:leader="none" w:pos="1298" w:val="left"/>
        </w:tabs>
        <w:numPr>
          <w:ilvl w:val="0"/>
          <w:numId w:val="1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Trustee May Pursue All Remedies. </w:t>
      </w:r>
      <w:r>
        <w:rPr>
          <w:rFonts w:ascii="Times New Roman" w:cs="Times New Roman" w:eastAsia="Times New Roman" w:hAnsi="Times New Roman"/>
          <w:sz w:val="18"/>
          <w:szCs w:val="18"/>
          <w:color w:val="auto"/>
        </w:rPr>
        <w:t>If an Event of Default occurs and is continuing, then the Trustee may pursue any available remedy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 the payment of any amounts due with respect to the Notes or to enforce the performance of any provision of this Indenture or the Notes.</w:t>
      </w:r>
    </w:p>
    <w:p>
      <w:pPr>
        <w:spacing w:after="0" w:line="158" w:lineRule="exact"/>
        <w:rPr>
          <w:rFonts w:ascii="Times New Roman" w:cs="Times New Roman" w:eastAsia="Times New Roman" w:hAnsi="Times New Roman"/>
          <w:sz w:val="18"/>
          <w:szCs w:val="18"/>
          <w:color w:val="010000"/>
        </w:rPr>
      </w:pPr>
    </w:p>
    <w:p>
      <w:pPr>
        <w:jc w:val="both"/>
        <w:ind w:firstLine="656"/>
        <w:spacing w:after="0" w:line="267" w:lineRule="auto"/>
        <w:tabs>
          <w:tab w:leader="none" w:pos="1261" w:val="left"/>
        </w:tabs>
        <w:numPr>
          <w:ilvl w:val="0"/>
          <w:numId w:val="1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Procedural Matters. </w:t>
      </w:r>
      <w:r>
        <w:rPr>
          <w:rFonts w:ascii="Times New Roman" w:cs="Times New Roman" w:eastAsia="Times New Roman" w:hAnsi="Times New Roman"/>
          <w:sz w:val="18"/>
          <w:szCs w:val="18"/>
          <w:color w:val="auto"/>
        </w:rPr>
        <w:t>The Trustee may maintain a proceeding even if it does not possess any of the Notes or does not produce any of them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such proceeding. A delay or omission by the Trustee or any Holder in exercising any right or remedy following an Event of Default will not impair the right or remedy or constitute a waiver of, or acquiescence in, such Event of Default. All remedies will be cumulative to the extent permitted by law.</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7.05</w:t>
      </w:r>
      <w:r>
        <w:rPr>
          <w:sz w:val="20"/>
          <w:szCs w:val="20"/>
          <w:color w:val="auto"/>
        </w:rPr>
        <w:tab/>
      </w:r>
      <w:r>
        <w:rPr>
          <w:rFonts w:ascii="Times New Roman" w:cs="Times New Roman" w:eastAsia="Times New Roman" w:hAnsi="Times New Roman"/>
          <w:sz w:val="17"/>
          <w:szCs w:val="17"/>
          <w:b w:val="1"/>
          <w:bCs w:val="1"/>
          <w:color w:val="auto"/>
        </w:rPr>
        <w:t>WAIVER OF PAST DEFAULTS.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An Event of Default pursuant to </w:t>
      </w:r>
      <w:r>
        <w:rPr>
          <w:rFonts w:ascii="Times New Roman" w:cs="Times New Roman" w:eastAsia="Times New Roman" w:hAnsi="Times New Roman"/>
          <w:sz w:val="18"/>
          <w:szCs w:val="18"/>
          <w:b w:val="1"/>
          <w:bCs w:val="1"/>
          <w:color w:val="auto"/>
        </w:rPr>
        <w:t>clause (i), (ii), (iv)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(vi)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b w:val="1"/>
          <w:bCs w:val="1"/>
          <w:color w:val="auto"/>
        </w:rPr>
        <w:t>clause (vi)</w:t>
      </w:r>
      <w:r>
        <w:rPr>
          <w:rFonts w:ascii="Times New Roman" w:cs="Times New Roman" w:eastAsia="Times New Roman" w:hAnsi="Times New Roman"/>
          <w:sz w:val="18"/>
          <w:szCs w:val="18"/>
          <w:color w:val="auto"/>
        </w:rPr>
        <w:t xml:space="preserve"> only, results from a Default under any covenant that cannot be amended without the consent of each affected Holder), and a Default that could lead to such an Event of Default, can be waived only with the consent of each affected Holder. Each other Default or Event of Default may be waived, on behalf of all Holders, by the Holders of a majority in aggregate principal amount of the Notes then outstanding. If an Event of Default is so waived, then it will cease to exist. If a Default is so waived, then it will be deemed to be cured and any Event of Default arising therefrom will be deemed not to occur. However, no such waiver will extend to any subsequent or other Default or Event of Default or impair any right arising therefrom.</w:t>
      </w:r>
    </w:p>
    <w:p>
      <w:pPr>
        <w:spacing w:after="0" w:line="18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7.06</w:t>
      </w:r>
      <w:r>
        <w:rPr>
          <w:sz w:val="20"/>
          <w:szCs w:val="20"/>
          <w:color w:val="auto"/>
        </w:rPr>
        <w:tab/>
      </w:r>
      <w:r>
        <w:rPr>
          <w:rFonts w:ascii="Times New Roman" w:cs="Times New Roman" w:eastAsia="Times New Roman" w:hAnsi="Times New Roman"/>
          <w:sz w:val="17"/>
          <w:szCs w:val="17"/>
          <w:b w:val="1"/>
          <w:bCs w:val="1"/>
          <w:color w:val="auto"/>
        </w:rPr>
        <w:t>CONTROL BY MAJORITY.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Holders of a majority in aggregate principal amount of the Notes then outstanding may direct the time, method and place of conducting any proceeding for exercising any remedy available to the Trustee or exercising any trust or power conferred on it. However, the Trustee may refuse to follow any direction that conflicts with law, this Indenture or the Notes, or that, subject to </w:t>
      </w:r>
      <w:r>
        <w:rPr>
          <w:rFonts w:ascii="Times New Roman" w:cs="Times New Roman" w:eastAsia="Times New Roman" w:hAnsi="Times New Roman"/>
          <w:sz w:val="18"/>
          <w:szCs w:val="18"/>
          <w:b w:val="1"/>
          <w:bCs w:val="1"/>
          <w:color w:val="auto"/>
        </w:rPr>
        <w:t>Section 10.01</w:t>
      </w:r>
      <w:r>
        <w:rPr>
          <w:rFonts w:ascii="Times New Roman" w:cs="Times New Roman" w:eastAsia="Times New Roman" w:hAnsi="Times New Roman"/>
          <w:sz w:val="18"/>
          <w:szCs w:val="18"/>
          <w:color w:val="auto"/>
        </w:rPr>
        <w:t>, the Trustee determines may be unduly prejudicial to the rights of other Holders or may involve the Trustee in liability, unless the Trustee is offered (and, if requested, provided with) security and indemnity satisfactory to the Trustee against any loss, liability or expense to the Trustee that may result from the Trustee’s following such direction.</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7.07</w:t>
      </w:r>
      <w:r>
        <w:rPr>
          <w:sz w:val="20"/>
          <w:szCs w:val="20"/>
          <w:color w:val="auto"/>
        </w:rPr>
        <w:tab/>
      </w:r>
      <w:r>
        <w:rPr>
          <w:rFonts w:ascii="Times New Roman" w:cs="Times New Roman" w:eastAsia="Times New Roman" w:hAnsi="Times New Roman"/>
          <w:sz w:val="17"/>
          <w:szCs w:val="17"/>
          <w:b w:val="1"/>
          <w:bCs w:val="1"/>
          <w:color w:val="auto"/>
        </w:rPr>
        <w:t>LIMITATION ON SUITS.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 Holder may pursue any remedy with respect to this Indenture or the Notes (except to enforce (x) its rights to receive the principal of, or the Fundamental Change Repurchase Price or Redemption Price for, or interest, if any, on, any Notes; or (y) the Company’s obligations to Convert any Notes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unless:</w:t>
      </w:r>
    </w:p>
    <w:p>
      <w:pPr>
        <w:spacing w:after="0" w:line="176" w:lineRule="exact"/>
        <w:rPr>
          <w:sz w:val="20"/>
          <w:szCs w:val="20"/>
          <w:color w:val="auto"/>
        </w:rPr>
      </w:pPr>
    </w:p>
    <w:p>
      <w:pPr>
        <w:ind w:left="1320" w:hanging="664"/>
        <w:spacing w:after="0"/>
        <w:tabs>
          <w:tab w:leader="none" w:pos="1320" w:val="left"/>
        </w:tabs>
        <w:numPr>
          <w:ilvl w:val="0"/>
          <w:numId w:val="10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Holder has previously delivered to the Trustee notice that an Event of Default is continuing;</w:t>
      </w:r>
    </w:p>
    <w:p>
      <w:pPr>
        <w:spacing w:after="0" w:line="225" w:lineRule="exact"/>
        <w:rPr>
          <w:rFonts w:ascii="Times New Roman" w:cs="Times New Roman" w:eastAsia="Times New Roman" w:hAnsi="Times New Roman"/>
          <w:sz w:val="18"/>
          <w:szCs w:val="18"/>
          <w:color w:val="010000"/>
        </w:rPr>
      </w:pPr>
    </w:p>
    <w:p>
      <w:pPr>
        <w:ind w:firstLine="656"/>
        <w:spacing w:after="0" w:line="282" w:lineRule="auto"/>
        <w:tabs>
          <w:tab w:leader="none" w:pos="1312" w:val="left"/>
        </w:tabs>
        <w:numPr>
          <w:ilvl w:val="0"/>
          <w:numId w:val="10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Holders of at least twenty five percent (25%) in aggregate principal amount of the Notes then outstanding deliver a request to the Trustee to pursue such remedy;</w:t>
      </w:r>
    </w:p>
    <w:p>
      <w:pPr>
        <w:spacing w:after="0" w:line="161" w:lineRule="exact"/>
        <w:rPr>
          <w:rFonts w:ascii="Times New Roman" w:cs="Times New Roman" w:eastAsia="Times New Roman" w:hAnsi="Times New Roman"/>
          <w:sz w:val="18"/>
          <w:szCs w:val="18"/>
          <w:color w:val="010000"/>
        </w:rPr>
      </w:pPr>
    </w:p>
    <w:p>
      <w:pPr>
        <w:ind w:right="20" w:firstLine="656"/>
        <w:spacing w:after="0" w:line="282" w:lineRule="auto"/>
        <w:tabs>
          <w:tab w:leader="none" w:pos="1327" w:val="left"/>
        </w:tabs>
        <w:numPr>
          <w:ilvl w:val="0"/>
          <w:numId w:val="10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Holder or Holders offer and, if requested, provide to the Trustee security and indemnity satisfactory to the Trustee against any loss, liability or expense to the Trustee that may result from the Trustee’s following such request;</w:t>
      </w:r>
    </w:p>
    <w:p>
      <w:pPr>
        <w:spacing w:after="0" w:line="161" w:lineRule="exact"/>
        <w:rPr>
          <w:rFonts w:ascii="Times New Roman" w:cs="Times New Roman" w:eastAsia="Times New Roman" w:hAnsi="Times New Roman"/>
          <w:sz w:val="18"/>
          <w:szCs w:val="18"/>
          <w:color w:val="010000"/>
        </w:rPr>
      </w:pPr>
    </w:p>
    <w:p>
      <w:pPr>
        <w:ind w:left="1200" w:hanging="544"/>
        <w:spacing w:after="0"/>
        <w:tabs>
          <w:tab w:leader="none" w:pos="1200" w:val="left"/>
        </w:tabs>
        <w:numPr>
          <w:ilvl w:val="0"/>
          <w:numId w:val="10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Trustee does not comply with such request within sixty (60) calendar days after its receipt of such request and such offer of security or</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indemnity; and</w:t>
      </w:r>
    </w:p>
    <w:p>
      <w:pPr>
        <w:spacing w:after="0" w:line="206" w:lineRule="exact"/>
        <w:rPr>
          <w:rFonts w:ascii="Times New Roman" w:cs="Times New Roman" w:eastAsia="Times New Roman" w:hAnsi="Times New Roman"/>
          <w:sz w:val="18"/>
          <w:szCs w:val="18"/>
          <w:color w:val="010000"/>
        </w:rPr>
      </w:pPr>
    </w:p>
    <w:p>
      <w:pPr>
        <w:ind w:firstLine="656"/>
        <w:spacing w:after="0" w:line="282" w:lineRule="auto"/>
        <w:tabs>
          <w:tab w:leader="none" w:pos="1404" w:val="left"/>
        </w:tabs>
        <w:numPr>
          <w:ilvl w:val="0"/>
          <w:numId w:val="10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during such sixty (60) calendar day period, Holders of a majority in aggregate principal amount of the Notes then outstanding do not deliver to the Trustee a direction that is inconsistent with such request.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Holder of a Note may not use this Indenture to prejudice the rights of another Holder or to obtain a preference or priority over another 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will have no duty to determine whether any Holder’s use of this Indenture complies with the preceding sentence.</w:t>
      </w:r>
    </w:p>
    <w:p>
      <w:pPr>
        <w:spacing w:after="0" w:line="203" w:lineRule="exact"/>
        <w:rPr>
          <w:sz w:val="20"/>
          <w:szCs w:val="20"/>
          <w:color w:val="auto"/>
        </w:rPr>
      </w:pPr>
    </w:p>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7.08</w:t>
      </w:r>
      <w:r>
        <w:rPr>
          <w:sz w:val="20"/>
          <w:szCs w:val="20"/>
          <w:color w:val="auto"/>
        </w:rPr>
        <w:tab/>
      </w:r>
      <w:r>
        <w:rPr>
          <w:rFonts w:ascii="Times New Roman" w:cs="Times New Roman" w:eastAsia="Times New Roman" w:hAnsi="Times New Roman"/>
          <w:sz w:val="18"/>
          <w:szCs w:val="18"/>
          <w:b w:val="1"/>
          <w:bCs w:val="1"/>
          <w:color w:val="auto"/>
        </w:rPr>
        <w:t>ABSOLUTE RIGHT OF HOLDERS TO INSTITUTE SUIT FOR THE ENFORCEMENT OF THE RIGHT TO RECEIVE PAYMENT AND CONVERSION CONSIDERATION.</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Indenture or the Notes (but without limiting </w:t>
      </w:r>
      <w:r>
        <w:rPr>
          <w:rFonts w:ascii="Times New Roman" w:cs="Times New Roman" w:eastAsia="Times New Roman" w:hAnsi="Times New Roman"/>
          <w:sz w:val="18"/>
          <w:szCs w:val="18"/>
          <w:b w:val="1"/>
          <w:bCs w:val="1"/>
          <w:color w:val="auto"/>
        </w:rPr>
        <w:t>Section 8.01</w:t>
      </w:r>
      <w:r>
        <w:rPr>
          <w:rFonts w:ascii="Times New Roman" w:cs="Times New Roman" w:eastAsia="Times New Roman" w:hAnsi="Times New Roman"/>
          <w:sz w:val="18"/>
          <w:szCs w:val="18"/>
          <w:color w:val="auto"/>
        </w:rPr>
        <w:t>), the right of each Holder of a Note to bring suit for the enforcement of any payment or delivery, as applicable, of the principal of, or the Fundamental Change Repurchase Price or Redemption Price for, or any interest on, or the Conversion Consideration due pursuant to Article 5 upon Conversion of, such Note on or after the respective due dates therefor provided in this Indenture and the Notes, will not be impaired or affected without the consent of such Holder.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7.09</w:t>
      </w:r>
      <w:r>
        <w:rPr>
          <w:sz w:val="20"/>
          <w:szCs w:val="20"/>
          <w:color w:val="auto"/>
        </w:rPr>
        <w:tab/>
      </w:r>
      <w:r>
        <w:rPr>
          <w:rFonts w:ascii="Times New Roman" w:cs="Times New Roman" w:eastAsia="Times New Roman" w:hAnsi="Times New Roman"/>
          <w:sz w:val="18"/>
          <w:szCs w:val="18"/>
          <w:b w:val="1"/>
          <w:bCs w:val="1"/>
          <w:color w:val="auto"/>
        </w:rPr>
        <w:t>COLLECTION SUIT BY TRUSTEE.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The Trustee will have the right, upon the occurrence and continuance of an Event of Default pursuant to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7.01(A)</w:t>
      </w:r>
      <w:r>
        <w:rPr>
          <w:rFonts w:ascii="Times New Roman" w:cs="Times New Roman" w:eastAsia="Times New Roman" w:hAnsi="Times New Roman"/>
          <w:sz w:val="18"/>
          <w:szCs w:val="18"/>
          <w:color w:val="auto"/>
        </w:rPr>
        <w:t>, to recover judgment in its own name and as trustee of an express trust against the Company for the total unpaid or undelivered principal 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Fundamental Change Repurchase Price or Redemption Price for, or interest, if any, on, or Conversion Consideration due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upon Conversion of, the Notes, as applicable, and, to the extent lawful, any Default Interest on any Defaulted Amounts, and such further amounts sufficient to cover the costs and expenses of collection, including compensation provided for in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7.10</w:t>
      </w:r>
      <w:r>
        <w:rPr>
          <w:sz w:val="20"/>
          <w:szCs w:val="20"/>
          <w:color w:val="auto"/>
        </w:rPr>
        <w:tab/>
      </w:r>
      <w:r>
        <w:rPr>
          <w:rFonts w:ascii="Times New Roman" w:cs="Times New Roman" w:eastAsia="Times New Roman" w:hAnsi="Times New Roman"/>
          <w:sz w:val="17"/>
          <w:szCs w:val="17"/>
          <w:b w:val="1"/>
          <w:bCs w:val="1"/>
          <w:color w:val="auto"/>
        </w:rPr>
        <w:t>TRUSTEE MAY FILE PROOFS OF CLAIM.</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Trustee has the right to (A) file such proofs of claim and other papers or documents as may be necessary or advisable in order to have the claims of the Trustee and the Holders allowed in any judicial proceedings relative to the Company (or any other obligor upon the Notes) or its creditors or property and (B) collect, receive and distribute any money or other property payable or deliverable on any such claims. Each Holder authorizes any custodian in such proceeding to make such payments to the Trustee, and, if the Trustee consents to the making of such payments directly to the Holders, to pay to the Trustee any amount due to the Trustee for the reasonable compensation, expenses, disbursements and advances of the Trustee, and its agents and counsel, and any other amounts payable to the Trustee pursuant to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 To the extent that the payment of any such compensation, expenses, disbursements, advances and other amounts out of the estate in such proceeding, is denied for any reason, payment of the same will be secured by a lien on, and will be paid out of, any and all distributions, dividends, money, securities and other properties that the Holders may be entitled to receive in such proceeding (whether in liquidation or under any plan of reorganization or arrangement or otherwise). Nothing in this Indenture will be deemed to authorize the Trustee to authorize, consent to,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7.11</w:t>
      </w:r>
      <w:r>
        <w:rPr>
          <w:sz w:val="20"/>
          <w:szCs w:val="20"/>
          <w:color w:val="auto"/>
        </w:rPr>
        <w:tab/>
      </w:r>
      <w:r>
        <w:rPr>
          <w:rFonts w:ascii="Times New Roman" w:cs="Times New Roman" w:eastAsia="Times New Roman" w:hAnsi="Times New Roman"/>
          <w:sz w:val="17"/>
          <w:szCs w:val="17"/>
          <w:b w:val="1"/>
          <w:bCs w:val="1"/>
          <w:color w:val="auto"/>
        </w:rPr>
        <w:t>PRIORITIES.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Trustee will pay or deliver in the following order any money or other property that it collects pursuant to this </w:t>
      </w:r>
      <w:r>
        <w:rPr>
          <w:rFonts w:ascii="Times New Roman" w:cs="Times New Roman" w:eastAsia="Times New Roman" w:hAnsi="Times New Roman"/>
          <w:sz w:val="18"/>
          <w:szCs w:val="18"/>
          <w:b w:val="1"/>
          <w:bCs w:val="1"/>
          <w:color w:val="auto"/>
        </w:rPr>
        <w:t>Article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First: </w:t>
      </w:r>
      <w:r>
        <w:rPr>
          <w:rFonts w:ascii="Times New Roman" w:cs="Times New Roman" w:eastAsia="Times New Roman" w:hAnsi="Times New Roman"/>
          <w:sz w:val="18"/>
          <w:szCs w:val="18"/>
          <w:color w:val="auto"/>
        </w:rPr>
        <w:t>to the Trustee and its agents and attorneys for amounts due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 including payment of all fees and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and all expenses and liabilities incurred, and all advances made, by, the Trustee (in each of its capacities under this Indenture, including as Note Agent) and the costs and expenses of collection;</w:t>
      </w:r>
    </w:p>
    <w:p>
      <w:pPr>
        <w:spacing w:after="0" w:line="173"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Second: </w:t>
      </w:r>
      <w:r>
        <w:rPr>
          <w:rFonts w:ascii="Times New Roman" w:cs="Times New Roman" w:eastAsia="Times New Roman" w:hAnsi="Times New Roman"/>
          <w:sz w:val="18"/>
          <w:szCs w:val="18"/>
          <w:color w:val="auto"/>
        </w:rPr>
        <w:t>to Holders for unpaid amounts or other property due on the Notes, including the principal of, or the Fundamental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Price or Redemption Price for, or any interest on, or any Conversion Consideration due upon Conversion of, the Notes, ratably, and without preference or priority of any kind, according to such amounts or other property due and payable on all of the Notes; and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Third: </w:t>
      </w:r>
      <w:r>
        <w:rPr>
          <w:rFonts w:ascii="Times New Roman" w:cs="Times New Roman" w:eastAsia="Times New Roman" w:hAnsi="Times New Roman"/>
          <w:sz w:val="18"/>
          <w:szCs w:val="18"/>
          <w:color w:val="auto"/>
        </w:rPr>
        <w:t>to the Company or such other Person as a court of competent jurisdiction directs.</w:t>
      </w:r>
    </w:p>
    <w:p>
      <w:pPr>
        <w:spacing w:after="0" w:line="22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The Trustee may fix a record date and payment date for any payment or delivery to the Holders pursuant to this </w:t>
      </w:r>
      <w:r>
        <w:rPr>
          <w:rFonts w:ascii="Times New Roman" w:cs="Times New Roman" w:eastAsia="Times New Roman" w:hAnsi="Times New Roman"/>
          <w:sz w:val="18"/>
          <w:szCs w:val="18"/>
          <w:b w:val="1"/>
          <w:bCs w:val="1"/>
          <w:color w:val="auto"/>
        </w:rPr>
        <w:t>Section 7.11</w:t>
      </w:r>
      <w:r>
        <w:rPr>
          <w:rFonts w:ascii="Times New Roman" w:cs="Times New Roman" w:eastAsia="Times New Roman" w:hAnsi="Times New Roman"/>
          <w:sz w:val="18"/>
          <w:szCs w:val="18"/>
          <w:color w:val="auto"/>
        </w:rPr>
        <w:t>, in which case the Trustee will instruct the Company to, and the Company will, deliver, at least fifteen (15) calendar days before such record date, to each Holder and the Trustee a notice stating such record date, such payment date and the amount of such payment or nature of such delivery, as applicable.</w:t>
      </w:r>
    </w:p>
    <w:p>
      <w:pPr>
        <w:spacing w:after="0" w:line="17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7.12</w:t>
      </w:r>
      <w:r>
        <w:rPr>
          <w:sz w:val="20"/>
          <w:szCs w:val="20"/>
          <w:color w:val="auto"/>
        </w:rPr>
        <w:tab/>
      </w:r>
      <w:r>
        <w:rPr>
          <w:rFonts w:ascii="Times New Roman" w:cs="Times New Roman" w:eastAsia="Times New Roman" w:hAnsi="Times New Roman"/>
          <w:sz w:val="17"/>
          <w:szCs w:val="17"/>
          <w:b w:val="1"/>
          <w:bCs w:val="1"/>
          <w:color w:val="auto"/>
        </w:rPr>
        <w:t>UNDERTAKING FOR COSTS.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any suit for the enforcement of any right or remedy under this Indenture or the Notes or in any suit against the Trustee for any action taken or omitted by it as Trustee, a court, in its discretion, may (A) require the filing by any litigant party in such suit of an undertaking to pay the costs of such suit; and (B) assess reasonable costs (including reasonable attorneys’ fees) against any litigant party in such suit, having due regard to the merits and good faith of the claims or defenses made by such litigant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b w:val="1"/>
          <w:bCs w:val="1"/>
          <w:color w:val="auto"/>
        </w:rPr>
        <w:t>Section 7.12</w:t>
      </w:r>
      <w:r>
        <w:rPr>
          <w:rFonts w:ascii="Times New Roman" w:cs="Times New Roman" w:eastAsia="Times New Roman" w:hAnsi="Times New Roman"/>
          <w:sz w:val="18"/>
          <w:szCs w:val="18"/>
          <w:color w:val="auto"/>
        </w:rPr>
        <w:t xml:space="preserve"> does not apply to any suit by the Trustee, any suit by a Holder pursuant to </w:t>
      </w:r>
      <w:r>
        <w:rPr>
          <w:rFonts w:ascii="Times New Roman" w:cs="Times New Roman" w:eastAsia="Times New Roman" w:hAnsi="Times New Roman"/>
          <w:sz w:val="18"/>
          <w:szCs w:val="18"/>
          <w:b w:val="1"/>
          <w:bCs w:val="1"/>
          <w:color w:val="auto"/>
        </w:rPr>
        <w:t>Section 7.08</w:t>
      </w:r>
      <w:r>
        <w:rPr>
          <w:rFonts w:ascii="Times New Roman" w:cs="Times New Roman" w:eastAsia="Times New Roman" w:hAnsi="Times New Roman"/>
          <w:sz w:val="18"/>
          <w:szCs w:val="18"/>
          <w:color w:val="auto"/>
        </w:rPr>
        <w:t xml:space="preserve"> or any suit by one or more Holders of more than ten percent (10%) in aggregate principal amount of the Notes then outstanding.</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7.13</w:t>
      </w:r>
      <w:r>
        <w:rPr>
          <w:sz w:val="20"/>
          <w:szCs w:val="20"/>
          <w:color w:val="auto"/>
        </w:rPr>
        <w:tab/>
      </w:r>
      <w:r>
        <w:rPr>
          <w:rFonts w:ascii="Times New Roman" w:cs="Times New Roman" w:eastAsia="Times New Roman" w:hAnsi="Times New Roman"/>
          <w:sz w:val="17"/>
          <w:szCs w:val="17"/>
          <w:b w:val="1"/>
          <w:bCs w:val="1"/>
          <w:color w:val="auto"/>
        </w:rPr>
        <w:t>CURE OF DEFAULTS; ABILITY TO CURE OR WAIVE BEFORE EVENT OF DEFAULT OCCURS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avoidance of doubt, and without limiting the manner in which any Default can be cured,</w:t>
      </w:r>
    </w:p>
    <w:p>
      <w:pPr>
        <w:spacing w:after="0" w:line="225" w:lineRule="exact"/>
        <w:rPr>
          <w:sz w:val="20"/>
          <w:szCs w:val="20"/>
          <w:color w:val="auto"/>
        </w:rPr>
      </w:pPr>
    </w:p>
    <w:p>
      <w:pPr>
        <w:ind w:left="1400" w:hanging="744"/>
        <w:spacing w:after="0"/>
        <w:tabs>
          <w:tab w:leader="none" w:pos="1400" w:val="left"/>
        </w:tabs>
        <w:numPr>
          <w:ilvl w:val="0"/>
          <w:numId w:val="1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Default consisting of a failure to send a notice in accordance with the terms of this Indenture will be cured upon the sending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w:t>
      </w:r>
    </w:p>
    <w:p>
      <w:pPr>
        <w:spacing w:after="0" w:line="207" w:lineRule="exact"/>
        <w:rPr>
          <w:sz w:val="20"/>
          <w:szCs w:val="20"/>
          <w:color w:val="auto"/>
        </w:rPr>
      </w:pPr>
    </w:p>
    <w:p>
      <w:pPr>
        <w:ind w:firstLine="656"/>
        <w:spacing w:after="0" w:line="282" w:lineRule="auto"/>
        <w:tabs>
          <w:tab w:leader="none" w:pos="1349" w:val="left"/>
        </w:tabs>
        <w:numPr>
          <w:ilvl w:val="0"/>
          <w:numId w:val="10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Default in making any payment on (or delivering any other consideration in respect of) any Note will be cured upon the delivery, in accordance with the provisions of this Indenture, of such payment (or other consideration) together, if applicable, with Default Interest thereon; and</w:t>
      </w:r>
    </w:p>
    <w:p>
      <w:pPr>
        <w:spacing w:after="0" w:line="161" w:lineRule="exact"/>
        <w:rPr>
          <w:rFonts w:ascii="Times New Roman" w:cs="Times New Roman" w:eastAsia="Times New Roman" w:hAnsi="Times New Roman"/>
          <w:sz w:val="18"/>
          <w:szCs w:val="18"/>
          <w:color w:val="010000"/>
        </w:rPr>
      </w:pPr>
    </w:p>
    <w:p>
      <w:pPr>
        <w:ind w:firstLine="656"/>
        <w:spacing w:after="0" w:line="282" w:lineRule="auto"/>
        <w:tabs>
          <w:tab w:leader="none" w:pos="1300" w:val="left"/>
        </w:tabs>
        <w:numPr>
          <w:ilvl w:val="0"/>
          <w:numId w:val="10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Default that is (or, after notice, passage of time or both, would be) a Reporting Event of Default will be cured upon the filing of the relevant report(s) giving rise to such Default.</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addition, for the avoidance of doubt, if a Default that is not an Event of Default is cured or waived before such Default would have constituted an Event of Default, then no Event of Default will result from such Default.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AMENDMENTS, SUPPLEMENTS AND WAIVERS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8.01</w:t>
      </w:r>
      <w:r>
        <w:rPr>
          <w:sz w:val="20"/>
          <w:szCs w:val="20"/>
          <w:color w:val="auto"/>
        </w:rPr>
        <w:tab/>
      </w:r>
      <w:r>
        <w:rPr>
          <w:rFonts w:ascii="Times New Roman" w:cs="Times New Roman" w:eastAsia="Times New Roman" w:hAnsi="Times New Roman"/>
          <w:sz w:val="17"/>
          <w:szCs w:val="17"/>
          <w:b w:val="1"/>
          <w:bCs w:val="1"/>
          <w:color w:val="auto"/>
        </w:rPr>
        <w:t>WITHOUT THE CONSENT OF HOLDERS.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w:t>
      </w:r>
      <w:r>
        <w:rPr>
          <w:rFonts w:ascii="Times New Roman" w:cs="Times New Roman" w:eastAsia="Times New Roman" w:hAnsi="Times New Roman"/>
          <w:sz w:val="18"/>
          <w:szCs w:val="18"/>
          <w:b w:val="1"/>
          <w:bCs w:val="1"/>
          <w:color w:val="auto"/>
        </w:rPr>
        <w:t>Section 8.02</w:t>
      </w:r>
      <w:r>
        <w:rPr>
          <w:rFonts w:ascii="Times New Roman" w:cs="Times New Roman" w:eastAsia="Times New Roman" w:hAnsi="Times New Roman"/>
          <w:sz w:val="18"/>
          <w:szCs w:val="18"/>
          <w:color w:val="auto"/>
        </w:rPr>
        <w:t>, the Company and the Trustee may amend or supplement this Indenture or the Notes without the consent of any Holder to:</w:t>
      </w:r>
    </w:p>
    <w:p>
      <w:pPr>
        <w:spacing w:after="0" w:line="159" w:lineRule="exact"/>
        <w:rPr>
          <w:sz w:val="20"/>
          <w:szCs w:val="20"/>
          <w:color w:val="auto"/>
        </w:rPr>
      </w:pPr>
    </w:p>
    <w:p>
      <w:pPr>
        <w:ind w:left="1320" w:hanging="664"/>
        <w:spacing w:after="0"/>
        <w:tabs>
          <w:tab w:leader="none" w:pos="1320" w:val="left"/>
        </w:tabs>
        <w:numPr>
          <w:ilvl w:val="0"/>
          <w:numId w:val="1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cure any ambiguity or correct any omission, defect or inconsistency in this Indenture or the Notes;</w:t>
      </w:r>
    </w:p>
    <w:p>
      <w:pPr>
        <w:spacing w:after="0" w:line="225"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add guarantees with respect to the Company’s obligations under this Indenture or the Notes;</w:t>
      </w:r>
    </w:p>
    <w:p>
      <w:pPr>
        <w:spacing w:after="0" w:line="225"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secure the Notes;</w:t>
      </w:r>
    </w:p>
    <w:p>
      <w:pPr>
        <w:spacing w:after="0" w:line="225" w:lineRule="exact"/>
        <w:rPr>
          <w:rFonts w:ascii="Times New Roman" w:cs="Times New Roman" w:eastAsia="Times New Roman" w:hAnsi="Times New Roman"/>
          <w:sz w:val="18"/>
          <w:szCs w:val="18"/>
          <w:color w:val="010000"/>
        </w:rPr>
      </w:pPr>
    </w:p>
    <w:p>
      <w:pPr>
        <w:ind w:left="1420" w:hanging="764"/>
        <w:spacing w:after="0"/>
        <w:tabs>
          <w:tab w:leader="none" w:pos="1420" w:val="left"/>
        </w:tabs>
        <w:numPr>
          <w:ilvl w:val="0"/>
          <w:numId w:val="1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add to the Company’s covenants or Events of Default for the benefit of the Holders or surrender any right or power conferred on the</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Company;</w:t>
      </w:r>
    </w:p>
    <w:p>
      <w:pPr>
        <w:spacing w:after="0" w:line="202" w:lineRule="exact"/>
        <w:rPr>
          <w:rFonts w:ascii="Times New Roman" w:cs="Times New Roman" w:eastAsia="Times New Roman" w:hAnsi="Times New Roman"/>
          <w:sz w:val="18"/>
          <w:szCs w:val="18"/>
          <w:color w:val="010000"/>
        </w:rPr>
      </w:pPr>
    </w:p>
    <w:p>
      <w:pPr>
        <w:ind w:left="1320" w:hanging="664"/>
        <w:spacing w:after="0"/>
        <w:tabs>
          <w:tab w:leader="none" w:pos="1320" w:val="left"/>
        </w:tabs>
        <w:numPr>
          <w:ilvl w:val="0"/>
          <w:numId w:val="1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provide for the assumption of the Company’s obligations under this Indenture and the Notes pursuant to, and in compliance with, </w:t>
      </w:r>
      <w:r>
        <w:rPr>
          <w:rFonts w:ascii="Times New Roman" w:cs="Times New Roman" w:eastAsia="Times New Roman" w:hAnsi="Times New Roman"/>
          <w:sz w:val="18"/>
          <w:szCs w:val="18"/>
          <w:b w:val="1"/>
          <w:bCs w:val="1"/>
          <w:color w:val="auto"/>
        </w:rPr>
        <w:t>Article</w:t>
      </w:r>
    </w:p>
    <w:p>
      <w:pPr>
        <w:spacing w:after="0" w:line="31"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010000"/>
        </w:rPr>
      </w:pPr>
    </w:p>
    <w:p>
      <w:pPr>
        <w:ind w:left="1320" w:hanging="664"/>
        <w:spacing w:after="0"/>
        <w:tabs>
          <w:tab w:leader="none" w:pos="1320" w:val="left"/>
        </w:tabs>
        <w:numPr>
          <w:ilvl w:val="0"/>
          <w:numId w:val="1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enter into supplemental indentures pursuant to, and in accordance with,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in connection with a Common Stock Change Event;</w:t>
      </w:r>
    </w:p>
    <w:p>
      <w:pPr>
        <w:spacing w:after="0" w:line="227"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468" w:val="left"/>
        </w:tabs>
        <w:numPr>
          <w:ilvl w:val="0"/>
          <w:numId w:val="1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irrevocably elect or eliminate any Settlement Method or Specified Dollar Amount;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 no such election or elimination will affect any Settlement Method theretofore elected (or deemed to be elected) with respect to any Note pursuant to </w:t>
      </w:r>
      <w:r>
        <w:rPr>
          <w:rFonts w:ascii="Times New Roman" w:cs="Times New Roman" w:eastAsia="Times New Roman" w:hAnsi="Times New Roman"/>
          <w:sz w:val="18"/>
          <w:szCs w:val="18"/>
          <w:b w:val="1"/>
          <w:bCs w:val="1"/>
          <w:color w:val="auto"/>
        </w:rPr>
        <w:t>Section 5.03(A)</w:t>
      </w:r>
      <w:r>
        <w:rPr>
          <w:rFonts w:ascii="Times New Roman" w:cs="Times New Roman" w:eastAsia="Times New Roman" w:hAnsi="Times New Roman"/>
          <w:sz w:val="18"/>
          <w:szCs w:val="18"/>
          <w:color w:val="auto"/>
        </w:rPr>
        <w:t>; and (ii) such irrevocable election or elimination can in no event result in a Specified Dollar Amount of less than $1,000 per $1,000 principal amount of Notes applying to the Conversion of any Note;</w:t>
      </w:r>
    </w:p>
    <w:p>
      <w:pPr>
        <w:spacing w:after="0" w:line="181" w:lineRule="exact"/>
        <w:rPr>
          <w:rFonts w:ascii="Times New Roman" w:cs="Times New Roman" w:eastAsia="Times New Roman" w:hAnsi="Times New Roman"/>
          <w:sz w:val="18"/>
          <w:szCs w:val="18"/>
          <w:color w:val="010000"/>
        </w:rPr>
      </w:pPr>
    </w:p>
    <w:p>
      <w:pPr>
        <w:ind w:left="1320" w:hanging="664"/>
        <w:spacing w:after="0"/>
        <w:tabs>
          <w:tab w:leader="none" w:pos="1320" w:val="left"/>
        </w:tabs>
        <w:numPr>
          <w:ilvl w:val="0"/>
          <w:numId w:val="1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evidence or provide for the acceptance of the appointment, under this Indenture, of a successor Trustee;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ind w:firstLine="656"/>
        <w:spacing w:after="0" w:line="282" w:lineRule="auto"/>
        <w:tabs>
          <w:tab w:leader="none" w:pos="1443" w:val="left"/>
        </w:tabs>
        <w:numPr>
          <w:ilvl w:val="0"/>
          <w:numId w:val="1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conform the provisions of this Indenture and the Notes to the “Description of Notes” section of the Company’s preliminary offering memorandum, dated June 2, 2025, as supplemented by the related pricing term sheet, dated June 2, 2025;</w:t>
      </w:r>
    </w:p>
    <w:p>
      <w:pPr>
        <w:spacing w:after="0" w:line="157"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1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provide for or confirm the issuance of additional Notes pursuant to </w:t>
      </w:r>
      <w:r>
        <w:rPr>
          <w:rFonts w:ascii="Times New Roman" w:cs="Times New Roman" w:eastAsia="Times New Roman" w:hAnsi="Times New Roman"/>
          <w:sz w:val="18"/>
          <w:szCs w:val="18"/>
          <w:b w:val="1"/>
          <w:bCs w:val="1"/>
          <w:color w:val="auto"/>
        </w:rPr>
        <w:t>Section 2.03(B)</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010000"/>
        </w:rPr>
      </w:pPr>
    </w:p>
    <w:p>
      <w:pPr>
        <w:ind w:firstLine="656"/>
        <w:spacing w:after="0" w:line="282" w:lineRule="auto"/>
        <w:tabs>
          <w:tab w:leader="none" w:pos="1342" w:val="left"/>
        </w:tabs>
        <w:numPr>
          <w:ilvl w:val="0"/>
          <w:numId w:val="1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comply with any requirement of the SEC in connection with any qualification of this Indenture, or any related supplemental indenture, under the Trust Indenture Act, as then in effect; or</w:t>
      </w:r>
    </w:p>
    <w:p>
      <w:pPr>
        <w:spacing w:after="0" w:line="161" w:lineRule="exact"/>
        <w:rPr>
          <w:rFonts w:ascii="Times New Roman" w:cs="Times New Roman" w:eastAsia="Times New Roman" w:hAnsi="Times New Roman"/>
          <w:sz w:val="18"/>
          <w:szCs w:val="18"/>
          <w:color w:val="010000"/>
        </w:rPr>
      </w:pPr>
    </w:p>
    <w:p>
      <w:pPr>
        <w:ind w:firstLine="656"/>
        <w:spacing w:after="0" w:line="282" w:lineRule="auto"/>
        <w:tabs>
          <w:tab w:leader="none" w:pos="1294" w:val="left"/>
        </w:tabs>
        <w:numPr>
          <w:ilvl w:val="0"/>
          <w:numId w:val="1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make any other change to this Indenture or the Notes that does not, individually or in the aggregate with all other such changes, adversely affect the rights of the Holders, as such, in any material respect, as determined by the Company in good faith.</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At the written request of any Holder of a Note or owner of a beneficial interest in a Global Note, the Company will provide a copy of the “Description of Notes” section and pricing term sheet referred to in </w:t>
      </w:r>
      <w:r>
        <w:rPr>
          <w:rFonts w:ascii="Times New Roman" w:cs="Times New Roman" w:eastAsia="Times New Roman" w:hAnsi="Times New Roman"/>
          <w:sz w:val="18"/>
          <w:szCs w:val="18"/>
          <w:b w:val="1"/>
          <w:bCs w:val="1"/>
          <w:color w:val="auto"/>
        </w:rPr>
        <w:t>Section 8.01(I)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8.02</w:t>
      </w:r>
      <w:r>
        <w:rPr>
          <w:sz w:val="20"/>
          <w:szCs w:val="20"/>
          <w:color w:val="auto"/>
        </w:rPr>
        <w:tab/>
      </w:r>
      <w:r>
        <w:rPr>
          <w:rFonts w:ascii="Times New Roman" w:cs="Times New Roman" w:eastAsia="Times New Roman" w:hAnsi="Times New Roman"/>
          <w:sz w:val="18"/>
          <w:szCs w:val="18"/>
          <w:b w:val="1"/>
          <w:bCs w:val="1"/>
          <w:color w:val="auto"/>
        </w:rPr>
        <w:t>WITH THE CONSENT OF HOLDERS.</w:t>
      </w:r>
    </w:p>
    <w:p>
      <w:pPr>
        <w:spacing w:after="0" w:line="225" w:lineRule="exact"/>
        <w:rPr>
          <w:sz w:val="20"/>
          <w:szCs w:val="20"/>
          <w:color w:val="auto"/>
        </w:rPr>
      </w:pPr>
    </w:p>
    <w:p>
      <w:pPr>
        <w:jc w:val="both"/>
        <w:ind w:firstLine="656"/>
        <w:spacing w:after="0" w:line="259" w:lineRule="auto"/>
        <w:tabs>
          <w:tab w:leader="none" w:pos="1343" w:val="left"/>
        </w:tabs>
        <w:numPr>
          <w:ilvl w:val="0"/>
          <w:numId w:val="10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Sections 8.01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7.05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7.08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immediately following sentence, the Company and the Trustee may,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consent of the Holders of a majority in aggregate principal amount of the Notes then outstanding, amend or supplement this Indenture or the Notes or waive compliance with any provision of this Indenture or the Notes. Notwithstanding anything to the contrary in the foregoing sentence, but subject to </w:t>
      </w:r>
      <w:r>
        <w:rPr>
          <w:rFonts w:ascii="Times New Roman" w:cs="Times New Roman" w:eastAsia="Times New Roman" w:hAnsi="Times New Roman"/>
          <w:sz w:val="18"/>
          <w:szCs w:val="18"/>
          <w:b w:val="1"/>
          <w:bCs w:val="1"/>
          <w:color w:val="auto"/>
        </w:rPr>
        <w:t>Section 8.01</w:t>
      </w:r>
      <w:r>
        <w:rPr>
          <w:rFonts w:ascii="Times New Roman" w:cs="Times New Roman" w:eastAsia="Times New Roman" w:hAnsi="Times New Roman"/>
          <w:sz w:val="18"/>
          <w:szCs w:val="18"/>
          <w:color w:val="auto"/>
        </w:rPr>
        <w:t>, without the consent of each affected Holder, no amendment or supplement to this Indenture or the Notes, or waiver of any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or the Notes, may:</w:t>
      </w:r>
    </w:p>
    <w:p>
      <w:pPr>
        <w:spacing w:after="0" w:line="183"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or change the stated maturity, of any Note;</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119"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Redemption Price or Fundamental Change Repurchase Price for any Note or change the times at which, or the circumstances under which, the Notes may or will be redeemed or repurchased by the Company;</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or extend the time for the payment, of Special Interest or Additional Interest on any Note;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adversely affects the Conversion rights of any Note;</w:t>
      </w:r>
    </w:p>
    <w:p>
      <w:pPr>
        <w:spacing w:after="0" w:line="22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impair the rights of any Holder set forth in </w:t>
      </w:r>
      <w:r>
        <w:rPr>
          <w:rFonts w:ascii="Times New Roman" w:cs="Times New Roman" w:eastAsia="Times New Roman" w:hAnsi="Times New Roman"/>
          <w:sz w:val="18"/>
          <w:szCs w:val="18"/>
          <w:b w:val="1"/>
          <w:bCs w:val="1"/>
          <w:color w:val="auto"/>
        </w:rPr>
        <w:t>Section 7.08</w:t>
      </w:r>
      <w:r>
        <w:rPr>
          <w:rFonts w:ascii="Times New Roman" w:cs="Times New Roman" w:eastAsia="Times New Roman" w:hAnsi="Times New Roman"/>
          <w:sz w:val="18"/>
          <w:szCs w:val="18"/>
          <w:color w:val="auto"/>
        </w:rPr>
        <w:t xml:space="preserve"> (as such section is in effect on the Issue Date);</w:t>
      </w:r>
    </w:p>
    <w:p>
      <w:pPr>
        <w:spacing w:after="0" w:line="22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ranking of the Notes;</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money, or at a place of payment, other than that stated in this Indenture or the Note;</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Notes whose Holders must consent to any amendment, supplement, waiver or other modification; or</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0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direct or indirect change to any amendment, supplement, waiver or modification provision of this Indenture or the Notes that requires the consent of each affected Holder.</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For the avoidance of doubt, pursuant to </w:t>
      </w:r>
      <w:r>
        <w:rPr>
          <w:rFonts w:ascii="Times New Roman" w:cs="Times New Roman" w:eastAsia="Times New Roman" w:hAnsi="Times New Roman"/>
          <w:sz w:val="18"/>
          <w:szCs w:val="18"/>
          <w:b w:val="1"/>
          <w:bCs w:val="1"/>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b w:val="1"/>
          <w:bCs w:val="1"/>
          <w:color w:val="auto"/>
        </w:rPr>
        <w:t>Section 8.02(A)</w:t>
      </w:r>
      <w:r>
        <w:rPr>
          <w:rFonts w:ascii="Times New Roman" w:cs="Times New Roman" w:eastAsia="Times New Roman" w:hAnsi="Times New Roman"/>
          <w:sz w:val="18"/>
          <w:szCs w:val="18"/>
          <w:color w:val="auto"/>
        </w:rPr>
        <w:t>, no amendment or supplement to this Indenture or the Notes, or waiver of any provision of this Indenture or the Notes, may change the amount or type of consideration due on any Note (whether on an Interest Payment Date, Redemption Date, Fundamental Change Repurchase Date or the Maturity Date or upon Conversion, or otherwise), or the date(s) or time(s) such consideration is payable or deliverable, as applicable, without the consent of each affected Holder.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ind w:firstLine="656"/>
        <w:spacing w:after="0" w:line="286" w:lineRule="auto"/>
        <w:tabs>
          <w:tab w:leader="none" w:pos="1288" w:val="left"/>
        </w:tabs>
        <w:numPr>
          <w:ilvl w:val="0"/>
          <w:numId w:val="1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Holders Need Not Approve the Particular Form of any Amendment. </w:t>
      </w:r>
      <w:r>
        <w:rPr>
          <w:rFonts w:ascii="Times New Roman" w:cs="Times New Roman" w:eastAsia="Times New Roman" w:hAnsi="Times New Roman"/>
          <w:sz w:val="18"/>
          <w:szCs w:val="18"/>
          <w:color w:val="auto"/>
        </w:rPr>
        <w:t>A consent of any Holder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8.02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 approve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the substance, and not necessarily the particular form, of the proposed amendment, supplement or waiver.</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8.03</w:t>
      </w:r>
      <w:r>
        <w:rPr>
          <w:sz w:val="20"/>
          <w:szCs w:val="20"/>
          <w:color w:val="auto"/>
        </w:rPr>
        <w:tab/>
      </w:r>
      <w:r>
        <w:rPr>
          <w:rFonts w:ascii="Times New Roman" w:cs="Times New Roman" w:eastAsia="Times New Roman" w:hAnsi="Times New Roman"/>
          <w:sz w:val="17"/>
          <w:szCs w:val="17"/>
          <w:b w:val="1"/>
          <w:bCs w:val="1"/>
          <w:color w:val="auto"/>
        </w:rPr>
        <w:t>NOTICE OF AMENDMENTS, SUPPLEMENTS AND WAIVERS.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As soon as reasonably practicable after any amendment, supplement or waiver pursuant to </w:t>
      </w:r>
      <w:r>
        <w:rPr>
          <w:rFonts w:ascii="Times New Roman" w:cs="Times New Roman" w:eastAsia="Times New Roman" w:hAnsi="Times New Roman"/>
          <w:sz w:val="18"/>
          <w:szCs w:val="18"/>
          <w:b w:val="1"/>
          <w:bCs w:val="1"/>
          <w:color w:val="auto"/>
        </w:rPr>
        <w:t>Section 8.01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8.02</w:t>
      </w:r>
      <w:r>
        <w:rPr>
          <w:rFonts w:ascii="Times New Roman" w:cs="Times New Roman" w:eastAsia="Times New Roman" w:hAnsi="Times New Roman"/>
          <w:sz w:val="18"/>
          <w:szCs w:val="18"/>
          <w:color w:val="auto"/>
        </w:rPr>
        <w:t xml:space="preserve"> becomes effective, the Company will send to the Holders and the Trustee notice that (A) describes the substance of such amendment, supplement or waiver in reasonable detail and (B) states the effective date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will not be required to provide such notice to the Holders if such amendment, supplement or waiver is included in a periodic report filed by the Company with the SEC within four (4) Business Days of its effectiveness. The failure to send, or the existence of any defect in, such notice will not impair or affect the validity of such amendment, supplement or waiver.</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8.04</w:t>
      </w:r>
      <w:r>
        <w:rPr>
          <w:sz w:val="20"/>
          <w:szCs w:val="20"/>
          <w:color w:val="auto"/>
        </w:rPr>
        <w:tab/>
      </w:r>
      <w:r>
        <w:rPr>
          <w:rFonts w:ascii="Times New Roman" w:cs="Times New Roman" w:eastAsia="Times New Roman" w:hAnsi="Times New Roman"/>
          <w:sz w:val="17"/>
          <w:szCs w:val="17"/>
          <w:b w:val="1"/>
          <w:bCs w:val="1"/>
          <w:color w:val="auto"/>
        </w:rPr>
        <w:t>REVOCATION, EFFECT AND SOLICITATION OF CONSENTS; SPECIAL RECORD DATES; ETC.</w:t>
      </w:r>
    </w:p>
    <w:p>
      <w:pPr>
        <w:spacing w:after="0" w:line="227" w:lineRule="exact"/>
        <w:rPr>
          <w:sz w:val="20"/>
          <w:szCs w:val="20"/>
          <w:color w:val="auto"/>
        </w:rPr>
      </w:pPr>
    </w:p>
    <w:p>
      <w:pPr>
        <w:jc w:val="both"/>
        <w:ind w:firstLine="656"/>
        <w:spacing w:after="0" w:line="261" w:lineRule="auto"/>
        <w:tabs>
          <w:tab w:leader="none" w:pos="1343" w:val="left"/>
        </w:tabs>
        <w:numPr>
          <w:ilvl w:val="0"/>
          <w:numId w:val="1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Revocation and Effect of Consents. </w:t>
      </w:r>
      <w:r>
        <w:rPr>
          <w:rFonts w:ascii="Times New Roman" w:cs="Times New Roman" w:eastAsia="Times New Roman" w:hAnsi="Times New Roman"/>
          <w:sz w:val="18"/>
          <w:szCs w:val="18"/>
          <w:color w:val="auto"/>
        </w:rPr>
        <w:t>The consent of a Holder of a Note to an amendment, supplement or waiver will bind (and constitute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consent of) each subsequent Holder of any Note to the extent the same evidences any portion of the same indebtedness as the consenting Holder’s Note, subject to the right of any Holder of a Note to revoke (if not prohibited pursuant to </w:t>
      </w:r>
      <w:r>
        <w:rPr>
          <w:rFonts w:ascii="Times New Roman" w:cs="Times New Roman" w:eastAsia="Times New Roman" w:hAnsi="Times New Roman"/>
          <w:sz w:val="18"/>
          <w:szCs w:val="18"/>
          <w:b w:val="1"/>
          <w:bCs w:val="1"/>
          <w:color w:val="auto"/>
        </w:rPr>
        <w:t>Section 8.04(B)</w:t>
      </w:r>
      <w:r>
        <w:rPr>
          <w:rFonts w:ascii="Times New Roman" w:cs="Times New Roman" w:eastAsia="Times New Roman" w:hAnsi="Times New Roman"/>
          <w:sz w:val="18"/>
          <w:szCs w:val="18"/>
          <w:color w:val="auto"/>
        </w:rPr>
        <w:t>) any such consent with respect to such Note by delivering notice of revocation to the Trustee before the time such amendment, supplement or waiver becomes effective.</w:t>
      </w:r>
    </w:p>
    <w:p>
      <w:pPr>
        <w:spacing w:after="0" w:line="179" w:lineRule="exact"/>
        <w:rPr>
          <w:rFonts w:ascii="Times New Roman" w:cs="Times New Roman" w:eastAsia="Times New Roman" w:hAnsi="Times New Roman"/>
          <w:sz w:val="18"/>
          <w:szCs w:val="18"/>
          <w:color w:val="010000"/>
        </w:rPr>
      </w:pPr>
    </w:p>
    <w:p>
      <w:pPr>
        <w:jc w:val="both"/>
        <w:ind w:firstLine="656"/>
        <w:spacing w:after="0" w:line="257" w:lineRule="auto"/>
        <w:tabs>
          <w:tab w:leader="none" w:pos="1333" w:val="left"/>
        </w:tabs>
        <w:numPr>
          <w:ilvl w:val="0"/>
          <w:numId w:val="1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Special Record Dates. </w:t>
      </w:r>
      <w:r>
        <w:rPr>
          <w:rFonts w:ascii="Times New Roman" w:cs="Times New Roman" w:eastAsia="Times New Roman" w:hAnsi="Times New Roman"/>
          <w:sz w:val="18"/>
          <w:szCs w:val="18"/>
          <w:color w:val="auto"/>
        </w:rPr>
        <w:t>The Company may, but is not required to, fix a record date for the purpose of determining the Holders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consent or take any other action in connection with any amendment, supplement or waiver pursuant to this </w:t>
      </w:r>
      <w:r>
        <w:rPr>
          <w:rFonts w:ascii="Times New Roman" w:cs="Times New Roman" w:eastAsia="Times New Roman" w:hAnsi="Times New Roman"/>
          <w:sz w:val="18"/>
          <w:szCs w:val="18"/>
          <w:b w:val="1"/>
          <w:bCs w:val="1"/>
          <w:color w:val="auto"/>
        </w:rPr>
        <w:t>Article 8</w:t>
      </w:r>
      <w:r>
        <w:rPr>
          <w:rFonts w:ascii="Times New Roman" w:cs="Times New Roman" w:eastAsia="Times New Roman" w:hAnsi="Times New Roman"/>
          <w:sz w:val="18"/>
          <w:szCs w:val="18"/>
          <w:color w:val="auto"/>
        </w:rPr>
        <w:t xml:space="preserve">. If a record date is fixed, then, notwithstanding anything to the contrary in </w:t>
      </w:r>
      <w:r>
        <w:rPr>
          <w:rFonts w:ascii="Times New Roman" w:cs="Times New Roman" w:eastAsia="Times New Roman" w:hAnsi="Times New Roman"/>
          <w:sz w:val="18"/>
          <w:szCs w:val="18"/>
          <w:b w:val="1"/>
          <w:bCs w:val="1"/>
          <w:color w:val="auto"/>
        </w:rPr>
        <w:t>Section 8.04(A)</w:t>
      </w:r>
      <w:r>
        <w:rPr>
          <w:rFonts w:ascii="Times New Roman" w:cs="Times New Roman" w:eastAsia="Times New Roman" w:hAnsi="Times New Roman"/>
          <w:sz w:val="18"/>
          <w:szCs w:val="18"/>
          <w:color w:val="auto"/>
        </w:rPr>
        <w:t xml:space="preserve">, only Persons who are Holders as of such record date (or their duly designated proxies) will be entitled to give such consent, to revoke any consent previously given or to take any such action, regardless of whether such Persons continue to be Holders after such record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such consent will be valid or effective for more than one hundred and twenty (120) calendar days after such record date.</w:t>
      </w:r>
    </w:p>
    <w:p>
      <w:pPr>
        <w:spacing w:after="0" w:line="182" w:lineRule="exact"/>
        <w:rPr>
          <w:rFonts w:ascii="Times New Roman" w:cs="Times New Roman" w:eastAsia="Times New Roman" w:hAnsi="Times New Roman"/>
          <w:sz w:val="18"/>
          <w:szCs w:val="18"/>
          <w:color w:val="010000"/>
        </w:rPr>
      </w:pPr>
    </w:p>
    <w:p>
      <w:pPr>
        <w:ind w:firstLine="656"/>
        <w:spacing w:after="0" w:line="284" w:lineRule="auto"/>
        <w:tabs>
          <w:tab w:leader="none" w:pos="1369" w:val="left"/>
        </w:tabs>
        <w:numPr>
          <w:ilvl w:val="0"/>
          <w:numId w:val="1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Solicitation of Consents. </w:t>
      </w:r>
      <w:r>
        <w:rPr>
          <w:rFonts w:ascii="Times New Roman" w:cs="Times New Roman" w:eastAsia="Times New Roman" w:hAnsi="Times New Roman"/>
          <w:sz w:val="18"/>
          <w:szCs w:val="18"/>
          <w:color w:val="auto"/>
        </w:rPr>
        <w:t>For the avoidance of doubt, each reference in this Indenture or the Notes to the consent of a Holder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to include any such consent obtained in connection with a repurchase of, or tender or exchange offer for, any Notes.</w:t>
      </w:r>
    </w:p>
    <w:p>
      <w:pPr>
        <w:spacing w:after="0" w:line="156" w:lineRule="exact"/>
        <w:rPr>
          <w:rFonts w:ascii="Times New Roman" w:cs="Times New Roman" w:eastAsia="Times New Roman" w:hAnsi="Times New Roman"/>
          <w:sz w:val="18"/>
          <w:szCs w:val="18"/>
          <w:color w:val="010000"/>
        </w:rPr>
      </w:pPr>
    </w:p>
    <w:p>
      <w:pPr>
        <w:jc w:val="both"/>
        <w:ind w:firstLine="656"/>
        <w:spacing w:after="0" w:line="268" w:lineRule="auto"/>
        <w:tabs>
          <w:tab w:leader="none" w:pos="1298" w:val="left"/>
        </w:tabs>
        <w:numPr>
          <w:ilvl w:val="0"/>
          <w:numId w:val="1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Effectiveness and Binding Effect. </w:t>
      </w:r>
      <w:r>
        <w:rPr>
          <w:rFonts w:ascii="Times New Roman" w:cs="Times New Roman" w:eastAsia="Times New Roman" w:hAnsi="Times New Roman"/>
          <w:sz w:val="18"/>
          <w:szCs w:val="18"/>
          <w:color w:val="auto"/>
        </w:rPr>
        <w:t>Each amendment, supplement or waiver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become effective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its terms and, when it becomes effective with respect to any Note (or any portion thereof), will thereafter bind every Holder of such Note (or such portion).</w:t>
      </w:r>
    </w:p>
    <w:p>
      <w:pPr>
        <w:spacing w:after="0" w:line="17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8.05</w:t>
      </w:r>
      <w:r>
        <w:rPr>
          <w:sz w:val="20"/>
          <w:szCs w:val="20"/>
          <w:color w:val="auto"/>
        </w:rPr>
        <w:tab/>
      </w:r>
      <w:r>
        <w:rPr>
          <w:rFonts w:ascii="Times New Roman" w:cs="Times New Roman" w:eastAsia="Times New Roman" w:hAnsi="Times New Roman"/>
          <w:sz w:val="17"/>
          <w:szCs w:val="17"/>
          <w:b w:val="1"/>
          <w:bCs w:val="1"/>
          <w:color w:val="auto"/>
        </w:rPr>
        <w:t>NOTATIONS AND EXCHANGES.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any amendment, supplement or waiver changes the terms of a Note, then the Trustee or the Company may, in its discretion, require the Holder of such Note to deliver such Note to the Trustee so that the Trustee may place an appropriate notation prepared by the Company on such Note and return such Note to such Holder. Alternatively, at its discretion, the Company may, in exchange for such Note,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a new Note that reflects the changed terms. The failure to make any appropriate notation or issue a new Note pursuant to this </w:t>
      </w:r>
      <w:r>
        <w:rPr>
          <w:rFonts w:ascii="Times New Roman" w:cs="Times New Roman" w:eastAsia="Times New Roman" w:hAnsi="Times New Roman"/>
          <w:sz w:val="18"/>
          <w:szCs w:val="18"/>
          <w:b w:val="1"/>
          <w:bCs w:val="1"/>
          <w:color w:val="auto"/>
        </w:rPr>
        <w:t>Section 8.05</w:t>
      </w:r>
      <w:r>
        <w:rPr>
          <w:rFonts w:ascii="Times New Roman" w:cs="Times New Roman" w:eastAsia="Times New Roman" w:hAnsi="Times New Roman"/>
          <w:sz w:val="18"/>
          <w:szCs w:val="18"/>
          <w:color w:val="auto"/>
        </w:rPr>
        <w:t xml:space="preserve"> will not impair or affect the validity of such amendment, supplement or waiver.</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8.06</w:t>
      </w:r>
      <w:r>
        <w:rPr>
          <w:sz w:val="20"/>
          <w:szCs w:val="20"/>
          <w:color w:val="auto"/>
        </w:rPr>
        <w:tab/>
      </w:r>
      <w:r>
        <w:rPr>
          <w:rFonts w:ascii="Times New Roman" w:cs="Times New Roman" w:eastAsia="Times New Roman" w:hAnsi="Times New Roman"/>
          <w:sz w:val="17"/>
          <w:szCs w:val="17"/>
          <w:b w:val="1"/>
          <w:bCs w:val="1"/>
          <w:color w:val="auto"/>
        </w:rPr>
        <w:t>TRUSTEE TO EXECUTE SUPPLEMENTAL INDENTURES.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Trustee will execute and deliver any amendment or supplemental indenture authorized pursuant to this </w:t>
      </w:r>
      <w:r>
        <w:rPr>
          <w:rFonts w:ascii="Times New Roman" w:cs="Times New Roman" w:eastAsia="Times New Roman" w:hAnsi="Times New Roman"/>
          <w:sz w:val="18"/>
          <w:szCs w:val="18"/>
          <w:b w:val="1"/>
          <w:bCs w:val="1"/>
          <w:color w:val="auto"/>
        </w:rPr>
        <w:t>Article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Trustee need not (but may, in its sole and absolute discretion) execute or deliver any such amendment or supplemental indenture that adversely affects the Trustee’s rights, duties, liabilities or immunities. In executing any amendment or supplemental indenture, the Trustee will be entitled to receive, and (subject to </w:t>
      </w:r>
      <w:r>
        <w:rPr>
          <w:rFonts w:ascii="Times New Roman" w:cs="Times New Roman" w:eastAsia="Times New Roman" w:hAnsi="Times New Roman"/>
          <w:sz w:val="18"/>
          <w:szCs w:val="18"/>
          <w:b w:val="1"/>
          <w:bCs w:val="1"/>
          <w:color w:val="auto"/>
        </w:rPr>
        <w:t>Sections 10.01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10.02</w:t>
      </w:r>
      <w:r>
        <w:rPr>
          <w:rFonts w:ascii="Times New Roman" w:cs="Times New Roman" w:eastAsia="Times New Roman" w:hAnsi="Times New Roman"/>
          <w:sz w:val="18"/>
          <w:szCs w:val="18"/>
          <w:color w:val="auto"/>
        </w:rPr>
        <w:t>) will be fully protected in relying on, an Officer’s Certificate and an Opinion of Counsel stating that (A) the execution and delivery of such amendment or supplemental indenture is authorized or permitted by this Indenture; and (B) in the case of the Opinion of Counsel, such amendment or supplemental indenture is valid, binding and enforceable against the Company in accordance with its terms.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9.01</w:t>
      </w:r>
      <w:r>
        <w:rPr>
          <w:sz w:val="20"/>
          <w:szCs w:val="20"/>
          <w:color w:val="auto"/>
        </w:rPr>
        <w:tab/>
      </w:r>
      <w:r>
        <w:rPr>
          <w:rFonts w:ascii="Times New Roman" w:cs="Times New Roman" w:eastAsia="Times New Roman" w:hAnsi="Times New Roman"/>
          <w:sz w:val="17"/>
          <w:szCs w:val="17"/>
          <w:b w:val="1"/>
          <w:bCs w:val="1"/>
          <w:color w:val="auto"/>
        </w:rPr>
        <w:t>TERMINATION OF COMPANY’S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Indenture will be discharged, and will cease to be of further effect as to all Notes issued under this Indenture, when:</w:t>
      </w:r>
    </w:p>
    <w:p>
      <w:pPr>
        <w:spacing w:after="0" w:line="221" w:lineRule="exact"/>
        <w:rPr>
          <w:sz w:val="20"/>
          <w:szCs w:val="20"/>
          <w:color w:val="auto"/>
        </w:rPr>
      </w:pPr>
    </w:p>
    <w:p>
      <w:pPr>
        <w:ind w:left="1300" w:hanging="644"/>
        <w:spacing w:after="0"/>
        <w:tabs>
          <w:tab w:leader="none" w:pos="1300" w:val="left"/>
        </w:tabs>
        <w:numPr>
          <w:ilvl w:val="1"/>
          <w:numId w:val="1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all Notes then outstanding (other than Notes replaced pursuant to </w:t>
      </w:r>
      <w:r>
        <w:rPr>
          <w:rFonts w:ascii="Times New Roman" w:cs="Times New Roman" w:eastAsia="Times New Roman" w:hAnsi="Times New Roman"/>
          <w:sz w:val="18"/>
          <w:szCs w:val="18"/>
          <w:b w:val="1"/>
          <w:bCs w:val="1"/>
          <w:color w:val="auto"/>
        </w:rPr>
        <w:t>Section 2.13</w:t>
      </w:r>
      <w:r>
        <w:rPr>
          <w:rFonts w:ascii="Times New Roman" w:cs="Times New Roman" w:eastAsia="Times New Roman" w:hAnsi="Times New Roman"/>
          <w:sz w:val="18"/>
          <w:szCs w:val="18"/>
          <w:color w:val="auto"/>
        </w:rPr>
        <w:t>) have (i) been delivered to the Trustee for cancellation; or</w:t>
      </w:r>
    </w:p>
    <w:p>
      <w:pPr>
        <w:spacing w:after="0" w:line="31" w:lineRule="exact"/>
        <w:rPr>
          <w:rFonts w:ascii="Times New Roman" w:cs="Times New Roman" w:eastAsia="Times New Roman" w:hAnsi="Times New Roman"/>
          <w:sz w:val="18"/>
          <w:szCs w:val="18"/>
          <w:color w:val="010000"/>
        </w:rPr>
      </w:pPr>
    </w:p>
    <w:p>
      <w:pPr>
        <w:ind w:firstLine="8"/>
        <w:spacing w:after="0" w:line="260" w:lineRule="auto"/>
        <w:tabs>
          <w:tab w:leader="none" w:pos="27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due and payable (whether on a Redemption Date, a Fundamental Change Repurchase Date, the Maturity Date, upon Conversion or otherwise) for an amount of cash or Conversion Consideration, as applicable, that has been fixed;</w:t>
      </w:r>
    </w:p>
    <w:p>
      <w:pPr>
        <w:spacing w:after="0" w:line="18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63" w:val="left"/>
        </w:tabs>
        <w:numPr>
          <w:ilvl w:val="1"/>
          <w:numId w:val="1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Company has caused there to be irrevocably deposited with the Trustee, or with the Paying Agent (or, with respect to Conversion Consideration, the Conversion Agent), in each case for the benefit of the Holders, or has otherwise caused there to be delivered to the Holders, cash (or, with respect to Notes to be Converted, Conversion Consideration) sufficient to satisfy all amounts or other property due on all Notes then outstanding (other than Notes replaced pursuant to </w:t>
      </w:r>
      <w:r>
        <w:rPr>
          <w:rFonts w:ascii="Times New Roman" w:cs="Times New Roman" w:eastAsia="Times New Roman" w:hAnsi="Times New Roman"/>
          <w:sz w:val="18"/>
          <w:szCs w:val="18"/>
          <w:b w:val="1"/>
          <w:bCs w:val="1"/>
          <w:color w:val="auto"/>
        </w:rPr>
        <w:t>Section 2.13</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1"/>
          <w:numId w:val="1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has paid all other amounts payable by it under this Indenture; and</w:t>
      </w:r>
    </w:p>
    <w:p>
      <w:pPr>
        <w:spacing w:after="0" w:line="225" w:lineRule="exact"/>
        <w:rPr>
          <w:rFonts w:ascii="Times New Roman" w:cs="Times New Roman" w:eastAsia="Times New Roman" w:hAnsi="Times New Roman"/>
          <w:sz w:val="18"/>
          <w:szCs w:val="18"/>
          <w:color w:val="010000"/>
        </w:rPr>
      </w:pPr>
    </w:p>
    <w:p>
      <w:pPr>
        <w:ind w:firstLine="656"/>
        <w:spacing w:after="0" w:line="282" w:lineRule="auto"/>
        <w:tabs>
          <w:tab w:leader="none" w:pos="1233" w:val="left"/>
        </w:tabs>
        <w:numPr>
          <w:ilvl w:val="1"/>
          <w:numId w:val="1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has delivered to the Trustee an Officer’s Certificate and an Opinion of Counsel, each stating that the conditions precedent to the discharge of this Indenture have been satisfied;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11.01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survive such discharge and, until no Notes remain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Trustee, the Paying Agent and the Conversion Agent with respect to money or other property deposited with them will survive such discharge.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Company’s request, the Trustee will acknowledge the satisfaction and discharge of this Indenture.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9.02</w:t>
      </w:r>
      <w:r>
        <w:rPr>
          <w:sz w:val="20"/>
          <w:szCs w:val="20"/>
          <w:color w:val="auto"/>
        </w:rPr>
        <w:tab/>
      </w:r>
      <w:r>
        <w:rPr>
          <w:rFonts w:ascii="Times New Roman" w:cs="Times New Roman" w:eastAsia="Times New Roman" w:hAnsi="Times New Roman"/>
          <w:sz w:val="17"/>
          <w:szCs w:val="17"/>
          <w:b w:val="1"/>
          <w:bCs w:val="1"/>
          <w:color w:val="auto"/>
        </w:rPr>
        <w:t>REPAYMENT TO COMPANY.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applicable unclaimed property law, the Trustee, the Paying Agent and the Conversion Agent will promptly notify the Company if there exists (and, at the Company’s request, promptly deliver to the Company) any cash, Conversion Consideration or other property held by any of them for payment or delivery on the Notes that remain unclaimed two (2) years after the date on which such payment or delivery was due. After such delivery to the Company, the Trustee, the Paying Agent and the Conversion Agent will have no further liability to any Holder with respect to such cash, Conversion Consideration or other property, and Holders entitled to the payment or delivery of such cash, Conversion Consideration or other property must look to the Company for payment as a general creditor of the Company.</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9.03</w:t>
      </w:r>
      <w:r>
        <w:rPr>
          <w:sz w:val="20"/>
          <w:szCs w:val="20"/>
          <w:color w:val="auto"/>
        </w:rPr>
        <w:tab/>
      </w:r>
      <w:r>
        <w:rPr>
          <w:rFonts w:ascii="Times New Roman" w:cs="Times New Roman" w:eastAsia="Times New Roman" w:hAnsi="Times New Roman"/>
          <w:sz w:val="17"/>
          <w:szCs w:val="17"/>
          <w:b w:val="1"/>
          <w:bCs w:val="1"/>
          <w:color w:val="auto"/>
        </w:rPr>
        <w:t>REINSTATEMENT.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If the Trustee, the Paying Agent or the Conversion Agent is unable to apply any cash or other property deposited with it pursuant to </w:t>
      </w:r>
      <w:r>
        <w:rPr>
          <w:rFonts w:ascii="Times New Roman" w:cs="Times New Roman" w:eastAsia="Times New Roman" w:hAnsi="Times New Roman"/>
          <w:sz w:val="18"/>
          <w:szCs w:val="18"/>
          <w:b w:val="1"/>
          <w:bCs w:val="1"/>
          <w:color w:val="auto"/>
        </w:rPr>
        <w:t>Section 9.01</w:t>
      </w:r>
      <w:r>
        <w:rPr>
          <w:rFonts w:ascii="Times New Roman" w:cs="Times New Roman" w:eastAsia="Times New Roman" w:hAnsi="Times New Roman"/>
          <w:sz w:val="18"/>
          <w:szCs w:val="18"/>
          <w:color w:val="auto"/>
        </w:rPr>
        <w:t xml:space="preserve"> because of any legal proceeding or any order or judgment of any court or other governmental authority that enjoins, restrains or otherwise prohibits such application, then the discharge of this Indenture pursuant to </w:t>
      </w:r>
      <w:r>
        <w:rPr>
          <w:rFonts w:ascii="Times New Roman" w:cs="Times New Roman" w:eastAsia="Times New Roman" w:hAnsi="Times New Roman"/>
          <w:sz w:val="18"/>
          <w:szCs w:val="18"/>
          <w:b w:val="1"/>
          <w:bCs w:val="1"/>
          <w:color w:val="auto"/>
        </w:rPr>
        <w:t>Section 9.01</w:t>
      </w:r>
      <w:r>
        <w:rPr>
          <w:rFonts w:ascii="Times New Roman" w:cs="Times New Roman" w:eastAsia="Times New Roman" w:hAnsi="Times New Roman"/>
          <w:sz w:val="18"/>
          <w:szCs w:val="18"/>
          <w:color w:val="auto"/>
        </w:rPr>
        <w:t xml:space="preserve"> will be rescinded;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Company thereafter pays or delivers any cash or other property due on the Notes to the Holders thereof, then the Company will be subrogated to the rights of such Holders to receive such cash or other property from the cash or other property, if any, held by the Trustee, the Paying Agent or the Conversion Agent, as applicable.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10.01</w:t>
      </w:r>
      <w:r>
        <w:rPr>
          <w:sz w:val="20"/>
          <w:szCs w:val="20"/>
          <w:color w:val="auto"/>
        </w:rPr>
        <w:tab/>
      </w:r>
      <w:r>
        <w:rPr>
          <w:rFonts w:ascii="Times New Roman" w:cs="Times New Roman" w:eastAsia="Times New Roman" w:hAnsi="Times New Roman"/>
          <w:sz w:val="17"/>
          <w:szCs w:val="17"/>
          <w:b w:val="1"/>
          <w:bCs w:val="1"/>
          <w:color w:val="auto"/>
        </w:rPr>
        <w:t>DUTIES OF THE TRUSTEE.</w:t>
      </w:r>
    </w:p>
    <w:p>
      <w:pPr>
        <w:spacing w:after="0" w:line="229" w:lineRule="exact"/>
        <w:rPr>
          <w:sz w:val="20"/>
          <w:szCs w:val="20"/>
          <w:color w:val="auto"/>
        </w:rPr>
      </w:pPr>
    </w:p>
    <w:p>
      <w:pPr>
        <w:jc w:val="both"/>
        <w:ind w:firstLine="656"/>
        <w:spacing w:after="0" w:line="261" w:lineRule="auto"/>
        <w:tabs>
          <w:tab w:leader="none" w:pos="1289" w:val="left"/>
        </w:tabs>
        <w:numPr>
          <w:ilvl w:val="0"/>
          <w:numId w:val="1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an Event of Default has occurred and is continuing, and a Responsible Officer of the Trustee has written notice or actual knowledge of the same, then, without limiting the generality of </w:t>
      </w:r>
      <w:r>
        <w:rPr>
          <w:rFonts w:ascii="Times New Roman" w:cs="Times New Roman" w:eastAsia="Times New Roman" w:hAnsi="Times New Roman"/>
          <w:sz w:val="18"/>
          <w:szCs w:val="18"/>
          <w:b w:val="1"/>
          <w:bCs w:val="1"/>
          <w:color w:val="auto"/>
        </w:rPr>
        <w:t>Section 10.02(F)</w:t>
      </w:r>
      <w:r>
        <w:rPr>
          <w:rFonts w:ascii="Times New Roman" w:cs="Times New Roman" w:eastAsia="Times New Roman" w:hAnsi="Times New Roman"/>
          <w:sz w:val="18"/>
          <w:szCs w:val="18"/>
          <w:color w:val="auto"/>
        </w:rPr>
        <w:t>,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179"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1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during the continuance of an Event of Default:</w:t>
      </w:r>
    </w:p>
    <w:p>
      <w:pPr>
        <w:spacing w:after="0" w:line="225" w:lineRule="exact"/>
        <w:rPr>
          <w:rFonts w:ascii="Times New Roman" w:cs="Times New Roman" w:eastAsia="Times New Roman" w:hAnsi="Times New Roman"/>
          <w:sz w:val="18"/>
          <w:szCs w:val="18"/>
          <w:color w:val="010000"/>
        </w:rPr>
      </w:pPr>
    </w:p>
    <w:p>
      <w:pPr>
        <w:jc w:val="both"/>
        <w:ind w:left="660" w:firstLine="644"/>
        <w:spacing w:after="0" w:line="266" w:lineRule="auto"/>
        <w:tabs>
          <w:tab w:leader="none" w:pos="1907"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will be read into this Indenture against the Trustee;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995"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absence of bad faith or willful misconduct on its part, the Trustee may, without investigation, conclusively rely, as to the truth of the statements and the correctness of the opinions expressed therein, upon Officer’s Certificates or Opinions of Counsel that are provided to the Trustee and conform to the requirements of this Indenture;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Trustee will examine the certificates and opinions to determine whether or not they conform to the requirements of this Indenture (but need not confirm or investigate the accuracy of mathematical calculations or other facts stated therein).</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Trustee may not be relieved from liabilities for its negligence, bad faith or willful misconduct, except that:</w:t>
      </w:r>
    </w:p>
    <w:p>
      <w:pPr>
        <w:spacing w:after="0" w:line="221"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paragraph will not limit the effect of </w:t>
      </w:r>
      <w:r>
        <w:rPr>
          <w:rFonts w:ascii="Times New Roman" w:cs="Times New Roman" w:eastAsia="Times New Roman" w:hAnsi="Times New Roman"/>
          <w:sz w:val="18"/>
          <w:szCs w:val="18"/>
          <w:b w:val="1"/>
          <w:bCs w:val="1"/>
          <w:color w:val="auto"/>
        </w:rPr>
        <w:t>Section 10.01(B)</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firstLine="644"/>
        <w:spacing w:after="0" w:line="282" w:lineRule="auto"/>
        <w:tabs>
          <w:tab w:leader="none" w:pos="1981"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any error of judgment made in good faith by a Responsible Officer, unless it is proved that the Trustee was negligent in ascertaining the pertinent facts;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049"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will not be liable with respect to any action it takes or omits to take in good faith in accordance with a direction received by it pursuant to </w:t>
      </w:r>
      <w:r>
        <w:rPr>
          <w:rFonts w:ascii="Times New Roman" w:cs="Times New Roman" w:eastAsia="Times New Roman" w:hAnsi="Times New Roman"/>
          <w:sz w:val="18"/>
          <w:szCs w:val="18"/>
          <w:b w:val="1"/>
          <w:bCs w:val="1"/>
          <w:color w:val="auto"/>
        </w:rPr>
        <w:t>Section 7.06</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provision of this Indenture will require the Trustee to expend or risk its own funds or incur any liability.</w:t>
      </w:r>
    </w:p>
    <w:p>
      <w:pPr>
        <w:spacing w:after="0" w:line="225" w:lineRule="exact"/>
        <w:rPr>
          <w:rFonts w:ascii="Times New Roman" w:cs="Times New Roman" w:eastAsia="Times New Roman" w:hAnsi="Times New Roman"/>
          <w:sz w:val="18"/>
          <w:szCs w:val="18"/>
          <w:color w:val="010000"/>
        </w:rPr>
      </w:pPr>
    </w:p>
    <w:p>
      <w:pPr>
        <w:ind w:firstLine="656"/>
        <w:spacing w:after="0" w:line="282" w:lineRule="auto"/>
        <w:tabs>
          <w:tab w:leader="none" w:pos="1382" w:val="left"/>
        </w:tabs>
        <w:numPr>
          <w:ilvl w:val="0"/>
          <w:numId w:val="1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61" w:lineRule="exact"/>
        <w:rPr>
          <w:rFonts w:ascii="Times New Roman" w:cs="Times New Roman" w:eastAsia="Times New Roman" w:hAnsi="Times New Roman"/>
          <w:sz w:val="18"/>
          <w:szCs w:val="18"/>
          <w:color w:val="010000"/>
        </w:rPr>
      </w:pPr>
    </w:p>
    <w:p>
      <w:pPr>
        <w:ind w:left="1280" w:hanging="624"/>
        <w:spacing w:after="0"/>
        <w:tabs>
          <w:tab w:leader="none" w:pos="1280" w:val="left"/>
        </w:tabs>
        <w:numPr>
          <w:ilvl w:val="0"/>
          <w:numId w:val="1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Trustee will not be liable in its individual capacity for the obligations evidenced by the Notes.</w:t>
      </w:r>
    </w:p>
    <w:p>
      <w:pPr>
        <w:spacing w:after="0" w:line="225" w:lineRule="exact"/>
        <w:rPr>
          <w:rFonts w:ascii="Times New Roman" w:cs="Times New Roman" w:eastAsia="Times New Roman" w:hAnsi="Times New Roman"/>
          <w:sz w:val="18"/>
          <w:szCs w:val="18"/>
          <w:color w:val="010000"/>
        </w:rPr>
      </w:pPr>
    </w:p>
    <w:p>
      <w:pPr>
        <w:ind w:right="20" w:firstLine="656"/>
        <w:spacing w:after="0" w:line="282" w:lineRule="auto"/>
        <w:tabs>
          <w:tab w:leader="none" w:pos="1376" w:val="left"/>
        </w:tabs>
        <w:numPr>
          <w:ilvl w:val="0"/>
          <w:numId w:val="1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provision of this Indenture that in any way relates to the Trustee (including any provision that affects the liability of, or affords protection to, the Trustee) is subject to this </w:t>
      </w:r>
      <w:r>
        <w:rPr>
          <w:rFonts w:ascii="Times New Roman" w:cs="Times New Roman" w:eastAsia="Times New Roman" w:hAnsi="Times New Roman"/>
          <w:sz w:val="18"/>
          <w:szCs w:val="18"/>
          <w:b w:val="1"/>
          <w:bCs w:val="1"/>
          <w:color w:val="auto"/>
        </w:rPr>
        <w:t>Section 10.01</w:t>
      </w:r>
      <w:r>
        <w:rPr>
          <w:rFonts w:ascii="Times New Roman" w:cs="Times New Roman" w:eastAsia="Times New Roman" w:hAnsi="Times New Roman"/>
          <w:sz w:val="18"/>
          <w:szCs w:val="18"/>
          <w:color w:val="auto"/>
        </w:rPr>
        <w:t>, regardless of whether such provision so expressly provides.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10.02</w:t>
      </w:r>
      <w:r>
        <w:rPr>
          <w:rFonts w:ascii="Times New Roman" w:cs="Times New Roman" w:eastAsia="Times New Roman" w:hAnsi="Times New Roman"/>
          <w:sz w:val="18"/>
          <w:szCs w:val="18"/>
          <w:b w:val="1"/>
          <w:bCs w:val="1"/>
          <w:color w:val="auto"/>
        </w:rPr>
        <w:tab/>
        <w:t>RIGHTS OF THE TRUSTEE.</w:t>
      </w:r>
    </w:p>
    <w:p>
      <w:pPr>
        <w:spacing w:after="0" w:line="229" w:lineRule="exact"/>
        <w:rPr>
          <w:sz w:val="20"/>
          <w:szCs w:val="20"/>
          <w:color w:val="auto"/>
        </w:rPr>
      </w:pPr>
    </w:p>
    <w:p>
      <w:pPr>
        <w:ind w:right="20" w:firstLine="656"/>
        <w:spacing w:after="0" w:line="282" w:lineRule="auto"/>
        <w:tabs>
          <w:tab w:leader="none" w:pos="1303" w:val="left"/>
        </w:tabs>
        <w:numPr>
          <w:ilvl w:val="0"/>
          <w:numId w:val="1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Trustee may conclusively rely on any document that it believes to be genuine and signed or presented by the proper Person, and the Trustee need not investigate any fact or matter stated in such document.</w:t>
      </w:r>
    </w:p>
    <w:p>
      <w:pPr>
        <w:spacing w:after="0" w:line="161"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363" w:val="left"/>
        </w:tabs>
        <w:numPr>
          <w:ilvl w:val="0"/>
          <w:numId w:val="1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Before the Trustee acts or refrains from acting, it may require an Officer’s Certificate, an Opinion of Counsel or both. The Trustee will not be liable for any action it takes or omits to take in good faith in reliance on such Officer’s Certificate or Opinion of Counsel. The Trustee may consult with counsel; and the written advice of such counsel, or any Opinion of Counsel, will constitute full and complete authorization of the Trustee to take or omit to take any action in good faith in reliance thereon without liability.</w:t>
      </w:r>
    </w:p>
    <w:p>
      <w:pPr>
        <w:spacing w:after="0" w:line="179" w:lineRule="exact"/>
        <w:rPr>
          <w:rFonts w:ascii="Times New Roman" w:cs="Times New Roman" w:eastAsia="Times New Roman" w:hAnsi="Times New Roman"/>
          <w:sz w:val="18"/>
          <w:szCs w:val="18"/>
          <w:color w:val="010000"/>
        </w:rPr>
      </w:pPr>
    </w:p>
    <w:p>
      <w:pPr>
        <w:ind w:firstLine="656"/>
        <w:spacing w:after="0" w:line="282" w:lineRule="auto"/>
        <w:tabs>
          <w:tab w:leader="none" w:pos="1418" w:val="left"/>
        </w:tabs>
        <w:numPr>
          <w:ilvl w:val="0"/>
          <w:numId w:val="1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Trustee may act through its attorneys and agents and will not be responsible for the misconduct or negligence of any such agent appointed with due care.</w:t>
      </w:r>
    </w:p>
    <w:p>
      <w:pPr>
        <w:spacing w:after="0" w:line="161" w:lineRule="exact"/>
        <w:rPr>
          <w:rFonts w:ascii="Times New Roman" w:cs="Times New Roman" w:eastAsia="Times New Roman" w:hAnsi="Times New Roman"/>
          <w:sz w:val="18"/>
          <w:szCs w:val="18"/>
          <w:color w:val="010000"/>
        </w:rPr>
      </w:pPr>
    </w:p>
    <w:p>
      <w:pPr>
        <w:ind w:firstLine="656"/>
        <w:spacing w:after="0" w:line="282" w:lineRule="auto"/>
        <w:tabs>
          <w:tab w:leader="none" w:pos="1279" w:val="left"/>
        </w:tabs>
        <w:numPr>
          <w:ilvl w:val="0"/>
          <w:numId w:val="1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Trustee will not be liable for any action it takes or omits to take in good faith and that it believes to be authorized or within the rights or powers vested in it by this Indenture.</w:t>
      </w:r>
    </w:p>
    <w:p>
      <w:pPr>
        <w:spacing w:after="0" w:line="161" w:lineRule="exact"/>
        <w:rPr>
          <w:rFonts w:ascii="Times New Roman" w:cs="Times New Roman" w:eastAsia="Times New Roman" w:hAnsi="Times New Roman"/>
          <w:sz w:val="18"/>
          <w:szCs w:val="18"/>
          <w:color w:val="010000"/>
        </w:rPr>
      </w:pPr>
    </w:p>
    <w:p>
      <w:pPr>
        <w:ind w:firstLine="656"/>
        <w:spacing w:after="0" w:line="282" w:lineRule="auto"/>
        <w:tabs>
          <w:tab w:leader="none" w:pos="1322" w:val="left"/>
        </w:tabs>
        <w:numPr>
          <w:ilvl w:val="0"/>
          <w:numId w:val="1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Unless otherwise specifically provided in this Indenture, any demand, request, direction or notice from the Company will be sufficient if signed by an Officer of the Company.</w:t>
      </w:r>
    </w:p>
    <w:p>
      <w:pPr>
        <w:spacing w:after="0" w:line="161" w:lineRule="exact"/>
        <w:rPr>
          <w:rFonts w:ascii="Times New Roman" w:cs="Times New Roman" w:eastAsia="Times New Roman" w:hAnsi="Times New Roman"/>
          <w:sz w:val="18"/>
          <w:szCs w:val="18"/>
          <w:color w:val="010000"/>
        </w:rPr>
      </w:pPr>
    </w:p>
    <w:p>
      <w:pPr>
        <w:jc w:val="both"/>
        <w:ind w:firstLine="656"/>
        <w:spacing w:after="0" w:line="266" w:lineRule="auto"/>
        <w:tabs>
          <w:tab w:leader="none" w:pos="1375" w:val="left"/>
        </w:tabs>
        <w:numPr>
          <w:ilvl w:val="0"/>
          <w:numId w:val="1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Trustee need not exercise any rights or powers vested in it by this Indenture at the request or direction of any Holder unless such Holder has offered (and, if requested, provided) the Trustee security or indemnity satisfactory to the Trustee against any loss, liability or expense that it may incur in complying with such request or direction.</w:t>
      </w:r>
    </w:p>
    <w:p>
      <w:pPr>
        <w:spacing w:after="0" w:line="175" w:lineRule="exact"/>
        <w:rPr>
          <w:rFonts w:ascii="Times New Roman" w:cs="Times New Roman" w:eastAsia="Times New Roman" w:hAnsi="Times New Roman"/>
          <w:sz w:val="18"/>
          <w:szCs w:val="18"/>
          <w:color w:val="010000"/>
        </w:rPr>
      </w:pPr>
    </w:p>
    <w:p>
      <w:pPr>
        <w:ind w:firstLine="656"/>
        <w:spacing w:after="0" w:line="282" w:lineRule="auto"/>
        <w:tabs>
          <w:tab w:leader="none" w:pos="1346" w:val="left"/>
        </w:tabs>
        <w:numPr>
          <w:ilvl w:val="0"/>
          <w:numId w:val="1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Trustee will not be responsible or liable for any punitive, special, indirect or consequential loss or damage (including lost profits), even if the Trustee has been advised of the likelihood of such loss or damage and regardless of the form of action.</w:t>
      </w:r>
    </w:p>
    <w:p>
      <w:pPr>
        <w:spacing w:after="0" w:line="161" w:lineRule="exact"/>
        <w:rPr>
          <w:rFonts w:ascii="Times New Roman" w:cs="Times New Roman" w:eastAsia="Times New Roman" w:hAnsi="Times New Roman"/>
          <w:sz w:val="18"/>
          <w:szCs w:val="18"/>
          <w:color w:val="010000"/>
        </w:rPr>
      </w:pPr>
    </w:p>
    <w:p>
      <w:pPr>
        <w:ind w:left="1320" w:hanging="664"/>
        <w:spacing w:after="0"/>
        <w:tabs>
          <w:tab w:leader="none" w:pos="1320" w:val="left"/>
        </w:tabs>
        <w:numPr>
          <w:ilvl w:val="0"/>
          <w:numId w:val="1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permissive rights of the Trustee set forth in this Indenture will not be construed as duties imposed on the Trustee.</w:t>
      </w:r>
    </w:p>
    <w:p>
      <w:pPr>
        <w:spacing w:after="0" w:line="225" w:lineRule="exact"/>
        <w:rPr>
          <w:rFonts w:ascii="Times New Roman" w:cs="Times New Roman" w:eastAsia="Times New Roman" w:hAnsi="Times New Roman"/>
          <w:sz w:val="18"/>
          <w:szCs w:val="18"/>
          <w:color w:val="010000"/>
        </w:rPr>
      </w:pPr>
    </w:p>
    <w:p>
      <w:pPr>
        <w:ind w:left="1240" w:hanging="584"/>
        <w:spacing w:after="0"/>
        <w:tabs>
          <w:tab w:leader="none" w:pos="1240" w:val="left"/>
        </w:tabs>
        <w:numPr>
          <w:ilvl w:val="0"/>
          <w:numId w:val="1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Trustee will not be required to give any bond or surety in respect of the execution or performance of this Indenture or otherwise.</w:t>
      </w:r>
    </w:p>
    <w:p>
      <w:pPr>
        <w:spacing w:after="0" w:line="225" w:lineRule="exact"/>
        <w:rPr>
          <w:rFonts w:ascii="Times New Roman" w:cs="Times New Roman" w:eastAsia="Times New Roman" w:hAnsi="Times New Roman"/>
          <w:sz w:val="18"/>
          <w:szCs w:val="18"/>
          <w:color w:val="010000"/>
        </w:rPr>
      </w:pPr>
    </w:p>
    <w:p>
      <w:pPr>
        <w:ind w:firstLine="656"/>
        <w:spacing w:after="0" w:line="282" w:lineRule="auto"/>
        <w:tabs>
          <w:tab w:leader="none" w:pos="1305" w:val="left"/>
        </w:tabs>
        <w:numPr>
          <w:ilvl w:val="0"/>
          <w:numId w:val="1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Unless a Responsible Officer of the Trustee has received notice from the Company that Additional Interest or Special Interest is owing or accruing, on the Notes, the Trustee may assume that no Additional Interest or Special Interest, as applicable, is payable or accruing.</w:t>
      </w:r>
    </w:p>
    <w:p>
      <w:pPr>
        <w:spacing w:after="0" w:line="161" w:lineRule="exact"/>
        <w:rPr>
          <w:rFonts w:ascii="Times New Roman" w:cs="Times New Roman" w:eastAsia="Times New Roman" w:hAnsi="Times New Roman"/>
          <w:sz w:val="18"/>
          <w:szCs w:val="18"/>
          <w:color w:val="010000"/>
        </w:rPr>
      </w:pPr>
    </w:p>
    <w:p>
      <w:pPr>
        <w:ind w:firstLine="656"/>
        <w:spacing w:after="0" w:line="282" w:lineRule="auto"/>
        <w:tabs>
          <w:tab w:leader="none" w:pos="1234" w:val="left"/>
        </w:tabs>
        <w:numPr>
          <w:ilvl w:val="0"/>
          <w:numId w:val="1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rights, privileges, protections, immunities and benefits given to the Trustee, including its right to be indemnified, are extended to, and will be enforceable by, the Trustee in each of its capacities under this Indenture, including as Note Agent.</w:t>
      </w:r>
    </w:p>
    <w:p>
      <w:pPr>
        <w:spacing w:after="0" w:line="161" w:lineRule="exact"/>
        <w:rPr>
          <w:rFonts w:ascii="Times New Roman" w:cs="Times New Roman" w:eastAsia="Times New Roman" w:hAnsi="Times New Roman"/>
          <w:sz w:val="18"/>
          <w:szCs w:val="18"/>
          <w:color w:val="010000"/>
        </w:rPr>
      </w:pPr>
    </w:p>
    <w:p>
      <w:pPr>
        <w:ind w:left="1340" w:hanging="684"/>
        <w:spacing w:after="0"/>
        <w:tabs>
          <w:tab w:leader="none" w:pos="1340" w:val="left"/>
        </w:tabs>
        <w:numPr>
          <w:ilvl w:val="0"/>
          <w:numId w:val="1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Trustee will not be charged with knowledge of any document or agreement other than this Indenture and the Notes.</w:t>
      </w:r>
    </w:p>
    <w:p>
      <w:pPr>
        <w:spacing w:after="0" w:line="225" w:lineRule="exact"/>
        <w:rPr>
          <w:rFonts w:ascii="Times New Roman" w:cs="Times New Roman" w:eastAsia="Times New Roman" w:hAnsi="Times New Roman"/>
          <w:sz w:val="18"/>
          <w:szCs w:val="18"/>
          <w:color w:val="010000"/>
        </w:rPr>
      </w:pPr>
    </w:p>
    <w:p>
      <w:pPr>
        <w:jc w:val="both"/>
        <w:ind w:firstLine="656"/>
        <w:spacing w:after="0" w:line="266" w:lineRule="auto"/>
        <w:tabs>
          <w:tab w:leader="none" w:pos="1310" w:val="left"/>
        </w:tabs>
        <w:numPr>
          <w:ilvl w:val="0"/>
          <w:numId w:val="1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Neither the Trustee nor any Note Agent will have any responsibility or liability to any person for any action taken or not taken by, or any records or any other aspect of the operations of, the Depositary (including the delivery of notices, or the making of payments, through the facilities of the Depositary) and may conclusively rely, without investigation, on any information provided by the Depositary.</w:t>
      </w:r>
    </w:p>
    <w:p>
      <w:pPr>
        <w:spacing w:after="0" w:line="175" w:lineRule="exact"/>
        <w:rPr>
          <w:rFonts w:ascii="Times New Roman" w:cs="Times New Roman" w:eastAsia="Times New Roman" w:hAnsi="Times New Roman"/>
          <w:sz w:val="18"/>
          <w:szCs w:val="18"/>
          <w:color w:val="010000"/>
        </w:rPr>
      </w:pPr>
    </w:p>
    <w:p>
      <w:pPr>
        <w:ind w:right="20" w:firstLine="656"/>
        <w:spacing w:after="0" w:line="282" w:lineRule="auto"/>
        <w:tabs>
          <w:tab w:leader="none" w:pos="1216" w:val="left"/>
        </w:tabs>
        <w:numPr>
          <w:ilvl w:val="0"/>
          <w:numId w:val="1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Trustee may request that the Company deliver a certificate setting forth the names of individuals or titles of officers authorized at such time to take specified actions pursuant to this Indenture.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10.03</w:t>
      </w:r>
      <w:r>
        <w:rPr>
          <w:sz w:val="20"/>
          <w:szCs w:val="20"/>
          <w:color w:val="auto"/>
        </w:rPr>
        <w:tab/>
      </w:r>
      <w:r>
        <w:rPr>
          <w:rFonts w:ascii="Times New Roman" w:cs="Times New Roman" w:eastAsia="Times New Roman" w:hAnsi="Times New Roman"/>
          <w:sz w:val="17"/>
          <w:szCs w:val="17"/>
          <w:b w:val="1"/>
          <w:bCs w:val="1"/>
          <w:color w:val="auto"/>
        </w:rPr>
        <w:t>INDIVIDUAL RIGHTS OF THE TRUSTEE.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Trustee, in its individual or any other capacity, may become the owner or pledgee of any Note and may otherwise deal with the Company or any of its Affiliates with the same rights that it would have if it were not Trustee;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Trustee acquires a “conflicting interest” (within the meaning of Section 310(b) of the Trust Indenture Act), then it must eliminate such conflict within ninety (90) days or resign as Trustee. Each Note Agent will have the same rights and duties as the Trustee under this </w:t>
      </w:r>
      <w:r>
        <w:rPr>
          <w:rFonts w:ascii="Times New Roman" w:cs="Times New Roman" w:eastAsia="Times New Roman" w:hAnsi="Times New Roman"/>
          <w:sz w:val="18"/>
          <w:szCs w:val="18"/>
          <w:b w:val="1"/>
          <w:bCs w:val="1"/>
          <w:color w:val="auto"/>
        </w:rPr>
        <w:t>Section 10.03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10.04</w:t>
      </w:r>
      <w:r>
        <w:rPr>
          <w:sz w:val="20"/>
          <w:szCs w:val="20"/>
          <w:color w:val="auto"/>
        </w:rPr>
        <w:tab/>
      </w:r>
      <w:r>
        <w:rPr>
          <w:rFonts w:ascii="Times New Roman" w:cs="Times New Roman" w:eastAsia="Times New Roman" w:hAnsi="Times New Roman"/>
          <w:sz w:val="17"/>
          <w:szCs w:val="17"/>
          <w:b w:val="1"/>
          <w:bCs w:val="1"/>
          <w:color w:val="auto"/>
        </w:rPr>
        <w:t>TRUSTEE’S DISCLAIMER.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Trustee will not be (A) responsible for, and makes no representation as to, the validity or adequacy of this Indenture or the Notes;</w:t>
      </w:r>
    </w:p>
    <w:p>
      <w:pPr>
        <w:spacing w:after="0" w:line="225" w:lineRule="exact"/>
        <w:rPr>
          <w:sz w:val="20"/>
          <w:szCs w:val="20"/>
          <w:color w:val="auto"/>
        </w:rPr>
      </w:pPr>
    </w:p>
    <w:p>
      <w:pPr>
        <w:ind w:firstLine="656"/>
        <w:spacing w:after="0" w:line="282" w:lineRule="auto"/>
        <w:tabs>
          <w:tab w:leader="none" w:pos="1342" w:val="left"/>
        </w:tabs>
        <w:numPr>
          <w:ilvl w:val="0"/>
          <w:numId w:val="1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accountable for the Company’s use of the proceeds from the Notes or any money paid to the Company or upon the Company’s direction under any provision of this Indenture; (C) responsible for the use or application of any money received by any Paying Agent other than the Trustee; and</w:t>
      </w:r>
    </w:p>
    <w:p>
      <w:pPr>
        <w:spacing w:after="0" w:line="161" w:lineRule="exact"/>
        <w:rPr>
          <w:rFonts w:ascii="Times New Roman" w:cs="Times New Roman" w:eastAsia="Times New Roman" w:hAnsi="Times New Roman"/>
          <w:sz w:val="18"/>
          <w:szCs w:val="18"/>
          <w:color w:val="010000"/>
        </w:rPr>
      </w:pPr>
    </w:p>
    <w:p>
      <w:pPr>
        <w:ind w:firstLine="656"/>
        <w:spacing w:after="0" w:line="282" w:lineRule="auto"/>
        <w:tabs>
          <w:tab w:leader="none" w:pos="1483" w:val="left"/>
        </w:tabs>
        <w:numPr>
          <w:ilvl w:val="0"/>
          <w:numId w:val="1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responsible for any statement or recital in this Indenture, the Notes or any other document relating to the sale of the Notes or this Indenture, other than the Trustee’s certificate of authentication.</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10.05</w:t>
      </w:r>
      <w:r>
        <w:rPr>
          <w:sz w:val="20"/>
          <w:szCs w:val="20"/>
          <w:color w:val="auto"/>
        </w:rPr>
        <w:tab/>
      </w:r>
      <w:r>
        <w:rPr>
          <w:rFonts w:ascii="Times New Roman" w:cs="Times New Roman" w:eastAsia="Times New Roman" w:hAnsi="Times New Roman"/>
          <w:sz w:val="17"/>
          <w:szCs w:val="17"/>
          <w:b w:val="1"/>
          <w:bCs w:val="1"/>
          <w:color w:val="auto"/>
        </w:rPr>
        <w:t>NOTICE OF DEFAULTS.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If a Default or Event of Default occurs and is continuing and is actually known to a Responsible Officer of the Trustee, then the Trustee will send Holders a notice of such Default or Event of Default within ninety (90) days after it occurs or, if it is not actually known to a Responsible Officer of the Trustee at such time, promptly (and in any event within ten (10) Business Days) after it becomes actually known to a Responsible Officer of the Trustee;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except in the case of a Default or Event of Default in the payment of the principal of, or interest, if any, on, any Note, the Trustee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withhold such notice if and for so long as it in good faith determines that withholding such notice is in the interests of the Holders. The Trustee will not be deemed to have notice or be charged with knowledge of any Default or Event of Default unless written notice thereof has been received by a Responsible Officer, and such notice references the Notes and this Indenture and states on its face that a Default or Event of Default has occurred.</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10.06</w:t>
      </w:r>
      <w:r>
        <w:rPr>
          <w:sz w:val="20"/>
          <w:szCs w:val="20"/>
          <w:color w:val="auto"/>
        </w:rPr>
        <w:tab/>
      </w:r>
      <w:r>
        <w:rPr>
          <w:rFonts w:ascii="Times New Roman" w:cs="Times New Roman" w:eastAsia="Times New Roman" w:hAnsi="Times New Roman"/>
          <w:sz w:val="17"/>
          <w:szCs w:val="17"/>
          <w:b w:val="1"/>
          <w:bCs w:val="1"/>
          <w:color w:val="auto"/>
        </w:rPr>
        <w:t>COMPENSATION AND INDEMNITY.</w:t>
      </w:r>
    </w:p>
    <w:p>
      <w:pPr>
        <w:spacing w:after="0" w:line="229" w:lineRule="exact"/>
        <w:rPr>
          <w:sz w:val="20"/>
          <w:szCs w:val="20"/>
          <w:color w:val="auto"/>
        </w:rPr>
      </w:pPr>
    </w:p>
    <w:p>
      <w:pPr>
        <w:jc w:val="both"/>
        <w:ind w:firstLine="656"/>
        <w:spacing w:after="0" w:line="261" w:lineRule="auto"/>
        <w:tabs>
          <w:tab w:leader="none" w:pos="1219" w:val="left"/>
        </w:tabs>
        <w:numPr>
          <w:ilvl w:val="0"/>
          <w:numId w:val="1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will, from time to time, pay the Trustee reasonable compensation for its acceptance of this Indenture and services under this Indenture. The Trustee’s compensation will not be limited by any law on compensation of a trustee of an express trust. In addition to the compensation for the Trustee’s services, the Company will reimburse the Trustee promptly upon request for all reasonable disbursements, advances and expenses incurred or made by it under this Indenture, including the reasonable compensation, disbursements and expenses of the Trustee’s agents and counsel.</w:t>
      </w:r>
    </w:p>
    <w:p>
      <w:pPr>
        <w:spacing w:after="0" w:line="179" w:lineRule="exact"/>
        <w:rPr>
          <w:rFonts w:ascii="Times New Roman" w:cs="Times New Roman" w:eastAsia="Times New Roman" w:hAnsi="Times New Roman"/>
          <w:sz w:val="18"/>
          <w:szCs w:val="18"/>
          <w:color w:val="010000"/>
        </w:rPr>
      </w:pPr>
    </w:p>
    <w:p>
      <w:pPr>
        <w:jc w:val="both"/>
        <w:ind w:firstLine="656"/>
        <w:spacing w:after="0" w:line="253" w:lineRule="auto"/>
        <w:tabs>
          <w:tab w:leader="none" w:pos="1316" w:val="left"/>
        </w:tabs>
        <w:numPr>
          <w:ilvl w:val="0"/>
          <w:numId w:val="1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Company will indemnify the Trustee against any and all losses, liabilities or expenses incurred by it arising out of or in connection with the acceptance or administration of its duties under this Indenture, including the costs and expenses of enforcing this Indenture against the Company (including this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 xml:space="preserve">) and defending itself against any claim (whether asserted by the Company, any Holder or any other Person) or liability in connection with the exercise or performance of any of its powers or duties under this Indenture, except to the extent any such loss, liability or expense is attributable (as determined by a final decision of a court of competent jurisdiction) to its negligence, bad faith or willful misconduct. The Trustee will promptly notify the Company of any claim for which it may seek indemnity, but the Trustee’s failure to so notify the Company will not relieve the Company of its obligations under this </w:t>
      </w:r>
      <w:r>
        <w:rPr>
          <w:rFonts w:ascii="Times New Roman" w:cs="Times New Roman" w:eastAsia="Times New Roman" w:hAnsi="Times New Roman"/>
          <w:sz w:val="18"/>
          <w:szCs w:val="18"/>
          <w:b w:val="1"/>
          <w:bCs w:val="1"/>
          <w:color w:val="auto"/>
        </w:rPr>
        <w:t>Section 10.06(B)</w:t>
      </w:r>
      <w:r>
        <w:rPr>
          <w:rFonts w:ascii="Times New Roman" w:cs="Times New Roman" w:eastAsia="Times New Roman" w:hAnsi="Times New Roman"/>
          <w:sz w:val="18"/>
          <w:szCs w:val="18"/>
          <w:color w:val="auto"/>
        </w:rPr>
        <w:t>, except to the extent the Company is materially prejudiced by such failure. The Company will defend such claim, and the Trustee will cooperate in such defense. If the Trustee is advised by counsel that it may have defenses available to it that are in conflict with the defenses available to the Company, or that there is an actual or potential conflict of interest, then the Trustee may retain separate counsel, and the Company will pay the reasonable fees and expenses of such counsel (including the reasonable fees and expenses of counsel to the Trustee incurred in evaluating whether such a conflict exists). The Company need not pay for any settlement of any such claim made without its consent, which consent will not be unreasonably withheld.</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ind w:left="1300" w:hanging="644"/>
        <w:spacing w:after="0"/>
        <w:tabs>
          <w:tab w:leader="none" w:pos="1300" w:val="left"/>
        </w:tabs>
        <w:numPr>
          <w:ilvl w:val="0"/>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obligations of the Company under this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 xml:space="preserve"> will survive the resignation or removal of the Trustee and the discharge of this</w:t>
      </w:r>
    </w:p>
    <w:p>
      <w:pPr>
        <w:spacing w:after="0" w:line="31"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Indenture.</w:t>
      </w:r>
    </w:p>
    <w:p>
      <w:pPr>
        <w:spacing w:after="0" w:line="202" w:lineRule="exact"/>
        <w:rPr>
          <w:rFonts w:ascii="Times New Roman" w:cs="Times New Roman" w:eastAsia="Times New Roman" w:hAnsi="Times New Roman"/>
          <w:sz w:val="18"/>
          <w:szCs w:val="18"/>
          <w:color w:val="010000"/>
        </w:rPr>
      </w:pPr>
    </w:p>
    <w:p>
      <w:pPr>
        <w:jc w:val="both"/>
        <w:ind w:firstLine="656"/>
        <w:spacing w:after="0" w:line="268" w:lineRule="auto"/>
        <w:tabs>
          <w:tab w:leader="none" w:pos="1446" w:val="left"/>
        </w:tabs>
        <w:numPr>
          <w:ilvl w:val="0"/>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To secure the Company’s payment obligations in this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 the Trustee will have a lien prior to the Notes on all money or property held or collected by the Trustee, except that held in trust to pay principal of, or interest, if any, on, particular Notes, which lien will survive the discharge of this Indenture.</w:t>
      </w:r>
    </w:p>
    <w:p>
      <w:pPr>
        <w:spacing w:after="0" w:line="170" w:lineRule="exact"/>
        <w:rPr>
          <w:rFonts w:ascii="Times New Roman" w:cs="Times New Roman" w:eastAsia="Times New Roman" w:hAnsi="Times New Roman"/>
          <w:sz w:val="18"/>
          <w:szCs w:val="18"/>
          <w:color w:val="010000"/>
        </w:rPr>
      </w:pPr>
    </w:p>
    <w:p>
      <w:pPr>
        <w:jc w:val="both"/>
        <w:ind w:firstLine="656"/>
        <w:spacing w:after="0" w:line="268" w:lineRule="auto"/>
        <w:tabs>
          <w:tab w:leader="none" w:pos="1242" w:val="left"/>
        </w:tabs>
        <w:numPr>
          <w:ilvl w:val="0"/>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the Trustee incurs expenses or renders services after an Event of Default pursuant to </w:t>
      </w:r>
      <w:r>
        <w:rPr>
          <w:rFonts w:ascii="Times New Roman" w:cs="Times New Roman" w:eastAsia="Times New Roman" w:hAnsi="Times New Roman"/>
          <w:sz w:val="18"/>
          <w:szCs w:val="18"/>
          <w:b w:val="1"/>
          <w:bCs w:val="1"/>
          <w:color w:val="auto"/>
        </w:rPr>
        <w:t>clause (viii)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(ix)</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color w:val="auto"/>
        </w:rPr>
        <w:t xml:space="preserve"> occurs, then such expenses and the compensation for such services (including the fees and expenses of its agents and counsel) are intended to constitute expenses of administration under any Bankruptcy Law.</w:t>
      </w:r>
    </w:p>
    <w:p>
      <w:pPr>
        <w:spacing w:after="0" w:line="17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10.07</w:t>
      </w:r>
      <w:r>
        <w:rPr>
          <w:rFonts w:ascii="Times New Roman" w:cs="Times New Roman" w:eastAsia="Times New Roman" w:hAnsi="Times New Roman"/>
          <w:sz w:val="18"/>
          <w:szCs w:val="18"/>
          <w:b w:val="1"/>
          <w:bCs w:val="1"/>
          <w:color w:val="auto"/>
        </w:rPr>
        <w:tab/>
        <w:t>REPLACEMENT OF THE TRUSTEE.</w:t>
      </w:r>
    </w:p>
    <w:p>
      <w:pPr>
        <w:spacing w:after="0" w:line="225" w:lineRule="exact"/>
        <w:rPr>
          <w:sz w:val="20"/>
          <w:szCs w:val="20"/>
          <w:color w:val="auto"/>
        </w:rPr>
      </w:pPr>
    </w:p>
    <w:p>
      <w:pPr>
        <w:ind w:firstLine="656"/>
        <w:spacing w:after="0" w:line="286" w:lineRule="auto"/>
        <w:tabs>
          <w:tab w:leader="none" w:pos="1452" w:val="left"/>
        </w:tabs>
        <w:numPr>
          <w:ilvl w:val="0"/>
          <w:numId w:val="1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Section 10.07</w:t>
      </w:r>
      <w:r>
        <w:rPr>
          <w:rFonts w:ascii="Times New Roman" w:cs="Times New Roman" w:eastAsia="Times New Roman" w:hAnsi="Times New Roman"/>
          <w:sz w:val="18"/>
          <w:szCs w:val="18"/>
          <w:color w:val="auto"/>
        </w:rPr>
        <w:t xml:space="preserve">, a resignation or removal of the Trustee, and the appointment of a successor Trustee, will become effective only upon such successor Trustee’s acceptance of appointment as provided in this </w:t>
      </w:r>
      <w:r>
        <w:rPr>
          <w:rFonts w:ascii="Times New Roman" w:cs="Times New Roman" w:eastAsia="Times New Roman" w:hAnsi="Times New Roman"/>
          <w:sz w:val="18"/>
          <w:szCs w:val="18"/>
          <w:b w:val="1"/>
          <w:bCs w:val="1"/>
          <w:color w:val="auto"/>
        </w:rPr>
        <w:t>Section 10.07</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010000"/>
        </w:rPr>
      </w:pPr>
    </w:p>
    <w:p>
      <w:pPr>
        <w:jc w:val="both"/>
        <w:ind w:firstLine="656"/>
        <w:spacing w:after="0" w:line="266" w:lineRule="auto"/>
        <w:tabs>
          <w:tab w:leader="none" w:pos="1279" w:val="left"/>
        </w:tabs>
        <w:numPr>
          <w:ilvl w:val="0"/>
          <w:numId w:val="1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Trustee may resign at any time and be discharged from the trust created by this Indenture by so notifying the Company. The Holders of a majority in aggregate principal amount of the Notes then outstanding may remove the Trustee by so notifying the Trustee and the Company in writing. The Company may remove the Trustee if:</w:t>
      </w:r>
    </w:p>
    <w:p>
      <w:pPr>
        <w:spacing w:after="0" w:line="171"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fails to comply with </w:t>
      </w:r>
      <w:r>
        <w:rPr>
          <w:rFonts w:ascii="Times New Roman" w:cs="Times New Roman" w:eastAsia="Times New Roman" w:hAnsi="Times New Roman"/>
          <w:sz w:val="18"/>
          <w:szCs w:val="18"/>
          <w:b w:val="1"/>
          <w:bCs w:val="1"/>
          <w:color w:val="auto"/>
        </w:rPr>
        <w:t>Section 10.09</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to be bankrupt or insolvent or an order for relief is entered with respect to the Trustee under any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Law;</w:t>
      </w:r>
    </w:p>
    <w:p>
      <w:pPr>
        <w:spacing w:after="0" w:line="206"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7" w:val="left"/>
        </w:tabs>
        <w:numPr>
          <w:ilvl w:val="0"/>
          <w:numId w:val="1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Trustee resigns or is removed, or if a vacancy exists in the office of the Trustee for any reason, then (i) the Company will promptly appoint a successor Trustee; and (ii) at any time within one (1) year after the successor Trustee takes office, the Holders of a majority in aggregate principal amount of the Notes then outstanding may appoint a successor Trustee to replace such successor Trustee appointed by the Company.</w:t>
      </w:r>
    </w:p>
    <w:p>
      <w:pPr>
        <w:spacing w:after="0" w:line="175" w:lineRule="exact"/>
        <w:rPr>
          <w:rFonts w:ascii="Times New Roman" w:cs="Times New Roman" w:eastAsia="Times New Roman" w:hAnsi="Times New Roman"/>
          <w:sz w:val="18"/>
          <w:szCs w:val="18"/>
          <w:color w:val="010000"/>
        </w:rPr>
      </w:pPr>
    </w:p>
    <w:p>
      <w:pPr>
        <w:jc w:val="both"/>
        <w:ind w:firstLine="656"/>
        <w:spacing w:after="0" w:line="266" w:lineRule="auto"/>
        <w:tabs>
          <w:tab w:leader="none" w:pos="1244" w:val="left"/>
        </w:tabs>
        <w:numPr>
          <w:ilvl w:val="0"/>
          <w:numId w:val="1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 successor Trustee does not take office within sixty (60) days after the retiring Trustee resigns or is removed, then the retiring Trustee, the Company or the Holders of at least ten percent (10%) in aggregate principal amount of the Notes then outstanding may petition any court of competent jurisdiction for the appointment of a successor Trustee.</w:t>
      </w:r>
    </w:p>
    <w:p>
      <w:pPr>
        <w:spacing w:after="0" w:line="171" w:lineRule="exact"/>
        <w:rPr>
          <w:rFonts w:ascii="Times New Roman" w:cs="Times New Roman" w:eastAsia="Times New Roman" w:hAnsi="Times New Roman"/>
          <w:sz w:val="18"/>
          <w:szCs w:val="18"/>
          <w:color w:val="010000"/>
        </w:rPr>
      </w:pPr>
    </w:p>
    <w:p>
      <w:pPr>
        <w:ind w:firstLine="656"/>
        <w:spacing w:after="0" w:line="286" w:lineRule="auto"/>
        <w:tabs>
          <w:tab w:leader="none" w:pos="1362" w:val="left"/>
        </w:tabs>
        <w:numPr>
          <w:ilvl w:val="0"/>
          <w:numId w:val="1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the Trustee, after written request by a Holder of at least six (6) months, fails to comply with </w:t>
      </w:r>
      <w:r>
        <w:rPr>
          <w:rFonts w:ascii="Times New Roman" w:cs="Times New Roman" w:eastAsia="Times New Roman" w:hAnsi="Times New Roman"/>
          <w:sz w:val="18"/>
          <w:szCs w:val="18"/>
          <w:b w:val="1"/>
          <w:bCs w:val="1"/>
          <w:color w:val="auto"/>
        </w:rPr>
        <w:t>Section 10.09</w:t>
      </w:r>
      <w:r>
        <w:rPr>
          <w:rFonts w:ascii="Times New Roman" w:cs="Times New Roman" w:eastAsia="Times New Roman" w:hAnsi="Times New Roman"/>
          <w:sz w:val="18"/>
          <w:szCs w:val="18"/>
          <w:color w:val="auto"/>
        </w:rPr>
        <w:t>, then such Holder may petition any court of competent jurisdiction for the removal of the Trustee and the appointment of a successor Trustee.</w:t>
      </w:r>
    </w:p>
    <w:p>
      <w:pPr>
        <w:spacing w:after="0" w:line="158" w:lineRule="exact"/>
        <w:rPr>
          <w:rFonts w:ascii="Times New Roman" w:cs="Times New Roman" w:eastAsia="Times New Roman" w:hAnsi="Times New Roman"/>
          <w:sz w:val="18"/>
          <w:szCs w:val="18"/>
          <w:color w:val="010000"/>
        </w:rPr>
      </w:pPr>
    </w:p>
    <w:p>
      <w:pPr>
        <w:jc w:val="both"/>
        <w:ind w:firstLine="656"/>
        <w:spacing w:after="0" w:line="258" w:lineRule="auto"/>
        <w:tabs>
          <w:tab w:leader="none" w:pos="1205" w:val="left"/>
        </w:tabs>
        <w:numPr>
          <w:ilvl w:val="0"/>
          <w:numId w:val="1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successor Trustee will deliver a written acceptance of its appointment to the retiring Trustee and to the Company, upon which notice the resignation or removal of the retiring Trustee will become effective and the successor Trustee will have all the rights, powers and duties of the Trustee under this Indenture. The successor Trustee will send notice of its succession to Holders. The retiring Trustee will, upon payment of all amounts due to it under this Indenture, promptly transfer all property held by it as Trustee to the successor Trustee, which property will, for the avoidance of doubt, be subject to the lien provided for in </w:t>
      </w:r>
      <w:r>
        <w:rPr>
          <w:rFonts w:ascii="Times New Roman" w:cs="Times New Roman" w:eastAsia="Times New Roman" w:hAnsi="Times New Roman"/>
          <w:sz w:val="18"/>
          <w:szCs w:val="18"/>
          <w:b w:val="1"/>
          <w:bCs w:val="1"/>
          <w:color w:val="auto"/>
        </w:rPr>
        <w:t>Section 10.06(D)</w:t>
      </w:r>
      <w:r>
        <w:rPr>
          <w:rFonts w:ascii="Times New Roman" w:cs="Times New Roman" w:eastAsia="Times New Roman" w:hAnsi="Times New Roman"/>
          <w:sz w:val="18"/>
          <w:szCs w:val="18"/>
          <w:color w:val="auto"/>
        </w:rPr>
        <w: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10.08</w:t>
      </w:r>
      <w:r>
        <w:rPr>
          <w:sz w:val="20"/>
          <w:szCs w:val="20"/>
          <w:color w:val="auto"/>
        </w:rPr>
        <w:tab/>
      </w:r>
      <w:r>
        <w:rPr>
          <w:rFonts w:ascii="Times New Roman" w:cs="Times New Roman" w:eastAsia="Times New Roman" w:hAnsi="Times New Roman"/>
          <w:sz w:val="17"/>
          <w:szCs w:val="17"/>
          <w:b w:val="1"/>
          <w:bCs w:val="1"/>
          <w:color w:val="auto"/>
        </w:rPr>
        <w:t>SUCCESSOR TRUSTEE BY MERGER, ETC.</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Trustee consolidates, merges or converts into, or transfers all or substantially all of its corporate trust business to, another entity, then such entity will become the successor Trustee without any further act.</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10.09</w:t>
      </w:r>
      <w:r>
        <w:rPr>
          <w:sz w:val="20"/>
          <w:szCs w:val="20"/>
          <w:color w:val="auto"/>
        </w:rPr>
        <w:tab/>
      </w:r>
      <w:r>
        <w:rPr>
          <w:rFonts w:ascii="Times New Roman" w:cs="Times New Roman" w:eastAsia="Times New Roman" w:hAnsi="Times New Roman"/>
          <w:sz w:val="17"/>
          <w:szCs w:val="17"/>
          <w:b w:val="1"/>
          <w:bCs w:val="1"/>
          <w:color w:val="auto"/>
        </w:rPr>
        <w:t>ELIGIBILITY; DISQUALIFICATION.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will at all times be a Trustee under this Indenture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11.01</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notice or communication by the Company or the Trustee to the other will be deemed to have been duly given if in writing and delivered in person or by first class mail (registered or certified, return receipt requested), facsimile transmission, electronic transmission or other similar means of unsecured electronic communication or overnight air courier guaranteeing next day delivery, or to the other’s address, which initially is as follows: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1900 South Norfolk Street,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Suite 310, San Mateo,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California 94403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1999 Avenue of the Stars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17th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Natalie Karam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California Street, Suite 1000,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David A. Jason, Vice President (Life360, Inc. Administrator)</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in the preceding paragraph, notices to the Trustee or any Note Agent must be in writing and will be deemed to have been given upon actual receipt by the Trustee or such Note Agent, as applicable.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or the Trustee, by notice to the other, may designate additional or different addresses (including facsimile numbers and electronic addresses) for subsequent notices or communications.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Trustee will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will be deemed original signatures for all purposes. Any person that uses electronic signatures or electronic methods to send communications to the Trustee assumes all risks arising out of such use, including the risk of the Trustee acting on an unauthorized communication and the risk of interception or misuse by third parties. Notwithstanding anything to the contrary in this paragraph, the Trustee may, in any instance and in its sole discretion, require that an original document bearing a manual signature be delivered to the Trustee in lieu of, or in addition to, any such electronic communication.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notices and communications (other than those sent to Holders) will be deemed to have been duly given: (A) at the time delivered by hand, if personally delivered; (B) five (5) Business Days after being deposited in the mail, postage prepaid, if mailed; (C) when receipt is acknowledged, if transmitted by facsimile, electronic transmission or other similar means of unsecured electronic communication; and (D) the next Business Day after timely delivery to the courier, if sent by overnight air courier guaranteeing next day delivery.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All notices or communications required to be made to a Holder pursuant to this Indenture must be made in writing and will be deemed to be duly sent or given in writing if mailed by first class mail, certified or registered, return receipt requested, or by overnight air courier guaranteeing next day delivery, to its address shown on the Register;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notice or communication to a Holder of a Global Note may, but need not, instead be sent pursuant to the Depositary Procedures (in which case, such notice will be deemed to be duly sent or given in writing). The failure to send a notice or communication to a Holder, or any defect in such notice or communication, will not affect its sufficiency with respect to any other Holder.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the Trustee is then acting as the Depositary’s custodian for the Notes, then, at the reasonable request of the Company to the Trustee, the Trustee will cause any notice prepared by the Company to be sent to any Holder(s) pursuant to the Depositary Procedures,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request is evidenced in a Company Order delivered, together with the text of such notice, to the Trustee at least two (2) Business Days before the date such notice is to be so sent. For the avoidance of doubt, such Company Order need not be accompanied by an Officer’s Certificate or Opinion of Counsel. The Trustee will not have any liability relating to the contents of any notice that it sends to any Holder pursuant to any such Company Order.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notice or communication is mailed or sent in the manner provided above within the time prescribed, it will be deemed to have been duly given, whether or not the addressee receives it.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in this Indenture or the Notes, (A) whenever any provision of this Indenture requires a party to send notice to another party, no such notice need be sent if the sending party and the recipient are the same Person acting in different capacities (and, for purposes of the interpretation of this Indenture, such notice will be deemed to have been duly sent at the time otherwise required by this Indenture); and (B) whenever any provision of this Indenture requires a party to send notice to more than one receiving party, and each receiving party is the same Person acting in different capacities, then only one such notice need be sent to such Person.</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11.02</w:t>
      </w:r>
      <w:r>
        <w:rPr>
          <w:sz w:val="20"/>
          <w:szCs w:val="20"/>
          <w:color w:val="auto"/>
        </w:rPr>
        <w:tab/>
      </w:r>
      <w:r>
        <w:rPr>
          <w:rFonts w:ascii="Times New Roman" w:cs="Times New Roman" w:eastAsia="Times New Roman" w:hAnsi="Times New Roman"/>
          <w:sz w:val="17"/>
          <w:szCs w:val="17"/>
          <w:b w:val="1"/>
          <w:bCs w:val="1"/>
          <w:color w:val="auto"/>
        </w:rPr>
        <w:t>DELIVERY OF OFFICER’S CERTIFICATE AND OPINION OF COUNSEL AS TO CONDITIONS PRECEDENT.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any request or application by the Company to the Trustee to take any action under this Indenture (other than the initial authentication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under this Indenture), the Company will furnish to the Trustee:</w:t>
      </w:r>
    </w:p>
    <w:p>
      <w:pPr>
        <w:spacing w:after="0" w:line="203" w:lineRule="exact"/>
        <w:rPr>
          <w:sz w:val="20"/>
          <w:szCs w:val="20"/>
          <w:color w:val="auto"/>
        </w:rPr>
      </w:pPr>
    </w:p>
    <w:p>
      <w:pPr>
        <w:ind w:firstLine="656"/>
        <w:spacing w:after="0" w:line="286" w:lineRule="auto"/>
        <w:tabs>
          <w:tab w:leader="none" w:pos="1235" w:val="left"/>
        </w:tabs>
        <w:numPr>
          <w:ilvl w:val="0"/>
          <w:numId w:val="1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 Officer’s Certificate that complies with </w:t>
      </w:r>
      <w:r>
        <w:rPr>
          <w:rFonts w:ascii="Times New Roman" w:cs="Times New Roman" w:eastAsia="Times New Roman" w:hAnsi="Times New Roman"/>
          <w:sz w:val="18"/>
          <w:szCs w:val="18"/>
          <w:b w:val="1"/>
          <w:bCs w:val="1"/>
          <w:color w:val="auto"/>
        </w:rPr>
        <w:t>Section 11.03</w:t>
      </w:r>
      <w:r>
        <w:rPr>
          <w:rFonts w:ascii="Times New Roman" w:cs="Times New Roman" w:eastAsia="Times New Roman" w:hAnsi="Times New Roman"/>
          <w:sz w:val="18"/>
          <w:szCs w:val="18"/>
          <w:color w:val="auto"/>
        </w:rPr>
        <w:t xml:space="preserve"> and states that, in the opinion of the signatory thereto, all conditions precedent and covenants, if any, provided for in this Indenture relating to such action have been satisfied; and</w:t>
      </w:r>
    </w:p>
    <w:p>
      <w:pPr>
        <w:spacing w:after="0" w:line="154" w:lineRule="exact"/>
        <w:rPr>
          <w:rFonts w:ascii="Times New Roman" w:cs="Times New Roman" w:eastAsia="Times New Roman" w:hAnsi="Times New Roman"/>
          <w:sz w:val="18"/>
          <w:szCs w:val="18"/>
          <w:color w:val="010000"/>
        </w:rPr>
      </w:pPr>
    </w:p>
    <w:p>
      <w:pPr>
        <w:ind w:firstLine="656"/>
        <w:spacing w:after="0" w:line="286" w:lineRule="auto"/>
        <w:tabs>
          <w:tab w:leader="none" w:pos="1276" w:val="left"/>
        </w:tabs>
        <w:numPr>
          <w:ilvl w:val="0"/>
          <w:numId w:val="1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 Opinion of Counsel that complies with </w:t>
      </w:r>
      <w:r>
        <w:rPr>
          <w:rFonts w:ascii="Times New Roman" w:cs="Times New Roman" w:eastAsia="Times New Roman" w:hAnsi="Times New Roman"/>
          <w:sz w:val="18"/>
          <w:szCs w:val="18"/>
          <w:b w:val="1"/>
          <w:bCs w:val="1"/>
          <w:color w:val="auto"/>
        </w:rPr>
        <w:t>Section 11.03</w:t>
      </w:r>
      <w:r>
        <w:rPr>
          <w:rFonts w:ascii="Times New Roman" w:cs="Times New Roman" w:eastAsia="Times New Roman" w:hAnsi="Times New Roman"/>
          <w:sz w:val="18"/>
          <w:szCs w:val="18"/>
          <w:color w:val="auto"/>
        </w:rPr>
        <w:t xml:space="preserve"> and states that, in the opinion of such counsel, all such conditions precedent and covenants, if any, have been satisfied.</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11.03</w:t>
      </w:r>
      <w:r>
        <w:rPr>
          <w:sz w:val="20"/>
          <w:szCs w:val="20"/>
          <w:color w:val="auto"/>
        </w:rPr>
        <w:tab/>
      </w:r>
      <w:r>
        <w:rPr>
          <w:rFonts w:ascii="Times New Roman" w:cs="Times New Roman" w:eastAsia="Times New Roman" w:hAnsi="Times New Roman"/>
          <w:sz w:val="17"/>
          <w:szCs w:val="17"/>
          <w:b w:val="1"/>
          <w:bCs w:val="1"/>
          <w:color w:val="auto"/>
        </w:rPr>
        <w:t>STATEMENTS REQUIRED IN OFFICER’S CERTIFICATE AND OPINION OF COUNSEL.</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Each Officer’s Certificate (other than an Officer’s Certificate pursuant to </w:t>
      </w:r>
      <w:r>
        <w:rPr>
          <w:rFonts w:ascii="Times New Roman" w:cs="Times New Roman" w:eastAsia="Times New Roman" w:hAnsi="Times New Roman"/>
          <w:sz w:val="18"/>
          <w:szCs w:val="18"/>
          <w:b w:val="1"/>
          <w:bCs w:val="1"/>
          <w:color w:val="auto"/>
        </w:rPr>
        <w:t>Section 3.05</w:t>
      </w:r>
      <w:r>
        <w:rPr>
          <w:rFonts w:ascii="Times New Roman" w:cs="Times New Roman" w:eastAsia="Times New Roman" w:hAnsi="Times New Roman"/>
          <w:sz w:val="18"/>
          <w:szCs w:val="18"/>
          <w:color w:val="auto"/>
        </w:rPr>
        <w:t>) or Opinion of Counsel with respect to compliance with a covenant or condition provided for in this Indenture will include:</w:t>
      </w:r>
    </w:p>
    <w:p>
      <w:pPr>
        <w:spacing w:after="0" w:line="159" w:lineRule="exact"/>
        <w:rPr>
          <w:sz w:val="20"/>
          <w:szCs w:val="20"/>
          <w:color w:val="auto"/>
        </w:rPr>
      </w:pPr>
    </w:p>
    <w:p>
      <w:pPr>
        <w:ind w:left="1320" w:hanging="664"/>
        <w:spacing w:after="0"/>
        <w:tabs>
          <w:tab w:leader="none" w:pos="1320" w:val="left"/>
        </w:tabs>
        <w:numPr>
          <w:ilvl w:val="0"/>
          <w:numId w:val="1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statement that the signatory thereto has read such covenant or condition;</w:t>
      </w:r>
    </w:p>
    <w:p>
      <w:pPr>
        <w:spacing w:after="0" w:line="225" w:lineRule="exact"/>
        <w:rPr>
          <w:rFonts w:ascii="Times New Roman" w:cs="Times New Roman" w:eastAsia="Times New Roman" w:hAnsi="Times New Roman"/>
          <w:sz w:val="18"/>
          <w:szCs w:val="18"/>
          <w:color w:val="010000"/>
        </w:rPr>
      </w:pPr>
    </w:p>
    <w:p>
      <w:pPr>
        <w:ind w:left="1340" w:hanging="684"/>
        <w:spacing w:after="0"/>
        <w:tabs>
          <w:tab w:leader="none" w:pos="1340" w:val="left"/>
        </w:tabs>
        <w:numPr>
          <w:ilvl w:val="0"/>
          <w:numId w:val="1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therein</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are based;</w:t>
      </w:r>
    </w:p>
    <w:p>
      <w:pPr>
        <w:spacing w:after="0" w:line="206" w:lineRule="exact"/>
        <w:rPr>
          <w:rFonts w:ascii="Times New Roman" w:cs="Times New Roman" w:eastAsia="Times New Roman" w:hAnsi="Times New Roman"/>
          <w:sz w:val="18"/>
          <w:szCs w:val="18"/>
          <w:color w:val="010000"/>
        </w:rPr>
      </w:pPr>
    </w:p>
    <w:p>
      <w:pPr>
        <w:ind w:right="20" w:firstLine="656"/>
        <w:spacing w:after="0" w:line="282" w:lineRule="auto"/>
        <w:tabs>
          <w:tab w:leader="none" w:pos="1329" w:val="left"/>
        </w:tabs>
        <w:numPr>
          <w:ilvl w:val="0"/>
          <w:numId w:val="1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statement that, in the opinion of such signatory, he, she or it has made such examination or investigation as is necessary to enable him, her or it to express an informed opinion as to whether or not such covenant or condition has been satisfied; and</w:t>
      </w:r>
    </w:p>
    <w:p>
      <w:pPr>
        <w:spacing w:after="0" w:line="161" w:lineRule="exact"/>
        <w:rPr>
          <w:rFonts w:ascii="Times New Roman" w:cs="Times New Roman" w:eastAsia="Times New Roman" w:hAnsi="Times New Roman"/>
          <w:sz w:val="18"/>
          <w:szCs w:val="18"/>
          <w:color w:val="010000"/>
        </w:rPr>
      </w:pPr>
    </w:p>
    <w:p>
      <w:pPr>
        <w:ind w:left="1320" w:hanging="664"/>
        <w:spacing w:after="0"/>
        <w:tabs>
          <w:tab w:leader="none" w:pos="1320" w:val="left"/>
        </w:tabs>
        <w:numPr>
          <w:ilvl w:val="0"/>
          <w:numId w:val="1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statement as to whether, in the opinion of such signatory, such covenant or condition has been satisfied.</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11.04</w:t>
      </w:r>
      <w:r>
        <w:rPr>
          <w:sz w:val="20"/>
          <w:szCs w:val="20"/>
          <w:color w:val="auto"/>
        </w:rPr>
        <w:tab/>
      </w:r>
      <w:r>
        <w:rPr>
          <w:rFonts w:ascii="Times New Roman" w:cs="Times New Roman" w:eastAsia="Times New Roman" w:hAnsi="Times New Roman"/>
          <w:sz w:val="17"/>
          <w:szCs w:val="17"/>
          <w:b w:val="1"/>
          <w:bCs w:val="1"/>
          <w:color w:val="auto"/>
        </w:rPr>
        <w:t>RULES BY THE TRUSTEE, THE REGISTRAR, THE PAYING AGENT AND THE CONVERSION AGENT.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at a meeting of Holders. Each of the Registrar, the Paying Agent and the Conversion Agent may make reasonable rules and set reasonable requirements for its functions.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11.05</w:t>
      </w:r>
      <w:r>
        <w:rPr>
          <w:sz w:val="20"/>
          <w:szCs w:val="20"/>
          <w:color w:val="auto"/>
        </w:rPr>
        <w:tab/>
      </w:r>
      <w:r>
        <w:rPr>
          <w:rFonts w:ascii="Times New Roman" w:cs="Times New Roman" w:eastAsia="Times New Roman" w:hAnsi="Times New Roman"/>
          <w:sz w:val="18"/>
          <w:szCs w:val="18"/>
          <w:b w:val="1"/>
          <w:bCs w:val="1"/>
          <w:color w:val="auto"/>
        </w:rPr>
        <w:t>NO PERSONAL LIABILITY OF DIRECTORS, OFFICERS, EMPLOYEES AND STOCKHOLDERS.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past, present or future director, officer, employee, incorporator or stockholder of the Company, as such, will have any liability for any obligations of the Company under this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11.06</w:t>
      </w:r>
      <w:r>
        <w:rPr>
          <w:sz w:val="20"/>
          <w:szCs w:val="20"/>
          <w:color w:val="auto"/>
        </w:rPr>
        <w:tab/>
      </w:r>
      <w:r>
        <w:rPr>
          <w:rFonts w:ascii="Times New Roman" w:cs="Times New Roman" w:eastAsia="Times New Roman" w:hAnsi="Times New Roman"/>
          <w:sz w:val="17"/>
          <w:szCs w:val="17"/>
          <w:b w:val="1"/>
          <w:bCs w:val="1"/>
          <w:color w:val="auto"/>
        </w:rPr>
        <w:t>GOVERNING LAW; WAIVER OF JURY TRIAL.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INDENTURE AND THE NOTES, AND ANY CLAIM, CONTROVERSY OR DISPUTE ARISING UNDER OR RELATED TO THIS INDENTURE OR THE NOTES, WILL BE GOVERNED BY AND CONSTRUED IN ACCORDANCE WITH THE LAWS OF THE STATE OF NEW YORK. EACH OF THE COMPANY AND THE TRUSTEE IRREVOCABLY WAIVES, TO THE FULLEST EXTENT PERMITTED BY APPLICABLE LAW, ANY AND ALL RIGHT TO TRIAL BY JURY IN ANY LEGAL PROCEEDING ARISING OUT OF OR RELATING TO THIS INDENTURE, THE NOTES OR THE TRANSACTIONS CONTEMPLATED BY THIS INDENTURE OR THE NOTES.</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11.07</w:t>
      </w:r>
      <w:r>
        <w:rPr>
          <w:sz w:val="20"/>
          <w:szCs w:val="20"/>
          <w:color w:val="auto"/>
        </w:rPr>
        <w:tab/>
      </w:r>
      <w:r>
        <w:rPr>
          <w:rFonts w:ascii="Times New Roman" w:cs="Times New Roman" w:eastAsia="Times New Roman" w:hAnsi="Times New Roman"/>
          <w:sz w:val="18"/>
          <w:szCs w:val="18"/>
          <w:b w:val="1"/>
          <w:bCs w:val="1"/>
          <w:color w:val="auto"/>
        </w:rPr>
        <w:t>SUBMISSION TO JURISDICTION.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Any legal suit, action or proceeding arising out of or based upon this Indenture or the transactions contemplated by this Indenture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Times New Roman" w:cs="Times New Roman" w:eastAsia="Times New Roman" w:hAnsi="Times New Roman"/>
          <w:sz w:val="18"/>
          <w:szCs w:val="18"/>
          <w:b w:val="1"/>
          <w:bCs w:val="1"/>
          <w:color w:val="auto"/>
        </w:rPr>
        <w:t>Section 11.01</w:t>
      </w:r>
      <w:r>
        <w:rPr>
          <w:rFonts w:ascii="Times New Roman" w:cs="Times New Roman" w:eastAsia="Times New Roman" w:hAnsi="Times New Roman"/>
          <w:sz w:val="18"/>
          <w:szCs w:val="18"/>
          <w:color w:val="auto"/>
        </w:rPr>
        <w:t xml:space="preserve"> will be effective service of process for any such suit, action or proceeding brought in any such court. Each of the Company, the Trustee and each Holder (by its acceptance of any Note)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11.08</w:t>
      </w:r>
      <w:r>
        <w:rPr>
          <w:sz w:val="20"/>
          <w:szCs w:val="20"/>
          <w:color w:val="auto"/>
        </w:rPr>
        <w:tab/>
      </w:r>
      <w:r>
        <w:rPr>
          <w:rFonts w:ascii="Times New Roman" w:cs="Times New Roman" w:eastAsia="Times New Roman" w:hAnsi="Times New Roman"/>
          <w:sz w:val="17"/>
          <w:szCs w:val="17"/>
          <w:b w:val="1"/>
          <w:bCs w:val="1"/>
          <w:color w:val="auto"/>
        </w:rPr>
        <w:t>NO ADVERSE INTERPRETATION OF OTHER AGREEMENTS.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Neither this Indenture nor the Notes may be used to interpret any other indenture, note, loan or debt agreement of the Company or its Subsidiaries or of any other Person, and no such indenture, note, loan or debt agreement may be used to interpret this Indenture or the Notes.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11.09</w:t>
      </w:r>
      <w:r>
        <w:rPr>
          <w:sz w:val="20"/>
          <w:szCs w:val="20"/>
          <w:color w:val="auto"/>
        </w:rPr>
        <w:tab/>
      </w:r>
      <w:r>
        <w:rPr>
          <w:rFonts w:ascii="Times New Roman" w:cs="Times New Roman" w:eastAsia="Times New Roman" w:hAnsi="Times New Roman"/>
          <w:sz w:val="17"/>
          <w:szCs w:val="17"/>
          <w:b w:val="1"/>
          <w:bCs w:val="1"/>
          <w:color w:val="auto"/>
        </w:rPr>
        <w:t>SUCCESSORS.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Indenture and the Notes will bind its successors. All agreements of the Trustee in this Indenture will bind its successors.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11.10</w:t>
      </w:r>
      <w:r>
        <w:rPr>
          <w:sz w:val="20"/>
          <w:szCs w:val="20"/>
          <w:color w:val="auto"/>
        </w:rPr>
        <w:tab/>
      </w:r>
      <w:r>
        <w:rPr>
          <w:rFonts w:ascii="Times New Roman" w:cs="Times New Roman" w:eastAsia="Times New Roman" w:hAnsi="Times New Roman"/>
          <w:sz w:val="18"/>
          <w:szCs w:val="18"/>
          <w:b w:val="1"/>
          <w:bCs w:val="1"/>
          <w:color w:val="auto"/>
        </w:rPr>
        <w:t>FORCE MAJEURE.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Trustee and each Note Agent will not incur any liability for not performing any act or fulfilling any duty, obligation or responsibility under this Indenture or the Notes by reason of any occurrence beyond its control (including any act or provision of any present or future law or regulation or governmental authority, act of God or war, civil unrest, local or national disturbance or disaster, act of terrorism or unavailability of the Federal Reserve Bank wire or facsimile or other wire or communication facility).</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11.11</w:t>
      </w:r>
      <w:r>
        <w:rPr>
          <w:sz w:val="20"/>
          <w:szCs w:val="20"/>
          <w:color w:val="auto"/>
        </w:rPr>
        <w:tab/>
      </w:r>
      <w:r>
        <w:rPr>
          <w:rFonts w:ascii="Times New Roman" w:cs="Times New Roman" w:eastAsia="Times New Roman" w:hAnsi="Times New Roman"/>
          <w:sz w:val="17"/>
          <w:szCs w:val="17"/>
          <w:b w:val="1"/>
          <w:bCs w:val="1"/>
          <w:color w:val="auto"/>
        </w:rPr>
        <w:t>U.S.A. PATRIOT ACT.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acknowledges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Company agrees to provide the Trustee with such information as it may request to enable the Trustee to comply with the U.S.A. PATRIOT Act.</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11.12</w:t>
      </w:r>
      <w:r>
        <w:rPr>
          <w:sz w:val="20"/>
          <w:szCs w:val="20"/>
          <w:color w:val="auto"/>
        </w:rPr>
        <w:tab/>
      </w:r>
      <w:r>
        <w:rPr>
          <w:rFonts w:ascii="Times New Roman" w:cs="Times New Roman" w:eastAsia="Times New Roman" w:hAnsi="Times New Roman"/>
          <w:sz w:val="17"/>
          <w:szCs w:val="17"/>
          <w:b w:val="1"/>
          <w:bCs w:val="1"/>
          <w:color w:val="auto"/>
        </w:rPr>
        <w:t>CALCULATIONS.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this Indenture, the Company will be responsible for making all calculations called for under this Indenture or the Notes, including determinations of the Last Reported Sale Price, the Daily Conversion Value, the Daily Cash Amount, the Daily Share Amount, the Daily VWAP, the Trading Price, accrued interest on the Notes, the Redemption Price, the Fundamental Change Repurchase Price and the Conversion Rate.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make all calculations in good faith, and, absent manifest error, its calculations will be final and binding on all Holders. The Company will provide a schedule of its calculations to the Trustee and the Conversion Agent, and each of the Trustee and the Conversion Agent may rely conclusively on the accuracy of the Company’s calculations without independent verification. The Trustee will promptly forward a copy of each such schedule to a Holder upon its written request therefor. For the avoidance of doubt, the Trustee will not be obligated to make or confirm any calculations or other amounts called for under this Indenture or the Notes.</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11.13</w:t>
      </w:r>
      <w:r>
        <w:rPr>
          <w:sz w:val="20"/>
          <w:szCs w:val="20"/>
          <w:color w:val="auto"/>
        </w:rPr>
        <w:tab/>
      </w:r>
      <w:r>
        <w:rPr>
          <w:rFonts w:ascii="Times New Roman" w:cs="Times New Roman" w:eastAsia="Times New Roman" w:hAnsi="Times New Roman"/>
          <w:sz w:val="17"/>
          <w:szCs w:val="17"/>
          <w:b w:val="1"/>
          <w:bCs w:val="1"/>
          <w:color w:val="auto"/>
        </w:rPr>
        <w:t>SEVERABILITY.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any provision of this Indenture or the Notes is invalid, illegal or unenforceable, then the validity, legality and enforceability of the remaining provisions of this Indenture or the Notes will not in any way be affected or impaired thereby.</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11.14</w:t>
      </w:r>
      <w:r>
        <w:rPr>
          <w:sz w:val="20"/>
          <w:szCs w:val="20"/>
          <w:color w:val="auto"/>
        </w:rPr>
        <w:tab/>
      </w:r>
      <w:r>
        <w:rPr>
          <w:rFonts w:ascii="Times New Roman" w:cs="Times New Roman" w:eastAsia="Times New Roman" w:hAnsi="Times New Roman"/>
          <w:sz w:val="17"/>
          <w:szCs w:val="17"/>
          <w:b w:val="1"/>
          <w:bCs w:val="1"/>
          <w:color w:val="auto"/>
        </w:rPr>
        <w:t>COUNTERPARTS.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parties may sign any number of copies of this Indenture. Each signed copy will be an original, and all of them together represent the same agreement. Delivery of an executed counterpart of this Indenture by facsimile, electronically in portable document format or in any other format will be effective as delivery of a manually executed counterpart.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11.15</w:t>
      </w:r>
      <w:r>
        <w:rPr>
          <w:sz w:val="20"/>
          <w:szCs w:val="20"/>
          <w:color w:val="auto"/>
        </w:rPr>
        <w:tab/>
      </w:r>
      <w:r>
        <w:rPr>
          <w:rFonts w:ascii="Times New Roman" w:cs="Times New Roman" w:eastAsia="Times New Roman" w:hAnsi="Times New Roman"/>
          <w:sz w:val="17"/>
          <w:szCs w:val="17"/>
          <w:b w:val="1"/>
          <w:bCs w:val="1"/>
          <w:color w:val="auto"/>
        </w:rPr>
        <w:t>TABLE OF CONTENTS, HEADINGS, ETC.</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of contents and the headings of the Articles and Sections of this Indenture have been inserted for convenience of reference only, are not to be considered a part of this Indenture and will in no way modify or restrict any of the terms or provisions of this Indenture.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Section 11.16</w:t>
      </w:r>
      <w:r>
        <w:rPr>
          <w:sz w:val="20"/>
          <w:szCs w:val="20"/>
          <w:color w:val="auto"/>
        </w:rPr>
        <w:tab/>
      </w:r>
      <w:r>
        <w:rPr>
          <w:rFonts w:ascii="Times New Roman" w:cs="Times New Roman" w:eastAsia="Times New Roman" w:hAnsi="Times New Roman"/>
          <w:sz w:val="17"/>
          <w:szCs w:val="17"/>
          <w:b w:val="1"/>
          <w:bCs w:val="1"/>
          <w:color w:val="auto"/>
        </w:rPr>
        <w:t>WITHHOLDING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Holder of a Note agrees, and each beneficial owner of an interest in a Global Note, by its acquisition of such interest, is deemed to agree, that if the Company or other applicable withholding agent pays withholding taxes or backup withholding on behalf of such Holder or beneficial owner as a result of an adjustment or the non-occurrence of an adjustment to the Conversion Rate, then the Company or such withholding agent, as applicable, may, at its option, set off such payments against payments of cash or the delivery of other Conversion Consideration on such Note, any payments on the Common Stock or from any proceeds of any sale, exchange or other disposition of such Notes (including the retirement of such Notes) or such Common Stock, or other funds or assets of, such Holder or the beneficial owner of such Note.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Remainder of This Page Intentionally Left Blank; Signature Page Follows]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to this Indenture have caused this Indenture to be duly executed as of the date first written above.</w:t>
      </w: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LIFE360, INC.</w:t>
      </w:r>
    </w:p>
    <w:p>
      <w:pPr>
        <w:spacing w:after="0" w:line="22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17145</wp:posOffset>
            </wp:positionV>
            <wp:extent cx="319722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 Russell Burke</w:t>
      </w:r>
    </w:p>
    <w:p>
      <w:pPr>
        <w:spacing w:after="0" w:line="27" w:lineRule="exact"/>
        <w:rPr>
          <w:sz w:val="20"/>
          <w:szCs w:val="20"/>
          <w:color w:val="auto"/>
        </w:rPr>
      </w:pPr>
    </w:p>
    <w:p>
      <w:pPr>
        <w:ind w:left="5540"/>
        <w:spacing w:after="0"/>
        <w:tabs>
          <w:tab w:leader="none" w:pos="60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41910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77" w:name="page78"/>
    <w:bookmarkEnd w:id="77"/>
    <w:p>
      <w:pPr>
        <w:ind w:left="4520"/>
        <w:spacing w:after="0"/>
        <w:rPr>
          <w:sz w:val="20"/>
          <w:szCs w:val="20"/>
          <w:color w:val="auto"/>
        </w:rPr>
      </w:pPr>
      <w:r>
        <w:rPr>
          <w:rFonts w:ascii="Times New Roman" w:cs="Times New Roman" w:eastAsia="Times New Roman" w:hAnsi="Times New Roman"/>
          <w:sz w:val="18"/>
          <w:szCs w:val="18"/>
          <w:color w:val="auto"/>
        </w:rPr>
        <w:t>U.S. BANK TRUST COMPANY,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NATIONAL ASSOCIATION, AS TRUSTEE</w:t>
      </w:r>
    </w:p>
    <w:p>
      <w:pPr>
        <w:spacing w:after="0" w:line="218" w:lineRule="exact"/>
        <w:rPr>
          <w:sz w:val="20"/>
          <w:szCs w:val="20"/>
          <w:color w:val="auto"/>
        </w:rPr>
      </w:pPr>
    </w:p>
    <w:p>
      <w:pPr>
        <w:ind w:left="452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Fung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26035</wp:posOffset>
            </wp:positionV>
            <wp:extent cx="319722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Andrew Fung</w:t>
      </w:r>
    </w:p>
    <w:p>
      <w:pPr>
        <w:spacing w:after="0" w:line="2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41910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EXHIBIT A</w:t>
            </w:r>
          </w:p>
        </w:tc>
      </w:tr>
      <w:tr>
        <w:trPr>
          <w:trHeight w:val="391"/>
        </w:trPr>
        <w:tc>
          <w:tcPr>
            <w:tcW w:w="496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FORM OF NOTE</w:t>
            </w:r>
          </w:p>
        </w:tc>
        <w:tc>
          <w:tcPr>
            <w:tcW w:w="22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53"/>
        </w:trPr>
        <w:tc>
          <w:tcPr>
            <w:tcW w:w="8500" w:type="dxa"/>
            <w:vAlign w:val="bottom"/>
            <w:gridSpan w:val="3"/>
          </w:tcPr>
          <w:p>
            <w:pPr>
              <w:jc w:val="center"/>
              <w:ind w:left="2670"/>
              <w:spacing w:after="0"/>
              <w:rPr>
                <w:sz w:val="20"/>
                <w:szCs w:val="20"/>
                <w:color w:val="auto"/>
              </w:rPr>
            </w:pPr>
            <w:r>
              <w:rPr>
                <w:rFonts w:ascii="Times New Roman" w:cs="Times New Roman" w:eastAsia="Times New Roman" w:hAnsi="Times New Roman"/>
                <w:sz w:val="18"/>
                <w:szCs w:val="18"/>
                <w:i w:val="1"/>
                <w:iCs w:val="1"/>
                <w:color w:val="auto"/>
                <w:w w:val="99"/>
              </w:rPr>
              <w:t>[Insert Global Note Legend, if applicable]</w:t>
            </w:r>
          </w:p>
        </w:tc>
        <w:tc>
          <w:tcPr>
            <w:tcW w:w="2740" w:type="dxa"/>
            <w:vAlign w:val="bottom"/>
          </w:tcPr>
          <w:p>
            <w:pPr>
              <w:spacing w:after="0"/>
              <w:rPr>
                <w:sz w:val="24"/>
                <w:szCs w:val="24"/>
                <w:color w:val="auto"/>
              </w:rPr>
            </w:pPr>
          </w:p>
        </w:tc>
      </w:tr>
      <w:tr>
        <w:trPr>
          <w:trHeight w:val="432"/>
        </w:trPr>
        <w:tc>
          <w:tcPr>
            <w:tcW w:w="8500" w:type="dxa"/>
            <w:vAlign w:val="bottom"/>
            <w:gridSpan w:val="3"/>
          </w:tcPr>
          <w:p>
            <w:pPr>
              <w:jc w:val="center"/>
              <w:ind w:left="2650"/>
              <w:spacing w:after="0"/>
              <w:rPr>
                <w:sz w:val="20"/>
                <w:szCs w:val="20"/>
                <w:color w:val="auto"/>
              </w:rPr>
            </w:pPr>
            <w:r>
              <w:rPr>
                <w:rFonts w:ascii="Times New Roman" w:cs="Times New Roman" w:eastAsia="Times New Roman" w:hAnsi="Times New Roman"/>
                <w:sz w:val="18"/>
                <w:szCs w:val="18"/>
                <w:i w:val="1"/>
                <w:iCs w:val="1"/>
                <w:color w:val="auto"/>
                <w:w w:val="99"/>
              </w:rPr>
              <w:t>[Insert Restricted Note Legend, if applicable]</w:t>
            </w:r>
          </w:p>
        </w:tc>
        <w:tc>
          <w:tcPr>
            <w:tcW w:w="2740" w:type="dxa"/>
            <w:vAlign w:val="bottom"/>
          </w:tcPr>
          <w:p>
            <w:pPr>
              <w:spacing w:after="0"/>
              <w:rPr>
                <w:sz w:val="24"/>
                <w:szCs w:val="24"/>
                <w:color w:val="auto"/>
              </w:rPr>
            </w:pPr>
          </w:p>
        </w:tc>
      </w:tr>
      <w:tr>
        <w:trPr>
          <w:trHeight w:val="432"/>
        </w:trPr>
        <w:tc>
          <w:tcPr>
            <w:tcW w:w="8500" w:type="dxa"/>
            <w:vAlign w:val="bottom"/>
            <w:gridSpan w:val="3"/>
          </w:tcPr>
          <w:p>
            <w:pPr>
              <w:jc w:val="center"/>
              <w:ind w:left="2650"/>
              <w:spacing w:after="0"/>
              <w:rPr>
                <w:sz w:val="20"/>
                <w:szCs w:val="20"/>
                <w:color w:val="auto"/>
              </w:rPr>
            </w:pPr>
            <w:r>
              <w:rPr>
                <w:rFonts w:ascii="Times New Roman" w:cs="Times New Roman" w:eastAsia="Times New Roman" w:hAnsi="Times New Roman"/>
                <w:sz w:val="18"/>
                <w:szCs w:val="18"/>
                <w:i w:val="1"/>
                <w:iCs w:val="1"/>
                <w:color w:val="auto"/>
                <w:w w:val="99"/>
              </w:rPr>
              <w:t>[Insert Non-Affiliate Legend]</w:t>
            </w:r>
          </w:p>
        </w:tc>
        <w:tc>
          <w:tcPr>
            <w:tcW w:w="2740" w:type="dxa"/>
            <w:vAlign w:val="bottom"/>
          </w:tcPr>
          <w:p>
            <w:pPr>
              <w:spacing w:after="0"/>
              <w:rPr>
                <w:sz w:val="24"/>
                <w:szCs w:val="24"/>
                <w:color w:val="auto"/>
              </w:rPr>
            </w:pPr>
          </w:p>
        </w:tc>
      </w:tr>
      <w:tr>
        <w:trPr>
          <w:trHeight w:val="432"/>
        </w:trPr>
        <w:tc>
          <w:tcPr>
            <w:tcW w:w="4960" w:type="dxa"/>
            <w:vAlign w:val="bottom"/>
          </w:tcPr>
          <w:p>
            <w:pPr>
              <w:spacing w:after="0"/>
              <w:rPr>
                <w:sz w:val="24"/>
                <w:szCs w:val="24"/>
                <w:color w:val="auto"/>
              </w:rPr>
            </w:pPr>
          </w:p>
        </w:tc>
        <w:tc>
          <w:tcPr>
            <w:tcW w:w="3540" w:type="dxa"/>
            <w:vAlign w:val="bottom"/>
            <w:gridSpan w:val="2"/>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LIFE360, INC.</w:t>
            </w:r>
          </w:p>
        </w:tc>
        <w:tc>
          <w:tcPr>
            <w:tcW w:w="2740" w:type="dxa"/>
            <w:vAlign w:val="bottom"/>
          </w:tcPr>
          <w:p>
            <w:pPr>
              <w:spacing w:after="0"/>
              <w:rPr>
                <w:sz w:val="24"/>
                <w:szCs w:val="24"/>
                <w:color w:val="auto"/>
              </w:rPr>
            </w:pPr>
          </w:p>
        </w:tc>
      </w:tr>
      <w:tr>
        <w:trPr>
          <w:trHeight w:val="432"/>
        </w:trPr>
        <w:tc>
          <w:tcPr>
            <w:tcW w:w="8500" w:type="dxa"/>
            <w:vAlign w:val="bottom"/>
            <w:gridSpan w:val="3"/>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w w:val="99"/>
              </w:rPr>
              <w:t>0.00% Convertible Senior Note due 2030</w:t>
            </w:r>
          </w:p>
        </w:tc>
        <w:tc>
          <w:tcPr>
            <w:tcW w:w="2740" w:type="dxa"/>
            <w:vAlign w:val="bottom"/>
          </w:tcPr>
          <w:p>
            <w:pPr>
              <w:spacing w:after="0"/>
              <w:rPr>
                <w:sz w:val="24"/>
                <w:szCs w:val="24"/>
                <w:color w:val="auto"/>
              </w:rPr>
            </w:pPr>
          </w:p>
        </w:tc>
      </w:tr>
      <w:tr>
        <w:trPr>
          <w:trHeight w:val="402"/>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CUSIP No.: [___] </w:t>
            </w:r>
            <w:r>
              <w:rPr>
                <w:rFonts w:ascii="Times New Roman" w:cs="Times New Roman" w:eastAsia="Times New Roman" w:hAnsi="Times New Roman"/>
                <w:sz w:val="18"/>
                <w:szCs w:val="18"/>
                <w:i w:val="1"/>
                <w:iCs w:val="1"/>
                <w:color w:val="auto"/>
              </w:rPr>
              <w:t>[Insert for a “restricted” CUSIP number: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Certificate No. [___]</w:t>
            </w:r>
          </w:p>
        </w:tc>
      </w:tr>
      <w:tr>
        <w:trPr>
          <w:trHeight w:val="396"/>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ISIN No.:  [___] </w:t>
            </w:r>
            <w:r>
              <w:rPr>
                <w:rFonts w:ascii="Times New Roman" w:cs="Times New Roman" w:eastAsia="Times New Roman" w:hAnsi="Times New Roman"/>
                <w:sz w:val="18"/>
                <w:szCs w:val="18"/>
                <w:i w:val="1"/>
                <w:iCs w:val="1"/>
                <w:color w:val="auto"/>
              </w:rPr>
              <w:t>[Insert for a “restricted” ISIN number: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w:t>
            </w:r>
          </w:p>
        </w:tc>
        <w:tc>
          <w:tcPr>
            <w:tcW w:w="2740" w:type="dxa"/>
            <w:vAlign w:val="bottom"/>
          </w:tcPr>
          <w:p>
            <w:pPr>
              <w:spacing w:after="0"/>
              <w:rPr>
                <w:sz w:val="24"/>
                <w:szCs w:val="24"/>
                <w:color w:val="auto"/>
              </w:rPr>
            </w:pPr>
          </w:p>
        </w:tc>
      </w:tr>
    </w:tbl>
    <w:p>
      <w:pPr>
        <w:spacing w:after="0" w:line="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Life360, Inc., a Delaware corporation, for value received, promises to pay to [Cede &amp; Co.], or its registered assigns, the principal sum of </w:t>
      </w:r>
      <w:r>
        <w:rPr>
          <w:rFonts w:ascii="Times New Roman" w:cs="Times New Roman" w:eastAsia="Times New Roman" w:hAnsi="Times New Roman"/>
          <w:sz w:val="18"/>
          <w:szCs w:val="18"/>
          <w:b w:val="1"/>
          <w:bCs w:val="1"/>
          <w:color w:val="auto"/>
        </w:rPr>
        <w:t>[____]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dollars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[____]</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revised by the attached Schedule of Exchanges of Interests in the Global Note)] on June 1, 2030 and to the extent applicable, to pay</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Special Interest and Additional Interest thereon, as provided in the Indenture referred to below, until the principal and all accrued and unpaid interest, if any, are paid or duly provided for.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 June 1 and December 1 of each year</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Record Dates: May 15 and November 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provisions of this Note are set forth on the other side of this Note.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Remainder of This Page Intentionally Left Blank; 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178308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left="180" w:hanging="172"/>
        <w:spacing w:after="0" w:line="210" w:lineRule="auto"/>
        <w:tabs>
          <w:tab w:leader="none" w:pos="180" w:val="left"/>
        </w:tabs>
        <w:numPr>
          <w:ilvl w:val="0"/>
          <w:numId w:val="1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Note will be deemed to be identified by CUSIP No. 532206 AB5 and ISIN No. US532206AB50 from and after such time when the Company delivers, pursuant to Section 2.12 of the within-mentioned Indenture, written notice to the Trustee of the deemed removal of the Restricted Note Legend affixed to this Note.</w:t>
      </w:r>
    </w:p>
    <w:p>
      <w:pPr>
        <w:spacing w:after="0" w:line="2" w:lineRule="exact"/>
        <w:rPr>
          <w:rFonts w:ascii="Times New Roman" w:cs="Times New Roman" w:eastAsia="Times New Roman" w:hAnsi="Times New Roman"/>
          <w:sz w:val="30"/>
          <w:szCs w:val="30"/>
          <w:color w:val="auto"/>
          <w:vertAlign w:val="superscript"/>
        </w:rPr>
      </w:pPr>
    </w:p>
    <w:p>
      <w:pPr>
        <w:ind w:left="180" w:hanging="172"/>
        <w:spacing w:after="0" w:line="180" w:lineRule="auto"/>
        <w:tabs>
          <w:tab w:leader="none" w:pos="180" w:val="left"/>
        </w:tabs>
        <w:numPr>
          <w:ilvl w:val="0"/>
          <w:numId w:val="1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Insert bracketed language for Global Notes only.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Life360 Software, Inc. has caused this instrument to be duly executed as of the date set forth below.</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LIFE360, INC.</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642048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2048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3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80" w:name="page81"/>
    <w:bookmarkEnd w:id="80"/>
    <w:p>
      <w:pPr>
        <w:ind w:left="3620"/>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Bank Trust Company, National Association, as Trustee, certifies that this is one of the Notes referred to in the within-mentioned Indenture.</w:t>
      </w:r>
    </w:p>
    <w:p>
      <w:pPr>
        <w:spacing w:after="0" w:line="237" w:lineRule="exact"/>
        <w:rPr>
          <w:sz w:val="20"/>
          <w:szCs w:val="20"/>
          <w:color w:val="auto"/>
        </w:rPr>
      </w:pPr>
    </w:p>
    <w:p>
      <w:pPr>
        <w:spacing w:after="0"/>
        <w:tabs>
          <w:tab w:leader="none" w:pos="54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-127635</wp:posOffset>
            </wp:positionV>
            <wp:extent cx="643763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37630" cy="17145"/>
                    </a:xfrm>
                    <a:prstGeom prst="rect">
                      <a:avLst/>
                    </a:prstGeom>
                    <a:noFill/>
                  </pic:spPr>
                </pic:pic>
              </a:graphicData>
            </a:graphic>
          </wp:anchor>
        </w:drawing>
      </w:r>
    </w:p>
    <w:p>
      <w:pPr>
        <w:spacing w:after="0" w:line="37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320" w:top="121" w:right="121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0.00% Convertible Senior Note due 2030</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Note is one of a duly authorized issue of notes of Life360,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designated as its 0.00% Convertible Senior Notes due 2030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xml:space="preserve">), all issued or to be issued pursuant to an indenture, dated as of June 5, 2025 (as the same may be amended from time to time,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U.S. Bank Trust Company, National Association, as trustee. Capitalized terms used in this Note without definition have the respective meanings ascribed to them in the Indenture.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sets forth the rights and obligations of the Company, the Trustee and the Holders and the terms of the Notes. Notwithstanding anything to the contrary in this Note, to the extent that any provision of this Note conflicts with the provisions of the Indenture, the provisions of the Indenture will control.</w:t>
      </w:r>
    </w:p>
    <w:p>
      <w:pPr>
        <w:spacing w:after="0" w:line="172" w:lineRule="exact"/>
        <w:rPr>
          <w:sz w:val="20"/>
          <w:szCs w:val="20"/>
          <w:color w:val="auto"/>
        </w:rPr>
      </w:pPr>
    </w:p>
    <w:p>
      <w:pPr>
        <w:ind w:right="220" w:firstLine="656"/>
        <w:spacing w:after="0" w:line="317" w:lineRule="auto"/>
        <w:tabs>
          <w:tab w:leader="none" w:pos="1278"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Interest. </w:t>
      </w:r>
      <w:r>
        <w:rPr>
          <w:rFonts w:ascii="Times New Roman" w:cs="Times New Roman" w:eastAsia="Times New Roman" w:hAnsi="Times New Roman"/>
          <w:sz w:val="17"/>
          <w:szCs w:val="17"/>
          <w:color w:val="auto"/>
        </w:rPr>
        <w:t>This Note will not bear regular interest, and the principal amount of this Note will not accrete. Special Interest and Additional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Interest will accrue on this Note in the circumstances, at the rates, and payable on the dates, set forth in </w:t>
      </w:r>
      <w:r>
        <w:rPr>
          <w:rFonts w:ascii="Times New Roman" w:cs="Times New Roman" w:eastAsia="Times New Roman" w:hAnsi="Times New Roman"/>
          <w:sz w:val="17"/>
          <w:szCs w:val="17"/>
          <w:b w:val="1"/>
          <w:bCs w:val="1"/>
          <w:color w:val="auto"/>
        </w:rPr>
        <w:t>Sections 2.05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7.03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3.04</w:t>
      </w:r>
      <w:r>
        <w:rPr>
          <w:rFonts w:ascii="Times New Roman" w:cs="Times New Roman" w:eastAsia="Times New Roman" w:hAnsi="Times New Roman"/>
          <w:sz w:val="17"/>
          <w:szCs w:val="17"/>
          <w:color w:val="auto"/>
        </w:rPr>
        <w:t xml:space="preserve"> of the Indenture.</w:t>
      </w:r>
      <w:r>
        <w:rPr>
          <w:rFonts w:ascii="Times New Roman" w:cs="Times New Roman" w:eastAsia="Times New Roman" w:hAnsi="Times New Roman"/>
          <w:sz w:val="17"/>
          <w:szCs w:val="17"/>
          <w:i w:val="1"/>
          <w:iCs w:val="1"/>
          <w:color w:val="auto"/>
        </w:rPr>
        <w:t>.</w:t>
      </w:r>
    </w:p>
    <w:p>
      <w:pPr>
        <w:spacing w:after="0" w:line="131" w:lineRule="exact"/>
        <w:rPr>
          <w:rFonts w:ascii="Times New Roman" w:cs="Times New Roman" w:eastAsia="Times New Roman" w:hAnsi="Times New Roman"/>
          <w:sz w:val="17"/>
          <w:szCs w:val="17"/>
          <w:color w:val="auto"/>
        </w:rPr>
      </w:pPr>
    </w:p>
    <w:p>
      <w:pPr>
        <w:ind w:left="1280" w:hanging="624"/>
        <w:spacing w:after="0"/>
        <w:tabs>
          <w:tab w:leader="none" w:pos="12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Maturity. </w:t>
      </w:r>
      <w:r>
        <w:rPr>
          <w:rFonts w:ascii="Times New Roman" w:cs="Times New Roman" w:eastAsia="Times New Roman" w:hAnsi="Times New Roman"/>
          <w:sz w:val="18"/>
          <w:szCs w:val="18"/>
          <w:color w:val="auto"/>
        </w:rPr>
        <w:t>This Note will mature on June 1, 2030, unless earlier repurchased, redeemed or Converted.</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Method of Payment. </w:t>
      </w:r>
      <w:r>
        <w:rPr>
          <w:rFonts w:ascii="Times New Roman" w:cs="Times New Roman" w:eastAsia="Times New Roman" w:hAnsi="Times New Roman"/>
          <w:sz w:val="18"/>
          <w:szCs w:val="18"/>
          <w:color w:val="auto"/>
        </w:rPr>
        <w:t>Cash amounts due on this Note will be paid in the manner set forth in Section 2.04 of the Indenture.</w:t>
      </w:r>
    </w:p>
    <w:p>
      <w:pPr>
        <w:spacing w:after="0" w:line="22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Persons Deemed Owners. </w:t>
      </w:r>
      <w:r>
        <w:rPr>
          <w:rFonts w:ascii="Times New Roman" w:cs="Times New Roman" w:eastAsia="Times New Roman" w:hAnsi="Times New Roman"/>
          <w:sz w:val="18"/>
          <w:szCs w:val="18"/>
          <w:color w:val="auto"/>
        </w:rPr>
        <w:t>The Holder of this Note will be treated as the owner of this Note for all purposes.</w:t>
      </w:r>
    </w:p>
    <w:p>
      <w:pPr>
        <w:spacing w:after="0" w:line="225" w:lineRule="exact"/>
        <w:rPr>
          <w:rFonts w:ascii="Times New Roman" w:cs="Times New Roman" w:eastAsia="Times New Roman" w:hAnsi="Times New Roman"/>
          <w:sz w:val="18"/>
          <w:szCs w:val="18"/>
          <w:color w:val="auto"/>
        </w:rPr>
      </w:pPr>
    </w:p>
    <w:p>
      <w:pPr>
        <w:ind w:right="320" w:firstLine="656"/>
        <w:spacing w:after="0" w:line="268" w:lineRule="auto"/>
        <w:tabs>
          <w:tab w:leader="none" w:pos="127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Denominations; Transfers and Exchanges. </w:t>
      </w:r>
      <w:r>
        <w:rPr>
          <w:rFonts w:ascii="Times New Roman" w:cs="Times New Roman" w:eastAsia="Times New Roman" w:hAnsi="Times New Roman"/>
          <w:sz w:val="18"/>
          <w:szCs w:val="18"/>
          <w:color w:val="auto"/>
        </w:rPr>
        <w:t>All Notes will be in registered form, without coupons, in principal amounts equal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Denominations. Subject to the terms of the Indenture, the Holder of this Note may transfer or exchange this Note by presenting it to the Registrar and delivering any required documentation or other materials.</w:t>
      </w:r>
    </w:p>
    <w:p>
      <w:pPr>
        <w:spacing w:after="0" w:line="170" w:lineRule="exact"/>
        <w:rPr>
          <w:rFonts w:ascii="Times New Roman" w:cs="Times New Roman" w:eastAsia="Times New Roman" w:hAnsi="Times New Roman"/>
          <w:sz w:val="18"/>
          <w:szCs w:val="18"/>
          <w:color w:val="auto"/>
        </w:rPr>
      </w:pPr>
    </w:p>
    <w:p>
      <w:pPr>
        <w:jc w:val="both"/>
        <w:ind w:right="60" w:firstLine="656"/>
        <w:spacing w:after="0" w:line="268" w:lineRule="auto"/>
        <w:tabs>
          <w:tab w:leader="none" w:pos="127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 of Holders to Require the Company to Repurchase Notes Upon a Fundamental Change. </w:t>
      </w:r>
      <w:r>
        <w:rPr>
          <w:rFonts w:ascii="Times New Roman" w:cs="Times New Roman" w:eastAsia="Times New Roman" w:hAnsi="Times New Roman"/>
          <w:sz w:val="18"/>
          <w:szCs w:val="18"/>
          <w:color w:val="auto"/>
        </w:rPr>
        <w:t>If a Fundamental Change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Exempted Fundamental Change) occurs, then each Holder will have the right to require the Company to repurchase such Holder’s Notes (or any portion thereof in an Authorized Denomination) for cash in the manner, and subject to the terms, set forth in Section 4.02 of the Indenture.</w:t>
      </w:r>
    </w:p>
    <w:p>
      <w:pPr>
        <w:spacing w:after="0" w:line="170" w:lineRule="exact"/>
        <w:rPr>
          <w:rFonts w:ascii="Times New Roman" w:cs="Times New Roman" w:eastAsia="Times New Roman" w:hAnsi="Times New Roman"/>
          <w:sz w:val="18"/>
          <w:szCs w:val="18"/>
          <w:color w:val="auto"/>
        </w:rPr>
      </w:pPr>
    </w:p>
    <w:p>
      <w:pPr>
        <w:ind w:right="120" w:firstLine="656"/>
        <w:spacing w:after="0" w:line="286" w:lineRule="auto"/>
        <w:tabs>
          <w:tab w:leader="none" w:pos="127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 of the Company to Redeem the Notes. </w:t>
      </w:r>
      <w:r>
        <w:rPr>
          <w:rFonts w:ascii="Times New Roman" w:cs="Times New Roman" w:eastAsia="Times New Roman" w:hAnsi="Times New Roman"/>
          <w:sz w:val="18"/>
          <w:szCs w:val="18"/>
          <w:color w:val="auto"/>
        </w:rPr>
        <w:t>The Company will have the right to redeem the Notes for cash in the manner, and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terms, set forth in Section 4.03 of the Indenture.</w:t>
      </w:r>
    </w:p>
    <w:p>
      <w:pPr>
        <w:spacing w:after="0" w:line="154" w:lineRule="exact"/>
        <w:rPr>
          <w:rFonts w:ascii="Times New Roman" w:cs="Times New Roman" w:eastAsia="Times New Roman" w:hAnsi="Times New Roman"/>
          <w:sz w:val="18"/>
          <w:szCs w:val="18"/>
          <w:color w:val="auto"/>
        </w:rPr>
      </w:pPr>
    </w:p>
    <w:p>
      <w:pPr>
        <w:ind w:right="220" w:firstLine="656"/>
        <w:spacing w:after="0" w:line="286" w:lineRule="auto"/>
        <w:tabs>
          <w:tab w:leader="none" w:pos="127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Conversion. </w:t>
      </w:r>
      <w:r>
        <w:rPr>
          <w:rFonts w:ascii="Times New Roman" w:cs="Times New Roman" w:eastAsia="Times New Roman" w:hAnsi="Times New Roman"/>
          <w:sz w:val="18"/>
          <w:szCs w:val="18"/>
          <w:color w:val="auto"/>
        </w:rPr>
        <w:t>The Holder of this Note may Convert this Note into Conversion Consideration in the manner, and subject to the terms,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Article 5 of the Indenture.</w:t>
      </w:r>
    </w:p>
    <w:p>
      <w:pPr>
        <w:spacing w:after="0" w:line="154" w:lineRule="exact"/>
        <w:rPr>
          <w:rFonts w:ascii="Times New Roman" w:cs="Times New Roman" w:eastAsia="Times New Roman" w:hAnsi="Times New Roman"/>
          <w:sz w:val="18"/>
          <w:szCs w:val="18"/>
          <w:color w:val="auto"/>
        </w:rPr>
      </w:pPr>
    </w:p>
    <w:p>
      <w:pPr>
        <w:ind w:right="200" w:firstLine="656"/>
        <w:spacing w:after="0" w:line="286" w:lineRule="auto"/>
        <w:tabs>
          <w:tab w:leader="none" w:pos="127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When the Company May Merge, Etc. </w:t>
      </w:r>
      <w:r>
        <w:rPr>
          <w:rFonts w:ascii="Times New Roman" w:cs="Times New Roman" w:eastAsia="Times New Roman" w:hAnsi="Times New Roman"/>
          <w:sz w:val="18"/>
          <w:szCs w:val="18"/>
          <w:color w:val="auto"/>
        </w:rPr>
        <w:t>Article 6 of the Indenture places limited restrictions on the Company’s ability to be a party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Combination Event.</w:t>
      </w:r>
    </w:p>
    <w:p>
      <w:pPr>
        <w:spacing w:after="0" w:line="154" w:lineRule="exact"/>
        <w:rPr>
          <w:rFonts w:ascii="Times New Roman" w:cs="Times New Roman" w:eastAsia="Times New Roman" w:hAnsi="Times New Roman"/>
          <w:sz w:val="18"/>
          <w:szCs w:val="18"/>
          <w:color w:val="auto"/>
        </w:rPr>
      </w:pPr>
    </w:p>
    <w:p>
      <w:pPr>
        <w:ind w:right="60" w:firstLine="656"/>
        <w:spacing w:after="0" w:line="268" w:lineRule="auto"/>
        <w:tabs>
          <w:tab w:leader="none" w:pos="127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Defaults and Remedies. </w:t>
      </w:r>
      <w:r>
        <w:rPr>
          <w:rFonts w:ascii="Times New Roman" w:cs="Times New Roman" w:eastAsia="Times New Roman" w:hAnsi="Times New Roman"/>
          <w:sz w:val="18"/>
          <w:szCs w:val="18"/>
          <w:color w:val="auto"/>
        </w:rPr>
        <w:t>If an Event of Default occurs, then the principal amount of, and all accrued and unpaid interest, if any, on,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Notes then outstanding may (and, in certain circumstances, will automatically) become due and payable in the manner, and subject to the terms, set forth in Article 7 of the Indenture.</w:t>
      </w:r>
    </w:p>
    <w:p>
      <w:pPr>
        <w:spacing w:after="0" w:line="170" w:lineRule="exact"/>
        <w:rPr>
          <w:rFonts w:ascii="Times New Roman" w:cs="Times New Roman" w:eastAsia="Times New Roman" w:hAnsi="Times New Roman"/>
          <w:sz w:val="18"/>
          <w:szCs w:val="18"/>
          <w:color w:val="auto"/>
        </w:rPr>
      </w:pPr>
    </w:p>
    <w:p>
      <w:pPr>
        <w:jc w:val="both"/>
        <w:ind w:firstLine="656"/>
        <w:spacing w:after="0" w:line="317" w:lineRule="auto"/>
        <w:tabs>
          <w:tab w:leader="none" w:pos="1316"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Amendments, Supplements and Waivers. </w:t>
      </w:r>
      <w:r>
        <w:rPr>
          <w:rFonts w:ascii="Times New Roman" w:cs="Times New Roman" w:eastAsia="Times New Roman" w:hAnsi="Times New Roman"/>
          <w:sz w:val="17"/>
          <w:szCs w:val="17"/>
          <w:color w:val="auto"/>
        </w:rPr>
        <w:t>The Company and the Trustee may amend or supplement the Indenture or the Notes or waive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compliance with any provision of the Indenture or the Notes in the manner, and subject to the terms, set forth in Section 7.05 and Article 8 of the Indenture.</w:t>
      </w:r>
    </w:p>
    <w:p>
      <w:pPr>
        <w:spacing w:after="0" w:line="131" w:lineRule="exact"/>
        <w:rPr>
          <w:rFonts w:ascii="Times New Roman" w:cs="Times New Roman" w:eastAsia="Times New Roman" w:hAnsi="Times New Roman"/>
          <w:sz w:val="17"/>
          <w:szCs w:val="17"/>
          <w:color w:val="auto"/>
        </w:rPr>
      </w:pPr>
    </w:p>
    <w:p>
      <w:pPr>
        <w:ind w:right="60" w:firstLine="656"/>
        <w:spacing w:after="0" w:line="262" w:lineRule="auto"/>
        <w:tabs>
          <w:tab w:leader="none" w:pos="132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Personal Liability of Directors, Officers, Employees and Stockholders. </w:t>
      </w:r>
      <w:r>
        <w:rPr>
          <w:rFonts w:ascii="Times New Roman" w:cs="Times New Roman" w:eastAsia="Times New Roman" w:hAnsi="Times New Roman"/>
          <w:sz w:val="18"/>
          <w:szCs w:val="18"/>
          <w:color w:val="auto"/>
        </w:rPr>
        <w:t>No past, present or future director, officer,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incorporator or stockholder of the Company, as such, will have any liability for any obligations of the Company under the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ind w:right="20" w:firstLine="656"/>
        <w:spacing w:after="0" w:line="286" w:lineRule="auto"/>
        <w:tabs>
          <w:tab w:leader="none" w:pos="132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Authentication. </w:t>
      </w:r>
      <w:r>
        <w:rPr>
          <w:rFonts w:ascii="Times New Roman" w:cs="Times New Roman" w:eastAsia="Times New Roman" w:hAnsi="Times New Roman"/>
          <w:sz w:val="18"/>
          <w:szCs w:val="18"/>
          <w:color w:val="auto"/>
        </w:rPr>
        <w:t>No Note will be valid until it is authenticated by the Trustee. A Note will be deemed to be duly authenticated only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authorized signatory of the Trustee (or a duly appointed authenticating agent) manually signs the certificate of authentication of such Note.</w:t>
      </w:r>
    </w:p>
    <w:p>
      <w:pPr>
        <w:spacing w:after="0" w:line="154" w:lineRule="exact"/>
        <w:rPr>
          <w:rFonts w:ascii="Times New Roman" w:cs="Times New Roman" w:eastAsia="Times New Roman" w:hAnsi="Times New Roman"/>
          <w:sz w:val="18"/>
          <w:szCs w:val="18"/>
          <w:color w:val="auto"/>
        </w:rPr>
      </w:pPr>
    </w:p>
    <w:p>
      <w:pPr>
        <w:ind w:right="120" w:firstLine="656"/>
        <w:spacing w:after="0" w:line="268" w:lineRule="auto"/>
        <w:tabs>
          <w:tab w:leader="none" w:pos="132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Abbreviations. </w:t>
      </w:r>
      <w:r>
        <w:rPr>
          <w:rFonts w:ascii="Times New Roman" w:cs="Times New Roman" w:eastAsia="Times New Roman" w:hAnsi="Times New Roman"/>
          <w:sz w:val="18"/>
          <w:szCs w:val="18"/>
          <w:color w:val="auto"/>
        </w:rPr>
        <w:t>Customary abbreviations may be used in the name of a Holder or its assignee, such as TEN COM (tenants in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 ENT (tenants by the entireties), JT TEN (joint tenants with right of survivorship and not as tenants in common), CUST (custodian), and U/G/M/A (Uniform Gift to Minors Act).</w:t>
      </w:r>
    </w:p>
    <w:p>
      <w:pPr>
        <w:spacing w:after="0" w:line="170" w:lineRule="exact"/>
        <w:rPr>
          <w:rFonts w:ascii="Times New Roman" w:cs="Times New Roman" w:eastAsia="Times New Roman" w:hAnsi="Times New Roman"/>
          <w:sz w:val="18"/>
          <w:szCs w:val="18"/>
          <w:color w:val="auto"/>
        </w:rPr>
      </w:pPr>
    </w:p>
    <w:p>
      <w:pPr>
        <w:ind w:right="360" w:firstLine="656"/>
        <w:spacing w:after="0" w:line="286" w:lineRule="auto"/>
        <w:tabs>
          <w:tab w:leader="none" w:pos="132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NOTE, AND ANY CLAIM, CONTROVERSY OR DISPUTE ARISING UNDER OR RELATED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 WILL BE GOVERNED BY AND CONSTRUED IN ACCORDANCE WITH THE LAWS OF THE STATE OF NEW YORK.</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request a copy of the Indenture, which the Company will provide to any Holder at no charge, please send a written request to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Life360,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1900 South Norfolk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Suite 310, San Mateo,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California 94403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380"/>
        </w:trPr>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4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SCHEDULE OF EXCHANGES OF INTERESTS IN THE GLOBAL NOTE</w:t>
            </w:r>
            <w:r>
              <w:rPr>
                <w:rFonts w:ascii="Times New Roman" w:cs="Times New Roman" w:eastAsia="Times New Roman" w:hAnsi="Times New Roman"/>
                <w:sz w:val="29"/>
                <w:szCs w:val="29"/>
                <w:b w:val="1"/>
                <w:bCs w:val="1"/>
                <w:color w:val="auto"/>
                <w:vertAlign w:val="superscript"/>
              </w:rPr>
              <w:t>*</w:t>
            </w:r>
          </w:p>
        </w:tc>
      </w:tr>
      <w:tr>
        <w:trPr>
          <w:trHeight w:val="300"/>
        </w:trPr>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INITIAL PRINCIPAL AMOUNT OF THIS GLOBAL NOTE: $[</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32"/>
        </w:trPr>
        <w:tc>
          <w:tcPr>
            <w:tcW w:w="7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exchanges, transfers or cancellations of this Global Note have been made:</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10"/>
        </w:trPr>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Amount of Increase (Decrease)</w:t>
            </w:r>
          </w:p>
        </w:tc>
        <w:tc>
          <w:tcPr>
            <w:tcW w:w="244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Principal Amount of this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 Principal Amount of this</w:t>
            </w:r>
          </w:p>
        </w:tc>
        <w:tc>
          <w:tcPr>
            <w:tcW w:w="244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Global Note After Such</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 Authorized</w:t>
            </w:r>
          </w:p>
        </w:tc>
      </w:tr>
      <w:tr>
        <w:trPr>
          <w:trHeight w:val="238"/>
        </w:trPr>
        <w:tc>
          <w:tcPr>
            <w:tcW w:w="260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20" w:type="dxa"/>
            <w:vAlign w:val="bottom"/>
          </w:tcPr>
          <w:p>
            <w:pPr>
              <w:spacing w:after="0"/>
              <w:rPr>
                <w:sz w:val="20"/>
                <w:szCs w:val="20"/>
                <w:color w:val="auto"/>
              </w:rPr>
            </w:pPr>
          </w:p>
        </w:tc>
        <w:tc>
          <w:tcPr>
            <w:tcW w:w="27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Global Note</w:t>
            </w:r>
          </w:p>
        </w:tc>
        <w:tc>
          <w:tcPr>
            <w:tcW w:w="244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Increase (Decrease)</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Signatory of Trustee</w:t>
            </w:r>
          </w:p>
        </w:tc>
      </w:tr>
      <w:tr>
        <w:trPr>
          <w:trHeight w:val="237"/>
        </w:trPr>
        <w:tc>
          <w:tcPr>
            <w:tcW w:w="2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318"/>
        </w:trPr>
        <w:tc>
          <w:tcPr>
            <w:tcW w:w="2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ind w:left="180" w:hanging="172"/>
        <w:spacing w:after="0" w:line="206" w:lineRule="auto"/>
        <w:tabs>
          <w:tab w:leader="none" w:pos="180" w:val="left"/>
        </w:tabs>
        <w:numPr>
          <w:ilvl w:val="0"/>
          <w:numId w:val="1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for Global Notes only.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CONVERSION NOTICE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LIFE360 SOFTWARE,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0.00% Convertible Senior Notes due 2030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terms of the Indenture, by executing and delivering this Conversion Notice, the undersigned Holder of the Note identified below directs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Convert (check one):</w:t>
      </w:r>
    </w:p>
    <w:p>
      <w:pPr>
        <w:spacing w:after="0" w:line="207" w:lineRule="exact"/>
        <w:rPr>
          <w:sz w:val="20"/>
          <w:szCs w:val="20"/>
          <w:color w:val="auto"/>
        </w:rPr>
      </w:pPr>
    </w:p>
    <w:p>
      <w:pPr>
        <w:ind w:left="660" w:hanging="652"/>
        <w:spacing w:after="0"/>
        <w:tabs>
          <w:tab w:leader="none" w:pos="660" w:val="left"/>
        </w:tabs>
        <w:numPr>
          <w:ilvl w:val="0"/>
          <w:numId w:val="1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entire principal amount of</w:t>
      </w:r>
    </w:p>
    <w:p>
      <w:pPr>
        <w:spacing w:after="0" w:line="215" w:lineRule="exact"/>
        <w:rPr>
          <w:rFonts w:ascii="MS PGothic" w:cs="MS PGothic" w:eastAsia="MS PGothic" w:hAnsi="MS PGothic"/>
          <w:sz w:val="18"/>
          <w:szCs w:val="18"/>
          <w:color w:val="auto"/>
        </w:rPr>
      </w:pPr>
    </w:p>
    <w:p>
      <w:pPr>
        <w:ind w:left="660" w:hanging="652"/>
        <w:spacing w:after="0"/>
        <w:tabs>
          <w:tab w:leader="none" w:pos="660" w:val="left"/>
        </w:tabs>
        <w:numPr>
          <w:ilvl w:val="0"/>
          <w:numId w:val="1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$______</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aggregate principal amount of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 identified by CUSIP No. _____________ and Certificate No. _____________</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if the Conversion Date of a Note to be Converted is after a an Interest Record Date and before the next Interest Payment Date, then such Note, when surrendered for Conversion, must, in certain circumstances, be accompanied with an amount of cash equal to the Special Interest and Additional Interest, if any, that would have accrued on such Note to, but excluding, such Interest Payment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642048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20485" cy="17145"/>
                    </a:xfrm>
                    <a:prstGeom prst="rect">
                      <a:avLst/>
                    </a:prstGeom>
                    <a:noFill/>
                  </pic:spPr>
                </pic:pic>
              </a:graphicData>
            </a:graphic>
          </wp:anchor>
        </w:drawing>
      </w:r>
    </w:p>
    <w:p>
      <w:pPr>
        <w:spacing w:after="0" w:line="30"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26035</wp:posOffset>
            </wp:positionV>
            <wp:extent cx="284607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jc w:val="center"/>
        <w:ind w:left="15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163195</wp:posOffset>
            </wp:positionV>
            <wp:extent cx="32061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6"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color w:val="auto"/>
        </w:rPr>
        <w:t>Participant in a Recognized Signature</w:t>
      </w:r>
    </w:p>
    <w:p>
      <w:pPr>
        <w:spacing w:after="0" w:line="27"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-127635</wp:posOffset>
            </wp:positionV>
            <wp:extent cx="284607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178308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97" w:lineRule="exact"/>
        <w:rPr>
          <w:sz w:val="20"/>
          <w:szCs w:val="20"/>
          <w:color w:val="auto"/>
        </w:rPr>
      </w:pPr>
    </w:p>
    <w:p>
      <w:pPr>
        <w:ind w:left="180" w:hanging="172"/>
        <w:spacing w:after="0"/>
        <w:tabs>
          <w:tab w:leader="none" w:pos="180" w:val="left"/>
        </w:tabs>
        <w:numPr>
          <w:ilvl w:val="0"/>
          <w:numId w:val="1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Must be an Authorized Denomination.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FUNDAMENTAL CHANGE REPURCHASE NOTICE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LIFE360,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0.00% Convertible Senior Notes due 2030</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Subject to the terms of the Indenture, by executing and delivering this Fundamental Change Repurchase Notice, the undersigned Holder of the Note identified below is exercising its Fundamental Change Repurchase Right with respect to (check one):</w:t>
      </w:r>
    </w:p>
    <w:p>
      <w:pPr>
        <w:spacing w:after="0" w:line="162" w:lineRule="exact"/>
        <w:rPr>
          <w:sz w:val="20"/>
          <w:szCs w:val="20"/>
          <w:color w:val="auto"/>
        </w:rPr>
      </w:pPr>
    </w:p>
    <w:p>
      <w:pPr>
        <w:ind w:left="660" w:hanging="652"/>
        <w:spacing w:after="0"/>
        <w:tabs>
          <w:tab w:leader="none" w:pos="660" w:val="left"/>
        </w:tabs>
        <w:numPr>
          <w:ilvl w:val="0"/>
          <w:numId w:val="1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entire principal amount of</w:t>
      </w:r>
    </w:p>
    <w:p>
      <w:pPr>
        <w:spacing w:after="0" w:line="215" w:lineRule="exact"/>
        <w:rPr>
          <w:rFonts w:ascii="MS PGothic" w:cs="MS PGothic" w:eastAsia="MS PGothic" w:hAnsi="MS PGothic"/>
          <w:sz w:val="18"/>
          <w:szCs w:val="18"/>
          <w:color w:val="auto"/>
        </w:rPr>
      </w:pPr>
    </w:p>
    <w:p>
      <w:pPr>
        <w:ind w:left="660" w:hanging="652"/>
        <w:spacing w:after="0"/>
        <w:tabs>
          <w:tab w:leader="none" w:pos="660" w:val="left"/>
        </w:tabs>
        <w:numPr>
          <w:ilvl w:val="0"/>
          <w:numId w:val="1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$______</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aggregate principal amount of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 identified by CUSIP No. _____________ and Certificate No. _____________</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if the Conversion Date of a Note to be Converted is after a an Interest Record Date and before the next Interest Payment Date, then such Note, when surrendered for Conversion, must, in certain circumstances, be accompanied with an amount of cash equal to the Special Interest and Additional Interest, if any, that would have accrued on such Note to, but excluding, such Interest Payment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642048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20485" cy="17145"/>
                    </a:xfrm>
                    <a:prstGeom prst="rect">
                      <a:avLst/>
                    </a:prstGeom>
                    <a:noFill/>
                  </pic:spPr>
                </pic:pic>
              </a:graphicData>
            </a:graphic>
          </wp:anchor>
        </w:drawing>
      </w:r>
    </w:p>
    <w:p>
      <w:pPr>
        <w:spacing w:after="0" w:line="30"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26035</wp:posOffset>
            </wp:positionV>
            <wp:extent cx="284607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jc w:val="center"/>
        <w:ind w:left="15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163195</wp:posOffset>
            </wp:positionV>
            <wp:extent cx="32061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6"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color w:val="auto"/>
        </w:rPr>
        <w:t>Participant in a Recognized Signature</w:t>
      </w:r>
    </w:p>
    <w:p>
      <w:pPr>
        <w:spacing w:after="0" w:line="27"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-127635</wp:posOffset>
            </wp:positionV>
            <wp:extent cx="284607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178308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97" w:lineRule="exact"/>
        <w:rPr>
          <w:sz w:val="20"/>
          <w:szCs w:val="20"/>
          <w:color w:val="auto"/>
        </w:rPr>
      </w:pPr>
    </w:p>
    <w:p>
      <w:pPr>
        <w:ind w:left="180" w:hanging="172"/>
        <w:spacing w:after="0"/>
        <w:tabs>
          <w:tab w:leader="none" w:pos="180" w:val="left"/>
        </w:tabs>
        <w:numPr>
          <w:ilvl w:val="0"/>
          <w:numId w:val="1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Must be an Authorized Denomination.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LIFE360, INC.</w:t>
      </w:r>
    </w:p>
    <w:p>
      <w:pPr>
        <w:spacing w:after="0" w:line="22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0.00% Convertible Senior Notes due 2030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terms of the Indenture, the undersigned Holder of the Note identified below assigns (check one):</w:t>
      </w:r>
    </w:p>
    <w:p>
      <w:pPr>
        <w:spacing w:after="0" w:line="225" w:lineRule="exact"/>
        <w:rPr>
          <w:sz w:val="20"/>
          <w:szCs w:val="20"/>
          <w:color w:val="auto"/>
        </w:rPr>
      </w:pPr>
    </w:p>
    <w:p>
      <w:pPr>
        <w:ind w:left="660" w:hanging="652"/>
        <w:spacing w:after="0"/>
        <w:tabs>
          <w:tab w:leader="none" w:pos="660" w:val="left"/>
        </w:tabs>
        <w:numPr>
          <w:ilvl w:val="0"/>
          <w:numId w:val="1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entire principal amount of</w:t>
      </w:r>
    </w:p>
    <w:p>
      <w:pPr>
        <w:spacing w:after="0" w:line="215" w:lineRule="exact"/>
        <w:rPr>
          <w:rFonts w:ascii="MS PGothic" w:cs="MS PGothic" w:eastAsia="MS PGothic" w:hAnsi="MS PGothic"/>
          <w:sz w:val="18"/>
          <w:szCs w:val="18"/>
          <w:color w:val="auto"/>
        </w:rPr>
      </w:pPr>
    </w:p>
    <w:p>
      <w:pPr>
        <w:ind w:left="660" w:hanging="652"/>
        <w:spacing w:after="0"/>
        <w:tabs>
          <w:tab w:leader="none" w:pos="660" w:val="left"/>
        </w:tabs>
        <w:numPr>
          <w:ilvl w:val="0"/>
          <w:numId w:val="1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$______</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aggregate principal amount of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 identified by CUSIP No. _____________ and Certificate No. _____________ and all rights thereunder, to:</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26035</wp:posOffset>
            </wp:positionV>
            <wp:extent cx="39173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917315" cy="17145"/>
                    </a:xfrm>
                    <a:prstGeom prst="rect">
                      <a:avLst/>
                    </a:prstGeom>
                    <a:noFill/>
                  </pic:spPr>
                </pic:pic>
              </a:graphicData>
            </a:graphic>
          </wp:anchor>
        </w:drawing>
      </w:r>
    </w:p>
    <w:p>
      <w:pPr>
        <w:spacing w:after="0" w:line="24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26035</wp:posOffset>
            </wp:positionV>
            <wp:extent cx="39173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917315" cy="17145"/>
                    </a:xfrm>
                    <a:prstGeom prst="rect">
                      <a:avLst/>
                    </a:prstGeom>
                    <a:noFill/>
                  </pic:spPr>
                </pic:pic>
              </a:graphicData>
            </a:graphic>
          </wp:anchor>
        </w:drawing>
      </w:r>
    </w:p>
    <w:p>
      <w:pPr>
        <w:spacing w:after="0" w:line="24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Social security or tax id.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26035</wp:posOffset>
            </wp:positionV>
            <wp:extent cx="39173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917315" cy="17145"/>
                    </a:xfrm>
                    <a:prstGeom prst="rect">
                      <a:avLst/>
                    </a:prstGeom>
                    <a:noFill/>
                  </pic:spPr>
                </pic:pic>
              </a:graphicData>
            </a:graphic>
          </wp:anchor>
        </w:drawing>
      </w:r>
    </w:p>
    <w:p>
      <w:pPr>
        <w:spacing w:after="0" w:line="24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and irrevocably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26035</wp:posOffset>
            </wp:positionV>
            <wp:extent cx="3566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agent to transfer the within Note on the books of the Company. The agent may substitute another to act for him/her.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642048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20485" cy="17145"/>
                    </a:xfrm>
                    <a:prstGeom prst="rect">
                      <a:avLst/>
                    </a:prstGeom>
                    <a:noFill/>
                  </pic:spPr>
                </pic:pic>
              </a:graphicData>
            </a:graphic>
          </wp:anchor>
        </w:drawing>
      </w:r>
    </w:p>
    <w:p>
      <w:pPr>
        <w:spacing w:after="0" w:line="30"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26035</wp:posOffset>
            </wp:positionV>
            <wp:extent cx="284607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jc w:val="center"/>
        <w:ind w:left="15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163195</wp:posOffset>
            </wp:positionV>
            <wp:extent cx="32061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6"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7"/>
          <w:szCs w:val="17"/>
          <w:color w:val="auto"/>
        </w:rPr>
        <w:t>Participant in a Recognized Signature</w:t>
      </w:r>
    </w:p>
    <w:p>
      <w:pPr>
        <w:spacing w:after="0" w:line="39"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-127635</wp:posOffset>
            </wp:positionV>
            <wp:extent cx="284607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178308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97" w:lineRule="exact"/>
        <w:rPr>
          <w:sz w:val="20"/>
          <w:szCs w:val="20"/>
          <w:color w:val="auto"/>
        </w:rPr>
      </w:pPr>
    </w:p>
    <w:p>
      <w:pPr>
        <w:ind w:left="180" w:hanging="172"/>
        <w:spacing w:after="0"/>
        <w:tabs>
          <w:tab w:leader="none" w:pos="180" w:val="left"/>
        </w:tabs>
        <w:numPr>
          <w:ilvl w:val="0"/>
          <w:numId w:val="1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Must be an Authorized Denomination.</w:t>
      </w:r>
    </w:p>
    <w:p>
      <w:pPr>
        <w:spacing w:after="0" w:line="3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color w:val="auto"/>
        </w:rPr>
        <w:t>TRANSFEROR ACKNOWLEDGMENT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within Note bears a Restricted Note Legend, the undersigned further certifies that (check one):</w:t>
      </w:r>
    </w:p>
    <w:p>
      <w:pPr>
        <w:spacing w:after="0" w:line="184" w:lineRule="exact"/>
        <w:rPr>
          <w:sz w:val="20"/>
          <w:szCs w:val="20"/>
          <w:color w:val="auto"/>
        </w:rPr>
      </w:pPr>
    </w:p>
    <w:p>
      <w:pPr>
        <w:ind w:left="340" w:hanging="332"/>
        <w:spacing w:after="0" w:line="207" w:lineRule="exact"/>
        <w:tabs>
          <w:tab w:leader="none" w:pos="340" w:val="left"/>
        </w:tabs>
        <w:numPr>
          <w:ilvl w:val="0"/>
          <w:numId w:val="1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made to the Company or a Subsidiary of the Company.</w:t>
      </w:r>
    </w:p>
    <w:p>
      <w:pPr>
        <w:spacing w:after="0" w:line="225" w:lineRule="exact"/>
        <w:rPr>
          <w:rFonts w:ascii="Times New Roman" w:cs="Times New Roman" w:eastAsia="Times New Roman" w:hAnsi="Times New Roman"/>
          <w:sz w:val="18"/>
          <w:szCs w:val="18"/>
          <w:color w:val="auto"/>
        </w:rPr>
      </w:pPr>
    </w:p>
    <w:p>
      <w:pPr>
        <w:ind w:left="660" w:hanging="652"/>
        <w:spacing w:after="0" w:line="245" w:lineRule="exact"/>
        <w:tabs>
          <w:tab w:leader="none" w:pos="336" w:val="left"/>
        </w:tabs>
        <w:numPr>
          <w:ilvl w:val="0"/>
          <w:numId w:val="1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made pursuant to, and in accordance with, a registration statement that is effective under the Securities Act at the time of the Transfer.</w:t>
      </w:r>
    </w:p>
    <w:p>
      <w:pPr>
        <w:spacing w:after="0" w:line="158" w:lineRule="exact"/>
        <w:rPr>
          <w:rFonts w:ascii="Times New Roman" w:cs="Times New Roman" w:eastAsia="Times New Roman" w:hAnsi="Times New Roman"/>
          <w:sz w:val="18"/>
          <w:szCs w:val="18"/>
          <w:color w:val="auto"/>
        </w:rPr>
      </w:pPr>
    </w:p>
    <w:p>
      <w:pPr>
        <w:ind w:left="660" w:hanging="652"/>
        <w:spacing w:after="0" w:line="228" w:lineRule="exact"/>
        <w:tabs>
          <w:tab w:leader="none" w:pos="336" w:val="left"/>
        </w:tabs>
        <w:numPr>
          <w:ilvl w:val="0"/>
          <w:numId w:val="1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made pursuant to, and in accordance with, Rule 144A under the Securities Act, and, accordingly, the undersigned further certifies that the within Note is being transferred to a Person that the undersigned reasonably believes is purchasing the within Note for its own account, or for one or more accounts with respect to which such Person exercises sole investment discretion, and such Person and each such account is a Person reasonably believed to be a “qualified institutional buyer” within the meaning of Rule 144A under the Securities Act in a transaction meeting the requirements of Rule 144A.</w:t>
      </w:r>
    </w:p>
    <w:p>
      <w:pPr>
        <w:spacing w:after="0" w:line="157" w:lineRule="exact"/>
        <w:rPr>
          <w:rFonts w:ascii="Times New Roman" w:cs="Times New Roman" w:eastAsia="Times New Roman" w:hAnsi="Times New Roman"/>
          <w:sz w:val="18"/>
          <w:szCs w:val="18"/>
          <w:color w:val="auto"/>
        </w:rPr>
      </w:pPr>
    </w:p>
    <w:p>
      <w:pPr>
        <w:ind w:left="660" w:hanging="652"/>
        <w:spacing w:after="0" w:line="245" w:lineRule="exact"/>
        <w:tabs>
          <w:tab w:leader="none" w:pos="336" w:val="left"/>
        </w:tabs>
        <w:numPr>
          <w:ilvl w:val="0"/>
          <w:numId w:val="1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made pursuant to, and in accordance with, any other available exemption from the registration requirements of the Securities Act (including, if available, the exemption provided by Rule 144 under the Securities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355727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557270" cy="1714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26035</wp:posOffset>
            </wp:positionV>
            <wp:extent cx="32061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73"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32061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jc w:val="center"/>
        <w:ind w:right="97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3566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46"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(Participant in a Recognized Signature</w:t>
      </w:r>
    </w:p>
    <w:p>
      <w:pPr>
        <w:spacing w:after="0" w:line="27"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32061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color w:val="auto"/>
        </w:rPr>
        <w:t>EXHIBIT B-1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RESTRICTED NOTE LEGEND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OFFER AND SALE OF THIS NOTE AND THE SHARES OF COMMON STOCK, IF ANY, ISSUABLE UPON CONVERSION OF THIS NOTE HAVE NOT BEEN REGISTERED UNDER THE SECURITIES ACT OF 1933, AS AMENDED (THE “SECURITIES ACT”), AND THIS NOTE MAY NOT BE OFFERED, SOLD OR OTHERWISE TRANSFERRED EXCEPT IN ACCORDANCE WITH THE FOLLOWING SENTENCE. BY ITS ACQUISITION HEREOF OR OF A BENEFICIAL INTEREST HEREIN, THE ACQUIRER:</w:t>
      </w:r>
    </w:p>
    <w:p>
      <w:pPr>
        <w:spacing w:after="0" w:line="180" w:lineRule="exact"/>
        <w:rPr>
          <w:sz w:val="20"/>
          <w:szCs w:val="20"/>
          <w:color w:val="auto"/>
        </w:rPr>
      </w:pPr>
    </w:p>
    <w:p>
      <w:pPr>
        <w:jc w:val="both"/>
        <w:ind w:left="660" w:hanging="652"/>
        <w:spacing w:after="0" w:line="266"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FOR THE BENEFIT OF THE COMPANY THAT IT WILL NOT OFFER, SELL OR OTHERWISE TRANSFER THIS NOTE OR ANY BENEFICIAL INTEREST HEREIN, EXCEPT ONLY: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IS EFFECTIVE UNDER THE SECURITIES ACT;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PERSON REASONABLY BELIEVED TO BE A QUALIFIED INSTITUTIONAL BUYER IN COMPLIANCE WITH RULE 144A UNDER THE SECURITIES ACT;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144 UNDER THE SECURITIES ACT; OR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OTHER EXEMPTION FROM, OR IN A TRANSACTION NOT SUBJECT TO, THE REGISTRATION REQUIREMENTS OF THE SECURITIES ACT.</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BEFORE THE REGISTRATION OF ANY SALE OR TRANSFER IN ACCORDANCE WITH (2)(D) OR (E) ABOVE, THE COMPANY, THE TRUSTEE AND THE REGISTRAR RESERVE THE RIGHT TO REQUIRE THE DELIVERY OF SUCH CERTIFICATES OR OTHER DOCUMENTATION OR EVIDENCE AS THEY MAY REASONABLY REQUIRE IN ORDER TO DETERMINE THAT THE PROPOSED SALE OR TRANSFER IS BEING MADE IN COMPLIANCE WITH THE SECURITIES ACT AND APPLICABLE STATE SECURITIES LAWS.</w:t>
      </w:r>
      <w:r>
        <w:rPr>
          <w:rFonts w:ascii="Times New Roman" w:cs="Times New Roman" w:eastAsia="Times New Roman" w:hAnsi="Times New Roman"/>
          <w:sz w:val="29"/>
          <w:szCs w:val="2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78308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9" w:lineRule="exact"/>
        <w:rPr>
          <w:sz w:val="20"/>
          <w:szCs w:val="20"/>
          <w:color w:val="auto"/>
        </w:rPr>
      </w:pPr>
    </w:p>
    <w:p>
      <w:pPr>
        <w:ind w:left="340" w:hanging="332"/>
        <w:spacing w:after="0" w:line="195" w:lineRule="auto"/>
        <w:tabs>
          <w:tab w:leader="none" w:pos="340" w:val="left"/>
        </w:tabs>
        <w:numPr>
          <w:ilvl w:val="0"/>
          <w:numId w:val="1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paragraph and the immediately preceding paragraph will be deemed to be removed from the face of this Note at such time when the Company delivers written notice to the Trustee of such deemed removal pursuant to Section 2.12 of the within-mentioned Indenture.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color w:val="auto"/>
        </w:rPr>
        <w:t>EXHIBIT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GLOBAL NOTE LEGEND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ARTICLE 2 OF THE INDENTURE HEREINAFTER REFERRED TO.</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color w:val="auto"/>
        </w:rPr>
        <w:t>EXHIBIT B-3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NON-AFFILIATE LEGEND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AFFILIATE (AS DEFINED IN RULE 144 UNDER THE SECURITIES ACT OF 1933, AS AMENDED) OF THE COMPANY OR PERSON THAT HAS BEEN AN AFFILIATE (AS DEFINED IN RULE 144 UNDER THE SECURITIES ACT) OF THE COMPANY DURING THE IMMEDIATELY PRECEDING THREE MONTHS MAY PURCHASE OR OTHERWISE ACQUIRE THIS NOTE OR ANY BENEFICIAL INTEREST HEREIN.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ind w:left="10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4.2</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ARTICLE 2 OF THE INDENTURE HEREINAFTER REFERRED TO.</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OFFER AND SALE OF THIS NOTE AND THE SHARES OF COMMON STOCK, IF ANY, ISSUABLE UPON CONVERSION OF THIS NOTE HAVE NOT BEEN REGISTERED UNDER THE SECURITIES ACT OF 1933, AS AMENDED (THE “SECURITIES ACT”), AND THIS NOTE MAY NOT BE OFFERED, SOLD OR OTHERWISE TRANSFERRED EXCEPT IN ACCORDANCE WITH THE FOLLOWING SENTENCE. BY ITS ACQUISITION HEREOF OR OF A BENEFICIAL INTEREST HEREIN, THE ACQUIRER:</w:t>
      </w:r>
    </w:p>
    <w:p>
      <w:pPr>
        <w:spacing w:after="0" w:line="180" w:lineRule="exact"/>
        <w:rPr>
          <w:sz w:val="20"/>
          <w:szCs w:val="20"/>
          <w:color w:val="auto"/>
        </w:rPr>
      </w:pPr>
    </w:p>
    <w:p>
      <w:pPr>
        <w:jc w:val="both"/>
        <w:ind w:left="660" w:hanging="652"/>
        <w:spacing w:after="0" w:line="266"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FOR THE BENEFIT OF THE COMPANY THAT IT WILL NOT OFFER, SELL OR OTHERWISE TRANSFER THIS NOTE OR ANY BENEFICIAL INTEREST HEREIN, EXCEPT ONLY: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IS EFFECTIVE UNDER THE SECURITIES ACT;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PERSON REASONABLY BELIEVED TO BE A QUALIFIED INSTITUTIONAL BUYER IN COMPLIANCE WITH RULE 144A UNDER THE SECURITIES ACT;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144 UNDER THE SECURITIES ACT; OR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OTHER EXEMPTION FROM, OR IN A TRANSACTION NOT SUBJECT TO, THE REGISTRATION REQUIREMENTS OF THE SECURITIES ACT.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THE REGISTRATION OF ANY SALE OR TRANSFER IN ACCORDANCE WITH (2)(D) OR (E) ABOVE, THE COMPANY, THE TRUSTEE AND THE REGISTRAR RESERVE THE RIGHT TO REQUIRE THE DELIVERY OF SUCH CERTIFICATES OR OTHER DOCUMENTATION OR EVIDENCE AS THEY MAY REASONABLY REQUIRE IN ORDER TO DETERMINE THAT THE PROPOSED SALE OR TRANSFER IS BEING MADE IN COMPLIANCE WITH THE SECURITIES ACT AND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2" w:name="page93"/>
    <w:bookmarkEnd w:id="92"/>
    <w:p>
      <w:pPr>
        <w:jc w:val="both"/>
        <w:spacing w:after="0" w:line="266" w:lineRule="auto"/>
        <w:rPr>
          <w:sz w:val="20"/>
          <w:szCs w:val="20"/>
          <w:color w:val="auto"/>
        </w:rPr>
      </w:pPr>
      <w:r>
        <w:rPr>
          <w:rFonts w:ascii="Times New Roman" w:cs="Times New Roman" w:eastAsia="Times New Roman" w:hAnsi="Times New Roman"/>
          <w:sz w:val="18"/>
          <w:szCs w:val="18"/>
          <w:color w:val="auto"/>
        </w:rPr>
        <w:t>NO AFFILIATE (AS DEFINED IN RULE 144 UNDER THE SECURITIES ACT OF 1933, AS AMENDED) OF THE COMPANY OR PERSON THAT HAS BEEN AN AFFILIATE (AS DEFINED IN RULE 144 UNDER THE SECURITIES ACT) OF THE COMPANY DURING THE IMMEDIATELY PRECEDING THREE MONTHS MAY PURCHASE OR OTHERWISE ACQUIRE THIS NOTE OR ANY BENEFICIAL INTEREST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0.00% Convertible Senior Note due 2030</w:t>
      </w:r>
    </w:p>
    <w:p>
      <w:pPr>
        <w:sectPr>
          <w:pgSz w:w="11900" w:h="16838" w:orient="portrait"/>
          <w:cols w:equalWidth="0" w:num="1">
            <w:col w:w="11240"/>
          </w:cols>
          <w:pgMar w:left="320" w:top="117" w:right="33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ISIN No.:</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532206 AB5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US532206AB50</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Certificate No. R-1</w:t>
      </w:r>
    </w:p>
    <w:p>
      <w:pPr>
        <w:spacing w:after="0" w:line="445" w:lineRule="exact"/>
        <w:rPr>
          <w:sz w:val="20"/>
          <w:szCs w:val="20"/>
          <w:color w:val="auto"/>
        </w:rPr>
      </w:pPr>
    </w:p>
    <w:p>
      <w:pPr>
        <w:sectPr>
          <w:pgSz w:w="11900" w:h="16838" w:orient="portrait"/>
          <w:cols w:equalWidth="0" w:num="3">
            <w:col w:w="880" w:space="140"/>
            <w:col w:w="8120" w:space="720"/>
            <w:col w:w="1380"/>
          </w:cols>
          <w:pgMar w:left="320" w:top="117" w:right="339" w:bottom="1440" w:gutter="0" w:footer="0" w:header="0"/>
          <w:type w:val="continuous"/>
        </w:sectPr>
      </w:pPr>
    </w:p>
    <w:p>
      <w:pPr>
        <w:spacing w:after="0" w:line="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Life360, Inc., a Delaware corporation, for value received, promises to pay to Cede &amp; Co., or its registered assigns, the principal sum of </w:t>
      </w:r>
      <w:r>
        <w:rPr>
          <w:rFonts w:ascii="Times New Roman" w:cs="Times New Roman" w:eastAsia="Times New Roman" w:hAnsi="Times New Roman"/>
          <w:sz w:val="18"/>
          <w:szCs w:val="18"/>
          <w:b w:val="1"/>
          <w:bCs w:val="1"/>
          <w:color w:val="auto"/>
        </w:rPr>
        <w:t>three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hundred and twenty million dollars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$320,000,000</w:t>
      </w:r>
      <w:r>
        <w:rPr>
          <w:rFonts w:ascii="Times New Roman" w:cs="Times New Roman" w:eastAsia="Times New Roman" w:hAnsi="Times New Roman"/>
          <w:sz w:val="18"/>
          <w:szCs w:val="18"/>
          <w:color w:val="auto"/>
        </w:rPr>
        <w:t>) on June 1, 2030 and to the extent applicable, to pay Special Interest and Additional Interest thereon,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provided in the Indenture referred to below, until the principal and all accrued and unpaid interest, if any, are paid or duly provided for.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 June 1 and December 1 of each year</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Record Dates: May 15 and November 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provisions of this Note are set forth on the other side of this Note.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Remainder of This Page Intentionally Left Blank; 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4" w:name="page95"/>
    <w:bookmarkEnd w:id="94"/>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Life360 Software, Inc. has caused this instrument to be duly executed as of the date set forth below.</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LIFE360, INC.</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677227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95" w:name="page96"/>
    <w:bookmarkEnd w:id="95"/>
    <w:p>
      <w:pPr>
        <w:ind w:left="3620"/>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Bank Trust Company, National Association, as Trustee, certifies that this is one of the Notes referred to in the within-mentioned Indenture.</w:t>
      </w:r>
    </w:p>
    <w:p>
      <w:pPr>
        <w:spacing w:after="0" w:line="23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2048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4204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320" w:top="121" w:right="121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0.00% Convertible Senior Note due 2030</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Note is one of a duly authorized issue of notes of Life360,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designated as its 0.00% Convertible Senior Notes due 2030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xml:space="preserve">”), all issued or to be issued pursuant to an indenture, dated as of June 5, 2025 (as the same may be amended from time to time,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U.S. Bank Trust Company, National Association, as trustee. Capitalized terms used in this Note without definition have the respective meanings ascribed to them in the Indenture.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sets forth the rights and obligations of the Company, the Trustee and the Holders and the terms of the Notes. Notwithstanding anything to the contrary in this Note, to the extent that any provision of this Note conflicts with the provisions of the Indenture, the provisions of the Indenture will control.</w:t>
      </w:r>
    </w:p>
    <w:p>
      <w:pPr>
        <w:spacing w:after="0" w:line="388" w:lineRule="exact"/>
        <w:rPr>
          <w:sz w:val="20"/>
          <w:szCs w:val="20"/>
          <w:color w:val="auto"/>
        </w:rPr>
      </w:pPr>
    </w:p>
    <w:p>
      <w:pPr>
        <w:ind w:right="160" w:firstLine="656"/>
        <w:spacing w:after="0" w:line="286" w:lineRule="auto"/>
        <w:tabs>
          <w:tab w:leader="none" w:pos="132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Interest. </w:t>
      </w:r>
      <w:r>
        <w:rPr>
          <w:rFonts w:ascii="Times New Roman" w:cs="Times New Roman" w:eastAsia="Times New Roman" w:hAnsi="Times New Roman"/>
          <w:sz w:val="18"/>
          <w:szCs w:val="18"/>
          <w:color w:val="auto"/>
        </w:rPr>
        <w:t>This Note will not bear regular interest, and the principal amount of this Note will not accrete. Special Interest and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Interest will accrue on this Note in the circumstances, at the rates, and payable on the dates, set forth in </w:t>
      </w:r>
      <w:r>
        <w:rPr>
          <w:rFonts w:ascii="Times New Roman" w:cs="Times New Roman" w:eastAsia="Times New Roman" w:hAnsi="Times New Roman"/>
          <w:sz w:val="18"/>
          <w:szCs w:val="18"/>
          <w:b w:val="1"/>
          <w:bCs w:val="1"/>
          <w:color w:val="auto"/>
        </w:rPr>
        <w:t>Sections 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7.03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3.04</w:t>
      </w:r>
      <w:r>
        <w:rPr>
          <w:rFonts w:ascii="Times New Roman" w:cs="Times New Roman" w:eastAsia="Times New Roman" w:hAnsi="Times New Roman"/>
          <w:sz w:val="18"/>
          <w:szCs w:val="18"/>
          <w:color w:val="auto"/>
        </w:rPr>
        <w:t xml:space="preserve"> of the Indenture.</w:t>
      </w:r>
      <w:r>
        <w:rPr>
          <w:rFonts w:ascii="Times New Roman" w:cs="Times New Roman" w:eastAsia="Times New Roman" w:hAnsi="Times New Roman"/>
          <w:sz w:val="18"/>
          <w:szCs w:val="18"/>
          <w:i w:val="1"/>
          <w:iCs w:val="1"/>
          <w:color w:val="auto"/>
        </w:rPr>
        <w:t>.</w:t>
      </w:r>
    </w:p>
    <w:p>
      <w:pPr>
        <w:spacing w:after="0" w:line="154"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Maturity. </w:t>
      </w:r>
      <w:r>
        <w:rPr>
          <w:rFonts w:ascii="Times New Roman" w:cs="Times New Roman" w:eastAsia="Times New Roman" w:hAnsi="Times New Roman"/>
          <w:sz w:val="18"/>
          <w:szCs w:val="18"/>
          <w:color w:val="auto"/>
        </w:rPr>
        <w:t>This Note will mature on June 1, 2030, unless earlier repurchased, redeemed or Converted.</w:t>
      </w:r>
    </w:p>
    <w:p>
      <w:pPr>
        <w:spacing w:after="0" w:line="22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Method of Payment. </w:t>
      </w:r>
      <w:r>
        <w:rPr>
          <w:rFonts w:ascii="Times New Roman" w:cs="Times New Roman" w:eastAsia="Times New Roman" w:hAnsi="Times New Roman"/>
          <w:sz w:val="18"/>
          <w:szCs w:val="18"/>
          <w:color w:val="auto"/>
        </w:rPr>
        <w:t>Cash amounts due on this Note will be paid in the manner set forth in Section 2.04 of the Indenture.</w:t>
      </w:r>
    </w:p>
    <w:p>
      <w:pPr>
        <w:spacing w:after="0" w:line="22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Persons Deemed Owners. </w:t>
      </w:r>
      <w:r>
        <w:rPr>
          <w:rFonts w:ascii="Times New Roman" w:cs="Times New Roman" w:eastAsia="Times New Roman" w:hAnsi="Times New Roman"/>
          <w:sz w:val="18"/>
          <w:szCs w:val="18"/>
          <w:color w:val="auto"/>
        </w:rPr>
        <w:t>The Holder of this Note will be treated as the owner of this Note for all purposes.</w:t>
      </w:r>
    </w:p>
    <w:p>
      <w:pPr>
        <w:spacing w:after="0" w:line="225" w:lineRule="exact"/>
        <w:rPr>
          <w:rFonts w:ascii="Times New Roman" w:cs="Times New Roman" w:eastAsia="Times New Roman" w:hAnsi="Times New Roman"/>
          <w:sz w:val="18"/>
          <w:szCs w:val="18"/>
          <w:color w:val="auto"/>
        </w:rPr>
      </w:pPr>
    </w:p>
    <w:p>
      <w:pPr>
        <w:ind w:right="280" w:firstLine="656"/>
        <w:spacing w:after="0" w:line="268" w:lineRule="auto"/>
        <w:tabs>
          <w:tab w:leader="none" w:pos="132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Denominations; Transfers and Exchanges. </w:t>
      </w:r>
      <w:r>
        <w:rPr>
          <w:rFonts w:ascii="Times New Roman" w:cs="Times New Roman" w:eastAsia="Times New Roman" w:hAnsi="Times New Roman"/>
          <w:sz w:val="18"/>
          <w:szCs w:val="18"/>
          <w:color w:val="auto"/>
        </w:rPr>
        <w:t>All Notes will be in registered form, without coupons, in principal amounts equal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Denominations. Subject to the terms of the Indenture, the Holder of this Note may transfer or exchange this Note by presenting it to the Registrar and delivering any required documentation or other materials.</w:t>
      </w:r>
    </w:p>
    <w:p>
      <w:pPr>
        <w:spacing w:after="0" w:line="170" w:lineRule="exact"/>
        <w:rPr>
          <w:rFonts w:ascii="Times New Roman" w:cs="Times New Roman" w:eastAsia="Times New Roman" w:hAnsi="Times New Roman"/>
          <w:sz w:val="18"/>
          <w:szCs w:val="18"/>
          <w:color w:val="auto"/>
        </w:rPr>
      </w:pPr>
    </w:p>
    <w:p>
      <w:pPr>
        <w:jc w:val="both"/>
        <w:ind w:right="20" w:firstLine="656"/>
        <w:spacing w:after="0" w:line="268" w:lineRule="auto"/>
        <w:tabs>
          <w:tab w:leader="none" w:pos="132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 of Holders to Require the Company to Repurchase Notes Upon a Fundamental Change. </w:t>
      </w:r>
      <w:r>
        <w:rPr>
          <w:rFonts w:ascii="Times New Roman" w:cs="Times New Roman" w:eastAsia="Times New Roman" w:hAnsi="Times New Roman"/>
          <w:sz w:val="18"/>
          <w:szCs w:val="18"/>
          <w:color w:val="auto"/>
        </w:rPr>
        <w:t>If a Fundamental Change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Exempted Fundamental Change) occurs, then each Holder will have the right to require the Company to repurchase such Holder’s Notes (or any portion thereof in an Authorized Denomination) for cash in the manner, and subject to the terms, set forth in Section 4.02 of the Indenture.</w:t>
      </w:r>
    </w:p>
    <w:p>
      <w:pPr>
        <w:spacing w:after="0" w:line="170" w:lineRule="exact"/>
        <w:rPr>
          <w:rFonts w:ascii="Times New Roman" w:cs="Times New Roman" w:eastAsia="Times New Roman" w:hAnsi="Times New Roman"/>
          <w:sz w:val="18"/>
          <w:szCs w:val="18"/>
          <w:color w:val="auto"/>
        </w:rPr>
      </w:pPr>
    </w:p>
    <w:p>
      <w:pPr>
        <w:ind w:right="80" w:firstLine="656"/>
        <w:spacing w:after="0" w:line="286" w:lineRule="auto"/>
        <w:tabs>
          <w:tab w:leader="none" w:pos="132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 of the Company to Redeem the Notes. </w:t>
      </w:r>
      <w:r>
        <w:rPr>
          <w:rFonts w:ascii="Times New Roman" w:cs="Times New Roman" w:eastAsia="Times New Roman" w:hAnsi="Times New Roman"/>
          <w:sz w:val="18"/>
          <w:szCs w:val="18"/>
          <w:color w:val="auto"/>
        </w:rPr>
        <w:t>The Company will have the right to redeem the Notes for cash in the manner, and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terms, set forth in Section 4.03 of the Indenture.</w:t>
      </w:r>
    </w:p>
    <w:p>
      <w:pPr>
        <w:spacing w:after="0" w:line="154" w:lineRule="exact"/>
        <w:rPr>
          <w:rFonts w:ascii="Times New Roman" w:cs="Times New Roman" w:eastAsia="Times New Roman" w:hAnsi="Times New Roman"/>
          <w:sz w:val="18"/>
          <w:szCs w:val="18"/>
          <w:color w:val="auto"/>
        </w:rPr>
      </w:pPr>
    </w:p>
    <w:p>
      <w:pPr>
        <w:ind w:right="180" w:firstLine="656"/>
        <w:spacing w:after="0" w:line="286" w:lineRule="auto"/>
        <w:tabs>
          <w:tab w:leader="none" w:pos="132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Conversion. </w:t>
      </w:r>
      <w:r>
        <w:rPr>
          <w:rFonts w:ascii="Times New Roman" w:cs="Times New Roman" w:eastAsia="Times New Roman" w:hAnsi="Times New Roman"/>
          <w:sz w:val="18"/>
          <w:szCs w:val="18"/>
          <w:color w:val="auto"/>
        </w:rPr>
        <w:t>The Holder of this Note may Convert this Note into Conversion Consideration in the manner, and subject to the terms,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Article 5 of the Indenture.</w:t>
      </w:r>
    </w:p>
    <w:p>
      <w:pPr>
        <w:spacing w:after="0" w:line="154" w:lineRule="exact"/>
        <w:rPr>
          <w:rFonts w:ascii="Times New Roman" w:cs="Times New Roman" w:eastAsia="Times New Roman" w:hAnsi="Times New Roman"/>
          <w:sz w:val="18"/>
          <w:szCs w:val="18"/>
          <w:color w:val="auto"/>
        </w:rPr>
      </w:pPr>
    </w:p>
    <w:p>
      <w:pPr>
        <w:ind w:right="160" w:firstLine="656"/>
        <w:spacing w:after="0" w:line="286" w:lineRule="auto"/>
        <w:tabs>
          <w:tab w:leader="none" w:pos="132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When the Company May Merge, Etc. </w:t>
      </w:r>
      <w:r>
        <w:rPr>
          <w:rFonts w:ascii="Times New Roman" w:cs="Times New Roman" w:eastAsia="Times New Roman" w:hAnsi="Times New Roman"/>
          <w:sz w:val="18"/>
          <w:szCs w:val="18"/>
          <w:color w:val="auto"/>
        </w:rPr>
        <w:t>Article 6 of the Indenture places limited restrictions on the Company’s ability to be a party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Combination Event.</w:t>
      </w:r>
    </w:p>
    <w:p>
      <w:pPr>
        <w:spacing w:after="0" w:line="154" w:lineRule="exact"/>
        <w:rPr>
          <w:rFonts w:ascii="Times New Roman" w:cs="Times New Roman" w:eastAsia="Times New Roman" w:hAnsi="Times New Roman"/>
          <w:sz w:val="18"/>
          <w:szCs w:val="18"/>
          <w:color w:val="auto"/>
        </w:rPr>
      </w:pPr>
    </w:p>
    <w:p>
      <w:pPr>
        <w:ind w:right="20" w:firstLine="656"/>
        <w:spacing w:after="0" w:line="268" w:lineRule="auto"/>
        <w:tabs>
          <w:tab w:leader="none" w:pos="132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Defaults and Remedies. </w:t>
      </w:r>
      <w:r>
        <w:rPr>
          <w:rFonts w:ascii="Times New Roman" w:cs="Times New Roman" w:eastAsia="Times New Roman" w:hAnsi="Times New Roman"/>
          <w:sz w:val="18"/>
          <w:szCs w:val="18"/>
          <w:color w:val="auto"/>
        </w:rPr>
        <w:t>If an Event of Default occurs, then the principal amount of, and all accrued and unpaid interest, if any, on,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Notes then outstanding may (and, in certain circumstances, will automatically) become due and payable in the manner, and subject to the terms, set forth in Article 7 of the Indenture.</w:t>
      </w:r>
    </w:p>
    <w:p>
      <w:pPr>
        <w:spacing w:after="0" w:line="170" w:lineRule="exact"/>
        <w:rPr>
          <w:rFonts w:ascii="Times New Roman" w:cs="Times New Roman" w:eastAsia="Times New Roman" w:hAnsi="Times New Roman"/>
          <w:sz w:val="18"/>
          <w:szCs w:val="18"/>
          <w:color w:val="auto"/>
        </w:rPr>
      </w:pPr>
    </w:p>
    <w:p>
      <w:pPr>
        <w:jc w:val="both"/>
        <w:ind w:firstLine="656"/>
        <w:spacing w:after="0" w:line="317" w:lineRule="auto"/>
        <w:tabs>
          <w:tab w:leader="none" w:pos="1316"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Amendments, Supplements and Waivers. </w:t>
      </w:r>
      <w:r>
        <w:rPr>
          <w:rFonts w:ascii="Times New Roman" w:cs="Times New Roman" w:eastAsia="Times New Roman" w:hAnsi="Times New Roman"/>
          <w:sz w:val="17"/>
          <w:szCs w:val="17"/>
          <w:color w:val="auto"/>
        </w:rPr>
        <w:t>The Company and the Trustee may amend or supplement the Indenture or the Notes or waive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compliance with any provision of the Indenture or the Notes in the manner, and subject to the terms, set forth in Section 7.05 and Article 8 of the Indenture.</w:t>
      </w:r>
    </w:p>
    <w:p>
      <w:pPr>
        <w:spacing w:after="0" w:line="131" w:lineRule="exact"/>
        <w:rPr>
          <w:rFonts w:ascii="Times New Roman" w:cs="Times New Roman" w:eastAsia="Times New Roman" w:hAnsi="Times New Roman"/>
          <w:sz w:val="17"/>
          <w:szCs w:val="17"/>
          <w:color w:val="auto"/>
        </w:rPr>
      </w:pPr>
    </w:p>
    <w:p>
      <w:pPr>
        <w:ind w:right="60" w:firstLine="656"/>
        <w:spacing w:after="0" w:line="262" w:lineRule="auto"/>
        <w:tabs>
          <w:tab w:leader="none" w:pos="132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Personal Liability of Directors, Officers, Employees and Stockholders. </w:t>
      </w:r>
      <w:r>
        <w:rPr>
          <w:rFonts w:ascii="Times New Roman" w:cs="Times New Roman" w:eastAsia="Times New Roman" w:hAnsi="Times New Roman"/>
          <w:sz w:val="18"/>
          <w:szCs w:val="18"/>
          <w:color w:val="auto"/>
        </w:rPr>
        <w:t>No past, present or future director, officer,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incorporator or stockholder of the Company, as such, will have any liability for any obligations of the Company under the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ind w:right="20" w:firstLine="656"/>
        <w:spacing w:after="0" w:line="286" w:lineRule="auto"/>
        <w:tabs>
          <w:tab w:leader="none" w:pos="132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Authentication. </w:t>
      </w:r>
      <w:r>
        <w:rPr>
          <w:rFonts w:ascii="Times New Roman" w:cs="Times New Roman" w:eastAsia="Times New Roman" w:hAnsi="Times New Roman"/>
          <w:sz w:val="18"/>
          <w:szCs w:val="18"/>
          <w:color w:val="auto"/>
        </w:rPr>
        <w:t>No Note will be valid until it is authenticated by the Trustee. A Note will be deemed to be duly authenticated only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authorized signatory of the Trustee (or a duly appointed authenticating agent) manually signs the certificate of authentication of such Note.</w:t>
      </w:r>
    </w:p>
    <w:p>
      <w:pPr>
        <w:spacing w:after="0" w:line="154" w:lineRule="exact"/>
        <w:rPr>
          <w:rFonts w:ascii="Times New Roman" w:cs="Times New Roman" w:eastAsia="Times New Roman" w:hAnsi="Times New Roman"/>
          <w:sz w:val="18"/>
          <w:szCs w:val="18"/>
          <w:color w:val="auto"/>
        </w:rPr>
      </w:pPr>
    </w:p>
    <w:p>
      <w:pPr>
        <w:ind w:right="120" w:firstLine="656"/>
        <w:spacing w:after="0" w:line="268" w:lineRule="auto"/>
        <w:tabs>
          <w:tab w:leader="none" w:pos="132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Abbreviations. </w:t>
      </w:r>
      <w:r>
        <w:rPr>
          <w:rFonts w:ascii="Times New Roman" w:cs="Times New Roman" w:eastAsia="Times New Roman" w:hAnsi="Times New Roman"/>
          <w:sz w:val="18"/>
          <w:szCs w:val="18"/>
          <w:color w:val="auto"/>
        </w:rPr>
        <w:t>Customary abbreviations may be used in the name of a Holder or its assignee, such as TEN COM (tenants in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 ENT (tenants by the entireties), JT TEN (joint tenants with right of survivorship and not as tenants in common), CUST (custodian), and U/G/M/A (Uniform Gift to Minors Act).</w:t>
      </w:r>
    </w:p>
    <w:p>
      <w:pPr>
        <w:spacing w:after="0" w:line="170" w:lineRule="exact"/>
        <w:rPr>
          <w:rFonts w:ascii="Times New Roman" w:cs="Times New Roman" w:eastAsia="Times New Roman" w:hAnsi="Times New Roman"/>
          <w:sz w:val="18"/>
          <w:szCs w:val="18"/>
          <w:color w:val="auto"/>
        </w:rPr>
      </w:pPr>
    </w:p>
    <w:p>
      <w:pPr>
        <w:ind w:right="360" w:firstLine="656"/>
        <w:spacing w:after="0" w:line="286" w:lineRule="auto"/>
        <w:tabs>
          <w:tab w:leader="none" w:pos="132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NOTE, AND ANY CLAIM, CONTROVERSY OR DISPUTE ARISING UNDER OR RELATED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 WILL BE GOVERNED BY AND CONSTRUED IN ACCORDANCE WITH THE LAWS OF THE STATE OF NEW YORK.</w:t>
      </w:r>
    </w:p>
    <w:p>
      <w:pPr>
        <w:spacing w:after="0" w:line="158"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request a copy of the Indenture, which the Company will provide to any Holder at no charge, please send a written request to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Life360,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1900 South Norfolk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Suite 310, San Mateo,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California 94403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SCHEDULE OF EXCHANGES OF INTERESTS IN THE GLOBAL NOTE</w:t>
      </w:r>
    </w:p>
    <w:p>
      <w:pPr>
        <w:spacing w:after="0" w:line="22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INITIAL PRINCIPAL AMOUNT OF THIS GLOBAL NOTE: $320,000,000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exchanges, transfers or cancellations of this Global Note have been made: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Amount of Increase (Decrease)</w:t>
            </w: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Principal Amount of this</w:t>
            </w:r>
          </w:p>
        </w:tc>
        <w:tc>
          <w:tcPr>
            <w:tcW w:w="28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Principal Amount of this</w:t>
            </w: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Global Note After Such</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 Authorized</w:t>
            </w:r>
          </w:p>
        </w:tc>
      </w:tr>
      <w:tr>
        <w:trPr>
          <w:trHeight w:val="245"/>
        </w:trPr>
        <w:tc>
          <w:tcPr>
            <w:tcW w:w="260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Global Note</w:t>
            </w: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Increase (Decrease)</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Signatory of Trustee</w:t>
            </w:r>
          </w:p>
        </w:tc>
      </w:tr>
      <w:tr>
        <w:trPr>
          <w:trHeight w:val="223"/>
        </w:trPr>
        <w:tc>
          <w:tcPr>
            <w:tcW w:w="25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top w:val="single" w:sz="8" w:color="auto"/>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398"/>
        </w:trPr>
        <w:tc>
          <w:tcPr>
            <w:tcW w:w="2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CONVERSION NOTICE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LIFE360 SOFTWARE,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0.00% Convertible Senior Notes due 2030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terms of the Indenture, by executing and delivering this Conversion Notice, the undersigned Holder of the Note identified below directs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Convert (check one):</w:t>
      </w:r>
    </w:p>
    <w:p>
      <w:pPr>
        <w:spacing w:after="0" w:line="207" w:lineRule="exact"/>
        <w:rPr>
          <w:sz w:val="20"/>
          <w:szCs w:val="20"/>
          <w:color w:val="auto"/>
        </w:rPr>
      </w:pPr>
    </w:p>
    <w:p>
      <w:pPr>
        <w:ind w:left="660" w:hanging="652"/>
        <w:spacing w:after="0"/>
        <w:tabs>
          <w:tab w:leader="none" w:pos="660" w:val="left"/>
        </w:tabs>
        <w:numPr>
          <w:ilvl w:val="0"/>
          <w:numId w:val="13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entire principal amount of</w:t>
      </w:r>
    </w:p>
    <w:p>
      <w:pPr>
        <w:spacing w:after="0" w:line="215" w:lineRule="exact"/>
        <w:rPr>
          <w:rFonts w:ascii="MS PGothic" w:cs="MS PGothic" w:eastAsia="MS PGothic" w:hAnsi="MS PGothic"/>
          <w:sz w:val="18"/>
          <w:szCs w:val="18"/>
          <w:color w:val="auto"/>
        </w:rPr>
      </w:pPr>
    </w:p>
    <w:p>
      <w:pPr>
        <w:ind w:left="660" w:hanging="652"/>
        <w:spacing w:after="0"/>
        <w:tabs>
          <w:tab w:leader="none" w:pos="660" w:val="left"/>
        </w:tabs>
        <w:numPr>
          <w:ilvl w:val="0"/>
          <w:numId w:val="13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$______</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aggregate principal amount of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 identified by CUSIP No. _____________ and Certificate No. _____________</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if the Conversion Date of a Note to be Converted is after a an Interest Record Date and before the next Interest Payment Date, then such Note, when surrendered for Conversion, must, in certain circumstances, be accompanied with an amount of cash equal to the Special Interest and Additional Interest, if any, that would have accrued on such Note to, but excluding, such Interest Payment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677227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30"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26035</wp:posOffset>
            </wp:positionV>
            <wp:extent cx="319722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163195</wp:posOffset>
            </wp:positionV>
            <wp:extent cx="355727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46"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Participant in a Recognized Signature</w:t>
      </w:r>
    </w:p>
    <w:p>
      <w:pPr>
        <w:spacing w:after="0" w:line="27"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-127635</wp:posOffset>
            </wp:positionV>
            <wp:extent cx="284607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178308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97" w:lineRule="exact"/>
        <w:rPr>
          <w:sz w:val="20"/>
          <w:szCs w:val="20"/>
          <w:color w:val="auto"/>
        </w:rPr>
      </w:pPr>
    </w:p>
    <w:p>
      <w:pPr>
        <w:ind w:left="120" w:hanging="112"/>
        <w:spacing w:after="0"/>
        <w:tabs>
          <w:tab w:leader="none" w:pos="120" w:val="left"/>
        </w:tabs>
        <w:numPr>
          <w:ilvl w:val="0"/>
          <w:numId w:val="1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Must be an Authorized Denomination.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FUNDAMENTAL CHANGE REPURCHASE NOTICE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LIFE360,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0.00% Convertible Senior Notes due 2030</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Subject to the terms of the Indenture, by executing and delivering this Fundamental Change Repurchase Notice, the undersigned Holder of the Note identified below is exercising its Fundamental Change Repurchase Right with respect to (check one):</w:t>
      </w:r>
    </w:p>
    <w:p>
      <w:pPr>
        <w:spacing w:after="0" w:line="162" w:lineRule="exact"/>
        <w:rPr>
          <w:sz w:val="20"/>
          <w:szCs w:val="20"/>
          <w:color w:val="auto"/>
        </w:rPr>
      </w:pPr>
    </w:p>
    <w:p>
      <w:pPr>
        <w:ind w:left="660" w:hanging="652"/>
        <w:spacing w:after="0"/>
        <w:tabs>
          <w:tab w:leader="none" w:pos="660" w:val="left"/>
        </w:tabs>
        <w:numPr>
          <w:ilvl w:val="0"/>
          <w:numId w:val="14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entire principal amount of</w:t>
      </w:r>
    </w:p>
    <w:p>
      <w:pPr>
        <w:spacing w:after="0" w:line="215" w:lineRule="exact"/>
        <w:rPr>
          <w:rFonts w:ascii="MS PGothic" w:cs="MS PGothic" w:eastAsia="MS PGothic" w:hAnsi="MS PGothic"/>
          <w:sz w:val="18"/>
          <w:szCs w:val="18"/>
          <w:color w:val="auto"/>
        </w:rPr>
      </w:pPr>
    </w:p>
    <w:p>
      <w:pPr>
        <w:ind w:left="660" w:hanging="652"/>
        <w:spacing w:after="0"/>
        <w:tabs>
          <w:tab w:leader="none" w:pos="660" w:val="left"/>
        </w:tabs>
        <w:numPr>
          <w:ilvl w:val="0"/>
          <w:numId w:val="14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$______</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aggregate principal amount of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 identified by CUSIP No. _____________ and Certificate No. _____________</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this Note, duly endorsed for transfer, must be delivered to the Paying Agent before the Fundamental Change Repurchase Price will be paid.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677227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30"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26035</wp:posOffset>
            </wp:positionV>
            <wp:extent cx="319722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163195</wp:posOffset>
            </wp:positionV>
            <wp:extent cx="355727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46"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Participant in a Recognized Signature</w:t>
      </w:r>
    </w:p>
    <w:p>
      <w:pPr>
        <w:spacing w:after="0" w:line="27"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-127635</wp:posOffset>
            </wp:positionV>
            <wp:extent cx="284607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178308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97" w:lineRule="exact"/>
        <w:rPr>
          <w:sz w:val="20"/>
          <w:szCs w:val="20"/>
          <w:color w:val="auto"/>
        </w:rPr>
      </w:pPr>
    </w:p>
    <w:p>
      <w:pPr>
        <w:ind w:left="340" w:hanging="332"/>
        <w:spacing w:after="0"/>
        <w:tabs>
          <w:tab w:leader="none" w:pos="340" w:val="left"/>
        </w:tabs>
        <w:numPr>
          <w:ilvl w:val="0"/>
          <w:numId w:val="1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Must be an Authorized Denomination.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LIFE360, INC.</w:t>
      </w:r>
    </w:p>
    <w:p>
      <w:pPr>
        <w:spacing w:after="0" w:line="22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0.00% Convertible Senior Notes due 2030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terms of the Indenture, the undersigned Holder of the Note identified below assigns (check one):</w:t>
      </w:r>
    </w:p>
    <w:p>
      <w:pPr>
        <w:spacing w:after="0" w:line="225" w:lineRule="exact"/>
        <w:rPr>
          <w:sz w:val="20"/>
          <w:szCs w:val="20"/>
          <w:color w:val="auto"/>
        </w:rPr>
      </w:pPr>
    </w:p>
    <w:p>
      <w:pPr>
        <w:ind w:left="660" w:hanging="652"/>
        <w:spacing w:after="0"/>
        <w:tabs>
          <w:tab w:leader="none" w:pos="660" w:val="left"/>
        </w:tabs>
        <w:numPr>
          <w:ilvl w:val="0"/>
          <w:numId w:val="14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entire principal amount of</w:t>
      </w:r>
    </w:p>
    <w:p>
      <w:pPr>
        <w:spacing w:after="0" w:line="215" w:lineRule="exact"/>
        <w:rPr>
          <w:rFonts w:ascii="MS PGothic" w:cs="MS PGothic" w:eastAsia="MS PGothic" w:hAnsi="MS PGothic"/>
          <w:sz w:val="18"/>
          <w:szCs w:val="18"/>
          <w:color w:val="auto"/>
        </w:rPr>
      </w:pPr>
    </w:p>
    <w:p>
      <w:pPr>
        <w:ind w:left="660" w:hanging="652"/>
        <w:spacing w:after="0"/>
        <w:tabs>
          <w:tab w:leader="none" w:pos="660" w:val="left"/>
        </w:tabs>
        <w:numPr>
          <w:ilvl w:val="0"/>
          <w:numId w:val="14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$______</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aggregate principal amount of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 identified by CUSIP No. _____________ and Certificate No. _____________ and all rights thereunder, to:</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26035</wp:posOffset>
            </wp:positionV>
            <wp:extent cx="39173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917315" cy="17145"/>
                    </a:xfrm>
                    <a:prstGeom prst="rect">
                      <a:avLst/>
                    </a:prstGeom>
                    <a:noFill/>
                  </pic:spPr>
                </pic:pic>
              </a:graphicData>
            </a:graphic>
          </wp:anchor>
        </w:drawing>
      </w:r>
    </w:p>
    <w:p>
      <w:pPr>
        <w:spacing w:after="0" w:line="24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26035</wp:posOffset>
            </wp:positionV>
            <wp:extent cx="39173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917315" cy="17145"/>
                    </a:xfrm>
                    <a:prstGeom prst="rect">
                      <a:avLst/>
                    </a:prstGeom>
                    <a:noFill/>
                  </pic:spPr>
                </pic:pic>
              </a:graphicData>
            </a:graphic>
          </wp:anchor>
        </w:drawing>
      </w:r>
    </w:p>
    <w:p>
      <w:pPr>
        <w:spacing w:after="0" w:line="24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Social security or tax id.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26035</wp:posOffset>
            </wp:positionV>
            <wp:extent cx="39173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917315" cy="17145"/>
                    </a:xfrm>
                    <a:prstGeom prst="rect">
                      <a:avLst/>
                    </a:prstGeom>
                    <a:noFill/>
                  </pic:spPr>
                </pic:pic>
              </a:graphicData>
            </a:graphic>
          </wp:anchor>
        </w:drawing>
      </w:r>
    </w:p>
    <w:p>
      <w:pPr>
        <w:spacing w:after="0" w:line="24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and irrevocably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26035</wp:posOffset>
            </wp:positionV>
            <wp:extent cx="3566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agent to transfer the within Note on the books of the Company. The agent may substitute another to act for him/her.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677227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30"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26035</wp:posOffset>
            </wp:positionV>
            <wp:extent cx="319722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163195</wp:posOffset>
            </wp:positionV>
            <wp:extent cx="355727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46"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7"/>
          <w:szCs w:val="17"/>
          <w:color w:val="auto"/>
        </w:rPr>
        <w:t>Participant in a Recognized Signature</w:t>
      </w:r>
    </w:p>
    <w:p>
      <w:pPr>
        <w:spacing w:after="0" w:line="39"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-127635</wp:posOffset>
            </wp:positionV>
            <wp:extent cx="284607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178308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97" w:lineRule="exact"/>
        <w:rPr>
          <w:sz w:val="20"/>
          <w:szCs w:val="20"/>
          <w:color w:val="auto"/>
        </w:rPr>
      </w:pPr>
    </w:p>
    <w:p>
      <w:pPr>
        <w:ind w:left="260" w:hanging="252"/>
        <w:spacing w:after="0"/>
        <w:tabs>
          <w:tab w:leader="none" w:pos="260" w:val="left"/>
        </w:tabs>
        <w:numPr>
          <w:ilvl w:val="0"/>
          <w:numId w:val="14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Must be an Authorized Denomination.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color w:val="auto"/>
        </w:rPr>
        <w:t>TRANSFEROR ACKNOWLEDGMENT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within Note bears a Restricted Note Legend, the undersigned further certifies that (check one):</w:t>
      </w:r>
    </w:p>
    <w:p>
      <w:pPr>
        <w:spacing w:after="0" w:line="184" w:lineRule="exact"/>
        <w:rPr>
          <w:sz w:val="20"/>
          <w:szCs w:val="20"/>
          <w:color w:val="auto"/>
        </w:rPr>
      </w:pPr>
    </w:p>
    <w:p>
      <w:pPr>
        <w:ind w:left="340" w:hanging="332"/>
        <w:spacing w:after="0" w:line="207" w:lineRule="exact"/>
        <w:tabs>
          <w:tab w:leader="none" w:pos="340" w:val="left"/>
        </w:tabs>
        <w:numPr>
          <w:ilvl w:val="0"/>
          <w:numId w:val="14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Such Transfer is being made to the Company or a Subsidiary of the Company.</w:t>
      </w:r>
    </w:p>
    <w:p>
      <w:pPr>
        <w:spacing w:after="0" w:line="225" w:lineRule="exact"/>
        <w:rPr>
          <w:rFonts w:ascii="Times New Roman" w:cs="Times New Roman" w:eastAsia="Times New Roman" w:hAnsi="Times New Roman"/>
          <w:sz w:val="18"/>
          <w:szCs w:val="18"/>
          <w:color w:val="auto"/>
        </w:rPr>
      </w:pPr>
    </w:p>
    <w:p>
      <w:pPr>
        <w:ind w:left="820" w:hanging="812"/>
        <w:spacing w:after="0" w:line="245" w:lineRule="exact"/>
        <w:tabs>
          <w:tab w:leader="none" w:pos="334" w:val="left"/>
        </w:tabs>
        <w:numPr>
          <w:ilvl w:val="0"/>
          <w:numId w:val="14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Such Transfer is being made pursuant to, and in accordance with, a registration statement that is effective under the Securities Act at the time of the Transfer.</w:t>
      </w:r>
    </w:p>
    <w:p>
      <w:pPr>
        <w:spacing w:after="0" w:line="158" w:lineRule="exact"/>
        <w:rPr>
          <w:rFonts w:ascii="Times New Roman" w:cs="Times New Roman" w:eastAsia="Times New Roman" w:hAnsi="Times New Roman"/>
          <w:sz w:val="18"/>
          <w:szCs w:val="18"/>
          <w:color w:val="auto"/>
        </w:rPr>
      </w:pPr>
    </w:p>
    <w:p>
      <w:pPr>
        <w:ind w:left="820" w:hanging="767"/>
        <w:spacing w:after="0" w:line="228" w:lineRule="exact"/>
        <w:tabs>
          <w:tab w:leader="none" w:pos="334" w:val="left"/>
        </w:tabs>
        <w:numPr>
          <w:ilvl w:val="1"/>
          <w:numId w:val="14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Such Transfer is being made pursuant to, and in accordance with, Rule 144A under the Securities Act, and, accordingly, the undersigned further certifies that the within Note is being transferred to a Person that the undersigned reasonably believes is purchasing the within Note for its own account, or for one or more accounts with respect to which such Person exercises sole investment discretion, and such Person and each such account is a Person reasonably believed to be a “qualified institutional buyer” within the meaning of Rule 144A under the Securities Act in a transaction meeting the requirements of Rule 144A.</w:t>
      </w:r>
    </w:p>
    <w:p>
      <w:pPr>
        <w:spacing w:after="0" w:line="157" w:lineRule="exact"/>
        <w:rPr>
          <w:rFonts w:ascii="Times New Roman" w:cs="Times New Roman" w:eastAsia="Times New Roman" w:hAnsi="Times New Roman"/>
          <w:sz w:val="18"/>
          <w:szCs w:val="18"/>
          <w:color w:val="auto"/>
        </w:rPr>
      </w:pPr>
    </w:p>
    <w:p>
      <w:pPr>
        <w:ind w:left="820" w:hanging="767"/>
        <w:spacing w:after="0" w:line="245" w:lineRule="exact"/>
        <w:tabs>
          <w:tab w:leader="none" w:pos="334" w:val="left"/>
        </w:tabs>
        <w:numPr>
          <w:ilvl w:val="1"/>
          <w:numId w:val="14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Such Transfer is being made pursuant to, and in accordance with, any other available exemption from the registration requirements of the Securities Act (including, if available, the exemption provided by Rule 144 under the Securities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355727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557270" cy="1714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26035</wp:posOffset>
            </wp:positionV>
            <wp:extent cx="32061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7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26035</wp:posOffset>
            </wp:positionV>
            <wp:extent cx="32061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355727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46"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(Participant in a Recognized Signature</w:t>
      </w:r>
    </w:p>
    <w:p>
      <w:pPr>
        <w:spacing w:after="0" w:line="27"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-127635</wp:posOffset>
            </wp:positionV>
            <wp:extent cx="32061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Bid Form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[DEALER]</w:t>
      </w:r>
      <w:r>
        <w:rPr>
          <w:rFonts w:ascii="Times New Roman" w:cs="Times New Roman" w:eastAsia="Times New Roman" w:hAnsi="Times New Roman"/>
          <w:sz w:val="29"/>
          <w:szCs w:val="29"/>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[__], 2025</w:t>
      </w:r>
    </w:p>
    <w:p>
      <w:pPr>
        <w:sectPr>
          <w:pgSz w:w="11900" w:h="16838" w:orient="portrait"/>
          <w:cols w:equalWidth="0" w:num="1">
            <w:col w:w="11240"/>
          </w:cols>
          <w:pgMar w:left="320" w:top="266"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Life360,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1900 South Norfolk Street, Suite 310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w:t>
      </w:r>
    </w:p>
    <w:p>
      <w:pPr>
        <w:spacing w:after="0" w:line="200" w:lineRule="exact"/>
        <w:rPr>
          <w:sz w:val="20"/>
          <w:szCs w:val="20"/>
          <w:color w:val="auto"/>
        </w:rPr>
      </w:pPr>
    </w:p>
    <w:p>
      <w:pPr>
        <w:sectPr>
          <w:pgSz w:w="11900" w:h="16838" w:orient="portrait"/>
          <w:cols w:equalWidth="0" w:num="2">
            <w:col w:w="240" w:space="420"/>
            <w:col w:w="10580"/>
          </w:cols>
          <w:pgMar w:left="320" w:top="266"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[Base][Additional] Call Option Transaction</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The purpose of this letter agreement (this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is to confirm the terms and conditions of the call option transaction entered into between [DEALER]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and Life360, Inc.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as of the Trade Date specified below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This letter agreement constitutes a “Confirmation” as referred to in the ISDA Master Agreement specified below. Each party further agrees that this Confirmation together with the Agreement (as defined below) evidence a complete binding agreement between Counterparty and Dealer as to the subject matter and terms of the Transaction to which this Confirmation relates, and shall supersede all prior or contemporaneous written or oral communications with respect thereto.</w:t>
      </w:r>
    </w:p>
    <w:p>
      <w:pPr>
        <w:spacing w:after="0" w:line="179"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The definitions and provisions contained in the 2002 ISDA Equity Derivatives Definitions (the “</w:t>
      </w:r>
      <w:r>
        <w:rPr>
          <w:rFonts w:ascii="Times New Roman" w:cs="Times New Roman" w:eastAsia="Times New Roman" w:hAnsi="Times New Roman"/>
          <w:sz w:val="18"/>
          <w:szCs w:val="18"/>
          <w:b w:val="1"/>
          <w:bCs w:val="1"/>
          <w:color w:val="auto"/>
        </w:rPr>
        <w:t>Equity Definitions</w:t>
      </w:r>
      <w:r>
        <w:rPr>
          <w:rFonts w:ascii="Times New Roman" w:cs="Times New Roman" w:eastAsia="Times New Roman" w:hAnsi="Times New Roman"/>
          <w:sz w:val="18"/>
          <w:szCs w:val="18"/>
          <w:color w:val="auto"/>
        </w:rPr>
        <w:t>”), as published by the International Swaps and Derivatives Association, Inc. (“</w:t>
      </w:r>
      <w:r>
        <w:rPr>
          <w:rFonts w:ascii="Times New Roman" w:cs="Times New Roman" w:eastAsia="Times New Roman" w:hAnsi="Times New Roman"/>
          <w:sz w:val="18"/>
          <w:szCs w:val="18"/>
          <w:b w:val="1"/>
          <w:bCs w:val="1"/>
          <w:color w:val="auto"/>
        </w:rPr>
        <w:t>ISDA</w:t>
      </w:r>
      <w:r>
        <w:rPr>
          <w:rFonts w:ascii="Times New Roman" w:cs="Times New Roman" w:eastAsia="Times New Roman" w:hAnsi="Times New Roman"/>
          <w:sz w:val="18"/>
          <w:szCs w:val="18"/>
          <w:color w:val="auto"/>
        </w:rPr>
        <w:t>”) are incorporated into this Confirmation. In the event of any inconsistency between the Equity Definitions and this Confirmation, this Confirmation shall govern. Certain defined terms used herein are based on terms that are defined in the Offering Memorandum dated June [__], 2025 (the “</w:t>
      </w:r>
      <w:r>
        <w:rPr>
          <w:rFonts w:ascii="Times New Roman" w:cs="Times New Roman" w:eastAsia="Times New Roman" w:hAnsi="Times New Roman"/>
          <w:sz w:val="18"/>
          <w:szCs w:val="18"/>
          <w:b w:val="1"/>
          <w:bCs w:val="1"/>
          <w:color w:val="auto"/>
        </w:rPr>
        <w:t>Offering Memorandum</w:t>
      </w:r>
      <w:r>
        <w:rPr>
          <w:rFonts w:ascii="Times New Roman" w:cs="Times New Roman" w:eastAsia="Times New Roman" w:hAnsi="Times New Roman"/>
          <w:sz w:val="18"/>
          <w:szCs w:val="18"/>
          <w:color w:val="auto"/>
        </w:rPr>
        <w:t>”) relating to the [__]% Convertible Senior Notes due 2030 (as originally issued by Counterparty, the “</w:t>
      </w:r>
      <w:r>
        <w:rPr>
          <w:rFonts w:ascii="Times New Roman" w:cs="Times New Roman" w:eastAsia="Times New Roman" w:hAnsi="Times New Roman"/>
          <w:sz w:val="18"/>
          <w:szCs w:val="18"/>
          <w:b w:val="1"/>
          <w:bCs w:val="1"/>
          <w:color w:val="auto"/>
        </w:rPr>
        <w:t>Convertible Notes</w:t>
      </w:r>
      <w:r>
        <w:rPr>
          <w:rFonts w:ascii="Times New Roman" w:cs="Times New Roman" w:eastAsia="Times New Roman" w:hAnsi="Times New Roman"/>
          <w:sz w:val="18"/>
          <w:szCs w:val="18"/>
          <w:color w:val="auto"/>
        </w:rPr>
        <w:t>” and each USD 1,000 principal amount of Convertible Notes, a “</w:t>
      </w:r>
      <w:r>
        <w:rPr>
          <w:rFonts w:ascii="Times New Roman" w:cs="Times New Roman" w:eastAsia="Times New Roman" w:hAnsi="Times New Roman"/>
          <w:sz w:val="18"/>
          <w:szCs w:val="18"/>
          <w:b w:val="1"/>
          <w:bCs w:val="1"/>
          <w:color w:val="auto"/>
        </w:rPr>
        <w:t>Convertible Note</w:t>
      </w:r>
      <w:r>
        <w:rPr>
          <w:rFonts w:ascii="Times New Roman" w:cs="Times New Roman" w:eastAsia="Times New Roman" w:hAnsi="Times New Roman"/>
          <w:sz w:val="18"/>
          <w:szCs w:val="18"/>
          <w:color w:val="auto"/>
        </w:rPr>
        <w:t>”) issued by Counterparty in an aggregate initial principal amount of USD [__________] (as increased by [up to]</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 aggregate principal amount of USD [__________]</w:t>
      </w:r>
    </w:p>
    <w:p>
      <w:pPr>
        <w:spacing w:after="0" w:line="1" w:lineRule="exact"/>
        <w:rPr>
          <w:sz w:val="20"/>
          <w:szCs w:val="20"/>
          <w:color w:val="auto"/>
        </w:rPr>
      </w:pPr>
    </w:p>
    <w:p>
      <w:pPr>
        <w:jc w:val="both"/>
        <w:spacing w:after="0" w:line="181" w:lineRule="auto"/>
        <w:rPr>
          <w:sz w:val="20"/>
          <w:szCs w:val="20"/>
          <w:color w:val="auto"/>
        </w:rPr>
      </w:pPr>
      <w:r>
        <w:rPr>
          <w:rFonts w:ascii="Times New Roman" w:cs="Times New Roman" w:eastAsia="Times New Roman" w:hAnsi="Times New Roman"/>
          <w:sz w:val="18"/>
          <w:szCs w:val="18"/>
          <w:color w:val="auto"/>
        </w:rPr>
        <w:t>[if and to the extent that]</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[pursuant to the exercise by]</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the Initial Purchasers (as defined herein) [exercise]</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[of]</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their option to purchase additional Convertible Notes pursuant to the Purchase Agreement (as defined herein)) pursuant to an Indenture [to be]</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dated June [__], 2025 between Counterparty and [__________], as trustee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In the event of any inconsistency between the terms defined in the Offering Memorandum, the Indenture</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and this Confirmation, this Confirmation shall govern. The parties acknowledge that this Confirmation is entered into on the date hereof with the understanding that (i) definitions set forth in the Indenture which are also defined herein by reference to the Indenture and (ii) sections of the Indenture that are referred to herein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used herein are based on the [draft of the Indenture last reviewed by Dealer as of the date of this Confirmation, and if any such section numbers are changed in the Indenture as executed, the parties will amend this Confirmation in good faith to preserve the intent of the parties]</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[Indenture as executed]</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Subject to the foregoing, references to the Indenture herein are references to the Indenture as in effect on the date of its execution, and if the Indenture is amended or supplemented following such date (other than any amendment or supplement (x) pursuant to Section [8.01(I)]</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of the Indenture that, as determined by the Calculation Agent, conforms the Indenture to the description of Convertible Notes in the Offering Memorandum or (y) pursuant to Section [5.09]</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of the Indenture, subject, in the case of this clause (y), to the second paragraph under “Method of Adjustment” in Section 3), any such amendment or supplement will be disregarded for purposes of this Confirmation (other than as provided in Section 9(i)(iii) below) unless the parties agree otherwise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156845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73" w:lineRule="exact"/>
        <w:rPr>
          <w:sz w:val="20"/>
          <w:szCs w:val="20"/>
          <w:color w:val="auto"/>
        </w:rPr>
      </w:pPr>
    </w:p>
    <w:p>
      <w:pPr>
        <w:ind w:left="120" w:hanging="112"/>
        <w:spacing w:after="0"/>
        <w:tabs>
          <w:tab w:leader="none" w:pos="120" w:val="left"/>
        </w:tabs>
        <w:numPr>
          <w:ilvl w:val="0"/>
          <w:numId w:val="1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Dealer name, address and, if applicable, logo.</w:t>
      </w:r>
    </w:p>
    <w:p>
      <w:pPr>
        <w:spacing w:after="0" w:line="1" w:lineRule="exact"/>
        <w:rPr>
          <w:rFonts w:ascii="Times New Roman" w:cs="Times New Roman" w:eastAsia="Times New Roman" w:hAnsi="Times New Roman"/>
          <w:sz w:val="30"/>
          <w:szCs w:val="30"/>
          <w:color w:val="auto"/>
          <w:vertAlign w:val="superscript"/>
        </w:rPr>
      </w:pP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6"/>
          <w:szCs w:val="16"/>
          <w:color w:val="auto"/>
        </w:rPr>
        <w:t xml:space="preserve"> Include in the Base Call Option Confirmation.</w:t>
      </w: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6"/>
          <w:szCs w:val="16"/>
          <w:color w:val="auto"/>
        </w:rPr>
        <w:t xml:space="preserve"> Include in the Base Call Option Confirmation.</w:t>
      </w: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6"/>
          <w:szCs w:val="16"/>
          <w:color w:val="auto"/>
        </w:rPr>
        <w:t xml:space="preserve"> Include in the Additional Call Option Confirmation.</w:t>
      </w: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6"/>
          <w:szCs w:val="16"/>
          <w:color w:val="auto"/>
        </w:rPr>
        <w:t xml:space="preserve"> Include in the Base Call Option Confirmation.</w:t>
      </w: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6"/>
          <w:szCs w:val="16"/>
          <w:color w:val="auto"/>
        </w:rPr>
        <w:t xml:space="preserve"> Include in the Additional Call Option Confirmation.</w:t>
      </w: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6"/>
          <w:szCs w:val="16"/>
          <w:color w:val="auto"/>
        </w:rPr>
        <w:t xml:space="preserve"> Insert if Indenture is not completed at the time of the Confirmation.</w:t>
      </w:r>
    </w:p>
    <w:p>
      <w:pPr>
        <w:jc w:val="both"/>
        <w:ind w:right="540"/>
        <w:spacing w:after="0" w:line="182"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Include in the Base Call Option Confirmation. Include in the Additional Call Option Confirmation if it is executed before closing of the base deal. </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Include in the Additional Call Option Confirmation, but only if the Additional Call Option Confirmation is executed after closing of the base deal. </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Include cross-reference to Indenture section permitting amendments without holder consent to conform the Indenture to the Description of Notes. </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Include cross-reference to Indenture section governing common stock change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104" w:name="page105"/>
    <w:bookmarkEnd w:id="10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76" w:lineRule="exact"/>
        <w:rPr>
          <w:sz w:val="20"/>
          <w:szCs w:val="20"/>
          <w:color w:val="auto"/>
        </w:rPr>
      </w:pPr>
    </w:p>
    <w:p>
      <w:pPr>
        <w:jc w:val="both"/>
        <w:ind w:firstLine="8"/>
        <w:spacing w:after="0" w:line="252" w:lineRule="auto"/>
        <w:tabs>
          <w:tab w:leader="none" w:pos="52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2002 ISDA Master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as if Dealer and Counterparty had executed an agreement in such form (but without any Schedule except for (i) the election of the laws of the State of New York as the governing law (without reference to choice of law doctrine), (ii) in respect of Section 5(a)(vi) of the Agreement, the election that the “Cross Default” provisions shall apply to Dealer with (a) a “Threshold Amount” with respect to Dealer of three percent of the shareholders’ equity of [Dealer][[</w:t>
      </w:r>
      <w:r>
        <w:rPr>
          <w:rFonts w:ascii="Times New Roman" w:cs="Times New Roman" w:eastAsia="Times New Roman" w:hAnsi="Times New Roman"/>
          <w:sz w:val="18"/>
          <w:szCs w:val="18"/>
          <w:i w:val="1"/>
          <w:iCs w:val="1"/>
          <w:color w:val="auto"/>
        </w:rPr>
        <w:t>Dealer Parent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Dealer Parent</w:t>
      </w:r>
      <w:r>
        <w:rPr>
          <w:rFonts w:ascii="Times New Roman" w:cs="Times New Roman" w:eastAsia="Times New Roman" w:hAnsi="Times New Roman"/>
          <w:sz w:val="18"/>
          <w:szCs w:val="18"/>
          <w:color w:val="auto"/>
        </w:rPr>
        <w:t>”)] as of the Trade Date, (b) the deletion of the phrase “, or becoming capable at such time of being declared,” from clause (1) and (c) the following language added to the end thereof: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 (iii) the modification that the term “Specified Indebtedness” shall have the meaning specified in Section 14 of the Agreement, except that such term shall not include obligations in respect of deposits received in the ordinary course of a party’s banking business, and (iv) the modification that following the payment of the Premium, the condition precedent in Section 2(a)(iii) of the Agreement with respect to Events of Default or Potential Events of Default (other than an Event of Default or Potential Event of Default arising under Section 5(a)(ii), 5(a)(iv) or 5(a) (vii) of the Agreement) shall not apply to a payment or delivery owing by Dealer to Counterparty) on the Trade Date.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194" w:lineRule="exact"/>
        <w:rPr>
          <w:rFonts w:ascii="Times New Roman" w:cs="Times New Roman" w:eastAsia="Times New Roman" w:hAnsi="Times New Roman"/>
          <w:sz w:val="18"/>
          <w:szCs w:val="18"/>
          <w:color w:val="auto"/>
        </w:rPr>
      </w:pPr>
    </w:p>
    <w:p>
      <w:pPr>
        <w:ind w:left="640" w:right="4200" w:hanging="632"/>
        <w:spacing w:after="0" w:line="500" w:lineRule="auto"/>
        <w:tabs>
          <w:tab w:leader="none" w:pos="63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of the particular Transaction to which this Confirmation relates are as follows: </w:t>
      </w:r>
      <w:r>
        <w:rPr>
          <w:rFonts w:ascii="Times New Roman" w:cs="Times New Roman" w:eastAsia="Times New Roman" w:hAnsi="Times New Roman"/>
          <w:sz w:val="18"/>
          <w:szCs w:val="18"/>
          <w:i w:val="1"/>
          <w:iCs w:val="1"/>
          <w:u w:val="single" w:color="auto"/>
          <w:color w:val="auto"/>
        </w:rPr>
        <w:t>General Terms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1" w:right="339" w:bottom="1440" w:gutter="0" w:footer="0" w:header="0"/>
        </w:sectPr>
      </w:pPr>
    </w:p>
    <w:p>
      <w:pPr>
        <w:spacing w:after="0" w:line="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June [__], 2025</w:t>
      </w:r>
    </w:p>
    <w:p>
      <w:pPr>
        <w:spacing w:after="0" w:line="200" w:lineRule="exact"/>
        <w:rPr>
          <w:sz w:val="20"/>
          <w:szCs w:val="20"/>
          <w:color w:val="auto"/>
        </w:rPr>
      </w:pPr>
    </w:p>
    <w:p>
      <w:pPr>
        <w:sectPr>
          <w:pgSz w:w="11900" w:h="16838" w:orient="portrait"/>
          <w:cols w:equalWidth="0" w:num="2">
            <w:col w:w="4360" w:space="720"/>
            <w:col w:w="6160"/>
          </w:cols>
          <w:pgMar w:left="320" w:top="121" w:right="339" w:bottom="1440" w:gutter="0" w:footer="0" w:header="0"/>
          <w:type w:val="continuous"/>
        </w:sectPr>
      </w:pP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Effective Date: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closing date of the [initial]</w:t>
      </w:r>
      <w:r>
        <w:rPr>
          <w:rFonts w:ascii="Times New Roman" w:cs="Times New Roman" w:eastAsia="Times New Roman" w:hAnsi="Times New Roman"/>
          <w:sz w:val="14"/>
          <w:szCs w:val="14"/>
          <w:color w:val="auto"/>
        </w:rPr>
        <w:t>12</w:t>
      </w:r>
      <w:r>
        <w:rPr>
          <w:rFonts w:ascii="Times New Roman" w:cs="Times New Roman" w:eastAsia="Times New Roman" w:hAnsi="Times New Roman"/>
          <w:sz w:val="18"/>
          <w:szCs w:val="18"/>
          <w:color w:val="auto"/>
        </w:rPr>
        <w:t xml:space="preserve"> issuance of the Convertible Notes [issued pursuant to the option to purchase additional Convertible Notes exercised on the date hereof]</w:t>
      </w:r>
      <w:r>
        <w:rPr>
          <w:rFonts w:ascii="Times New Roman" w:cs="Times New Roman" w:eastAsia="Times New Roman" w:hAnsi="Times New Roman"/>
          <w:sz w:val="14"/>
          <w:szCs w:val="14"/>
          <w:color w:val="auto"/>
        </w:rPr>
        <w:t>13</w:t>
      </w:r>
    </w:p>
    <w:p>
      <w:pPr>
        <w:spacing w:after="0" w:line="173" w:lineRule="exact"/>
        <w:rPr>
          <w:sz w:val="20"/>
          <w:szCs w:val="20"/>
          <w:color w:val="auto"/>
        </w:rPr>
      </w:pPr>
    </w:p>
    <w:p>
      <w:pPr>
        <w:sectPr>
          <w:pgSz w:w="11900" w:h="16838" w:orient="portrait"/>
          <w:cols w:equalWidth="0" w:num="2">
            <w:col w:w="4360" w:space="720"/>
            <w:col w:w="6160"/>
          </w:cols>
          <w:pgMar w:left="320" w:top="121" w:right="33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7"/>
          <w:szCs w:val="17"/>
          <w:color w:val="auto"/>
        </w:rPr>
        <w:t>Option Style: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“Modified American”, as described under “Procedures for Exercise” below</w:t>
      </w:r>
    </w:p>
    <w:p>
      <w:pPr>
        <w:spacing w:after="0" w:line="200" w:lineRule="exact"/>
        <w:rPr>
          <w:sz w:val="20"/>
          <w:szCs w:val="20"/>
          <w:color w:val="auto"/>
        </w:rPr>
      </w:pPr>
    </w:p>
    <w:p>
      <w:pPr>
        <w:sectPr>
          <w:pgSz w:w="11900" w:h="16838" w:orient="portrait"/>
          <w:cols w:equalWidth="0" w:num="2">
            <w:col w:w="4360" w:space="720"/>
            <w:col w:w="6160"/>
          </w:cols>
          <w:pgMar w:left="320" w:top="121" w:right="339" w:bottom="1440" w:gutter="0" w:footer="0" w:header="0"/>
          <w:type w:val="continuous"/>
        </w:sectPr>
      </w:pP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Option Type: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Call</w:t>
      </w:r>
    </w:p>
    <w:p>
      <w:pPr>
        <w:spacing w:after="0" w:line="200" w:lineRule="exact"/>
        <w:rPr>
          <w:sz w:val="20"/>
          <w:szCs w:val="20"/>
          <w:color w:val="auto"/>
        </w:rPr>
      </w:pPr>
    </w:p>
    <w:p>
      <w:pPr>
        <w:sectPr>
          <w:pgSz w:w="11900" w:h="16838" w:orient="portrait"/>
          <w:cols w:equalWidth="0" w:num="2">
            <w:col w:w="4360" w:space="720"/>
            <w:col w:w="6160"/>
          </w:cols>
          <w:pgMar w:left="320" w:top="121" w:right="339" w:bottom="1440" w:gutter="0" w:footer="0" w:header="0"/>
          <w:type w:val="continuous"/>
        </w:sectPr>
      </w:pP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Buyer: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Counterparty</w:t>
      </w:r>
    </w:p>
    <w:p>
      <w:pPr>
        <w:spacing w:after="0" w:line="211" w:lineRule="exact"/>
        <w:rPr>
          <w:sz w:val="20"/>
          <w:szCs w:val="20"/>
          <w:color w:val="auto"/>
        </w:rPr>
      </w:pPr>
    </w:p>
    <w:p>
      <w:pPr>
        <w:sectPr>
          <w:pgSz w:w="11900" w:h="16838" w:orient="portrait"/>
          <w:cols w:equalWidth="0" w:num="2">
            <w:col w:w="4360" w:space="720"/>
            <w:col w:w="6160"/>
          </w:cols>
          <w:pgMar w:left="320" w:top="121" w:right="339" w:bottom="1440" w:gutter="0" w:footer="0" w:header="0"/>
          <w:type w:val="continuous"/>
        </w:sectPr>
      </w:pPr>
    </w:p>
    <w:p>
      <w:pPr>
        <w:spacing w:after="0" w:line="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Seller: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Dealer</w:t>
      </w:r>
    </w:p>
    <w:p>
      <w:pPr>
        <w:spacing w:after="0" w:line="200" w:lineRule="exact"/>
        <w:rPr>
          <w:sz w:val="20"/>
          <w:szCs w:val="20"/>
          <w:color w:val="auto"/>
        </w:rPr>
      </w:pPr>
    </w:p>
    <w:p>
      <w:pPr>
        <w:sectPr>
          <w:pgSz w:w="11900" w:h="16838" w:orient="portrait"/>
          <w:cols w:equalWidth="0" w:num="2">
            <w:col w:w="4360" w:space="720"/>
            <w:col w:w="6160"/>
          </w:cols>
          <w:pgMar w:left="320" w:top="121" w:right="339" w:bottom="1440" w:gutter="0" w:footer="0" w:header="0"/>
          <w:type w:val="continuous"/>
        </w:sectPr>
      </w:pPr>
    </w:p>
    <w:p>
      <w:pPr>
        <w:spacing w:after="0" w:line="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156845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common stock of Counterparty, par value USD 0.001 per share (Exchange symbol “LIF”).</w:t>
      </w:r>
    </w:p>
    <w:p>
      <w:pPr>
        <w:spacing w:after="0" w:line="200" w:lineRule="exact"/>
        <w:rPr>
          <w:sz w:val="20"/>
          <w:szCs w:val="20"/>
          <w:color w:val="auto"/>
        </w:rPr>
      </w:pPr>
    </w:p>
    <w:p>
      <w:pPr>
        <w:sectPr>
          <w:pgSz w:w="11900" w:h="16838" w:orient="portrait"/>
          <w:cols w:equalWidth="0" w:num="2">
            <w:col w:w="4360" w:space="720"/>
            <w:col w:w="6160"/>
          </w:cols>
          <w:pgMar w:left="320" w:top="121" w:right="339" w:bottom="1440" w:gutter="0" w:footer="0" w:header="0"/>
          <w:type w:val="continuous"/>
        </w:sectPr>
      </w:pPr>
    </w:p>
    <w:p>
      <w:pPr>
        <w:spacing w:after="0" w:line="76" w:lineRule="exact"/>
        <w:rPr>
          <w:sz w:val="20"/>
          <w:szCs w:val="20"/>
          <w:color w:val="auto"/>
        </w:rPr>
      </w:pPr>
    </w:p>
    <w:p>
      <w:pPr>
        <w:ind w:left="200" w:hanging="192"/>
        <w:spacing w:after="0"/>
        <w:tabs>
          <w:tab w:leader="none" w:pos="200" w:val="left"/>
        </w:tabs>
        <w:numPr>
          <w:ilvl w:val="0"/>
          <w:numId w:val="14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 in the Base Call Option Confirmation.</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in the Additional Call Option Confirmation.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5" w:name="page106"/>
    <w:bookmarkEnd w:id="105"/>
    <w:tbl>
      <w:tblPr>
        <w:tblLayout w:type="fixed"/>
        <w:tblInd w:w="660" w:type="dxa"/>
        <w:tblCellMar>
          <w:top w:w="0" w:type="dxa"/>
          <w:left w:w="0" w:type="dxa"/>
          <w:bottom w:w="0" w:type="dxa"/>
          <w:right w:w="0" w:type="dxa"/>
        </w:tblCellMar>
      </w:tblPr>
      <w:tr>
        <w:trPr>
          <w:trHeight w:val="333"/>
        </w:trPr>
        <w:tc>
          <w:tcPr>
            <w:tcW w:w="33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Number of Options:</w:t>
            </w:r>
          </w:p>
        </w:tc>
        <w:tc>
          <w:tcPr>
            <w:tcW w:w="724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[_______]</w:t>
            </w:r>
            <w:r>
              <w:rPr>
                <w:rFonts w:ascii="Times New Roman" w:cs="Times New Roman" w:eastAsia="Times New Roman" w:hAnsi="Times New Roman"/>
                <w:sz w:val="29"/>
                <w:szCs w:val="29"/>
                <w:color w:val="auto"/>
                <w:w w:val="99"/>
                <w:vertAlign w:val="superscript"/>
              </w:rPr>
              <w:t>14</w:t>
            </w:r>
            <w:r>
              <w:rPr>
                <w:rFonts w:ascii="Times New Roman" w:cs="Times New Roman" w:eastAsia="Times New Roman" w:hAnsi="Times New Roman"/>
                <w:sz w:val="18"/>
                <w:szCs w:val="18"/>
                <w:color w:val="auto"/>
                <w:w w:val="99"/>
              </w:rPr>
              <w:t>. For the avoidance of doubt, the Number of Options shall be reduced by</w:t>
            </w:r>
          </w:p>
        </w:tc>
      </w:tr>
      <w:tr>
        <w:trPr>
          <w:trHeight w:val="216"/>
        </w:trPr>
        <w:tc>
          <w:tcPr>
            <w:tcW w:w="1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any Options exercised by Counterparty. In no event will the Number of Options be</w:t>
            </w:r>
          </w:p>
        </w:tc>
      </w:tr>
      <w:tr>
        <w:trPr>
          <w:trHeight w:val="234"/>
        </w:trPr>
        <w:tc>
          <w:tcPr>
            <w:tcW w:w="1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less than zero.</w:t>
            </w:r>
          </w:p>
        </w:tc>
      </w:tr>
      <w:tr>
        <w:trPr>
          <w:trHeight w:val="432"/>
        </w:trPr>
        <w:tc>
          <w:tcPr>
            <w:tcW w:w="33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Applicable Percentage:</w:t>
            </w:r>
          </w:p>
        </w:tc>
        <w:tc>
          <w:tcPr>
            <w:tcW w:w="7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[__]%</w:t>
            </w:r>
          </w:p>
        </w:tc>
      </w:tr>
      <w:tr>
        <w:trPr>
          <w:trHeight w:val="582"/>
        </w:trPr>
        <w:tc>
          <w:tcPr>
            <w:tcW w:w="33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Option Entitlement:</w:t>
            </w:r>
          </w:p>
        </w:tc>
        <w:tc>
          <w:tcPr>
            <w:tcW w:w="7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 number equal to the product of the Applicable Percentage and [______]</w:t>
            </w:r>
            <w:r>
              <w:rPr>
                <w:rFonts w:ascii="Times New Roman" w:cs="Times New Roman" w:eastAsia="Times New Roman" w:hAnsi="Times New Roman"/>
                <w:sz w:val="29"/>
                <w:szCs w:val="29"/>
                <w:color w:val="auto"/>
                <w:vertAlign w:val="superscript"/>
              </w:rPr>
              <w:t>15</w:t>
            </w:r>
            <w:r>
              <w:rPr>
                <w:rFonts w:ascii="Times New Roman" w:cs="Times New Roman" w:eastAsia="Times New Roman" w:hAnsi="Times New Roman"/>
                <w:sz w:val="18"/>
                <w:szCs w:val="18"/>
                <w:color w:val="auto"/>
              </w:rPr>
              <w:t>.</w:t>
            </w:r>
          </w:p>
        </w:tc>
      </w:tr>
      <w:tr>
        <w:trPr>
          <w:trHeight w:val="282"/>
        </w:trPr>
        <w:tc>
          <w:tcPr>
            <w:tcW w:w="33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Strike Price:</w:t>
            </w:r>
          </w:p>
        </w:tc>
        <w:tc>
          <w:tcPr>
            <w:tcW w:w="7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USD [______]</w:t>
            </w:r>
          </w:p>
        </w:tc>
      </w:tr>
      <w:tr>
        <w:trPr>
          <w:trHeight w:val="432"/>
        </w:trPr>
        <w:tc>
          <w:tcPr>
            <w:tcW w:w="33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Cap Price:</w:t>
            </w:r>
          </w:p>
        </w:tc>
        <w:tc>
          <w:tcPr>
            <w:tcW w:w="7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USD [______]</w:t>
            </w:r>
          </w:p>
        </w:tc>
      </w:tr>
      <w:tr>
        <w:trPr>
          <w:trHeight w:val="432"/>
        </w:trPr>
        <w:tc>
          <w:tcPr>
            <w:tcW w:w="33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Premium:</w:t>
            </w:r>
          </w:p>
        </w:tc>
        <w:tc>
          <w:tcPr>
            <w:tcW w:w="7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USD [______]</w:t>
            </w:r>
          </w:p>
        </w:tc>
      </w:tr>
      <w:tr>
        <w:trPr>
          <w:trHeight w:val="432"/>
        </w:trPr>
        <w:tc>
          <w:tcPr>
            <w:tcW w:w="33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Premium Payment Date:</w:t>
            </w:r>
          </w:p>
        </w:tc>
        <w:tc>
          <w:tcPr>
            <w:tcW w:w="7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The Effective Date</w:t>
            </w:r>
          </w:p>
        </w:tc>
      </w:tr>
      <w:tr>
        <w:trPr>
          <w:trHeight w:val="432"/>
        </w:trPr>
        <w:tc>
          <w:tcPr>
            <w:tcW w:w="33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Exchange:</w:t>
            </w:r>
          </w:p>
        </w:tc>
        <w:tc>
          <w:tcPr>
            <w:tcW w:w="7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432"/>
        </w:trPr>
        <w:tc>
          <w:tcPr>
            <w:tcW w:w="33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Related Exchange(s):</w:t>
            </w:r>
          </w:p>
        </w:tc>
        <w:tc>
          <w:tcPr>
            <w:tcW w:w="7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All Exchanges</w:t>
            </w:r>
          </w:p>
        </w:tc>
      </w:tr>
      <w:tr>
        <w:trPr>
          <w:trHeight w:val="582"/>
        </w:trPr>
        <w:tc>
          <w:tcPr>
            <w:tcW w:w="33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Excluded Provisions:</w:t>
            </w:r>
          </w:p>
        </w:tc>
        <w:tc>
          <w:tcPr>
            <w:tcW w:w="7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Section [5.06(A)]</w:t>
            </w:r>
            <w:r>
              <w:rPr>
                <w:rFonts w:ascii="Times New Roman" w:cs="Times New Roman" w:eastAsia="Times New Roman" w:hAnsi="Times New Roman"/>
                <w:sz w:val="29"/>
                <w:szCs w:val="29"/>
                <w:color w:val="auto"/>
                <w:vertAlign w:val="superscript"/>
              </w:rPr>
              <w:t>16</w:t>
            </w:r>
            <w:r>
              <w:rPr>
                <w:rFonts w:ascii="Times New Roman" w:cs="Times New Roman" w:eastAsia="Times New Roman" w:hAnsi="Times New Roman"/>
                <w:sz w:val="18"/>
                <w:szCs w:val="18"/>
                <w:color w:val="auto"/>
              </w:rPr>
              <w:t xml:space="preserve"> and Section [5.07]</w:t>
            </w:r>
            <w:r>
              <w:rPr>
                <w:rFonts w:ascii="Times New Roman" w:cs="Times New Roman" w:eastAsia="Times New Roman" w:hAnsi="Times New Roman"/>
                <w:sz w:val="29"/>
                <w:szCs w:val="29"/>
                <w:color w:val="auto"/>
                <w:vertAlign w:val="superscript"/>
              </w:rPr>
              <w:t>17</w:t>
            </w:r>
            <w:r>
              <w:rPr>
                <w:rFonts w:ascii="Times New Roman" w:cs="Times New Roman" w:eastAsia="Times New Roman" w:hAnsi="Times New Roman"/>
                <w:sz w:val="18"/>
                <w:szCs w:val="18"/>
                <w:color w:val="auto"/>
              </w:rPr>
              <w:t xml:space="preserve"> of the Indenture.</w:t>
            </w:r>
          </w:p>
        </w:tc>
      </w:tr>
      <w:tr>
        <w:trPr>
          <w:trHeight w:val="242"/>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Procedures for Exercise</w:t>
            </w:r>
            <w:r>
              <w:rPr>
                <w:rFonts w:ascii="Times New Roman" w:cs="Times New Roman" w:eastAsia="Times New Roman" w:hAnsi="Times New Roman"/>
                <w:sz w:val="18"/>
                <w:szCs w:val="18"/>
                <w:color w:val="auto"/>
              </w:rPr>
              <w:t>.</w:t>
            </w:r>
          </w:p>
        </w:tc>
        <w:tc>
          <w:tcPr>
            <w:tcW w:w="7240" w:type="dxa"/>
            <w:vAlign w:val="bottom"/>
          </w:tcPr>
          <w:p>
            <w:pPr>
              <w:spacing w:after="0"/>
              <w:rPr>
                <w:sz w:val="21"/>
                <w:szCs w:val="21"/>
                <w:color w:val="auto"/>
              </w:rPr>
            </w:pPr>
          </w:p>
        </w:tc>
      </w:tr>
      <w:tr>
        <w:trPr>
          <w:trHeight w:val="434"/>
        </w:trPr>
        <w:tc>
          <w:tcPr>
            <w:tcW w:w="17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9"/>
              </w:rPr>
              <w:t>Conversion Date:</w:t>
            </w:r>
          </w:p>
        </w:tc>
        <w:tc>
          <w:tcPr>
            <w:tcW w:w="1580" w:type="dxa"/>
            <w:vAlign w:val="bottom"/>
          </w:tcPr>
          <w:p>
            <w:pPr>
              <w:spacing w:after="0"/>
              <w:rPr>
                <w:sz w:val="24"/>
                <w:szCs w:val="24"/>
                <w:color w:val="auto"/>
              </w:rPr>
            </w:pPr>
          </w:p>
        </w:tc>
        <w:tc>
          <w:tcPr>
            <w:tcW w:w="7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With respect to any conversion of a Convertible Note (other than (x) any conversion</w:t>
            </w:r>
          </w:p>
        </w:tc>
      </w:tr>
      <w:tr>
        <w:trPr>
          <w:trHeight w:val="216"/>
        </w:trPr>
        <w:tc>
          <w:tcPr>
            <w:tcW w:w="1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of  Convertible  Notes  with  a  Conversion  Date  occurring  prior  to  the  Free</w:t>
            </w:r>
          </w:p>
        </w:tc>
      </w:tr>
      <w:tr>
        <w:trPr>
          <w:trHeight w:val="216"/>
        </w:trPr>
        <w:tc>
          <w:tcPr>
            <w:tcW w:w="1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Convertibility Date or (y) any conversion of a Convertible Note in respect of which</w:t>
            </w:r>
          </w:p>
        </w:tc>
      </w:tr>
      <w:tr>
        <w:trPr>
          <w:trHeight w:val="216"/>
        </w:trPr>
        <w:tc>
          <w:tcPr>
            <w:tcW w:w="1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the “Holder” (as such term is defined in the Indenture) of such Convertible Note</w:t>
            </w:r>
          </w:p>
        </w:tc>
      </w:tr>
      <w:tr>
        <w:trPr>
          <w:trHeight w:val="206"/>
        </w:trPr>
        <w:tc>
          <w:tcPr>
            <w:tcW w:w="17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would be entitled to an increase in the “Conversion Rate” (as such term is defined in</w:t>
            </w:r>
          </w:p>
        </w:tc>
      </w:tr>
      <w:tr>
        <w:trPr>
          <w:trHeight w:val="222"/>
        </w:trPr>
        <w:tc>
          <w:tcPr>
            <w:tcW w:w="17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240" w:type="dxa"/>
            <w:vAlign w:val="bottom"/>
          </w:tcPr>
          <w:p>
            <w:pPr>
              <w:ind w:left="1080"/>
              <w:spacing w:after="0" w:line="222" w:lineRule="exact"/>
              <w:rPr>
                <w:sz w:val="20"/>
                <w:szCs w:val="20"/>
                <w:color w:val="auto"/>
              </w:rPr>
            </w:pPr>
            <w:r>
              <w:rPr>
                <w:rFonts w:ascii="Times New Roman" w:cs="Times New Roman" w:eastAsia="Times New Roman" w:hAnsi="Times New Roman"/>
                <w:sz w:val="16"/>
                <w:szCs w:val="16"/>
                <w:color w:val="auto"/>
              </w:rPr>
              <w:t>the Indenture) pursuant Section [5.07]</w:t>
            </w:r>
            <w:r>
              <w:rPr>
                <w:rFonts w:ascii="Times New Roman" w:cs="Times New Roman" w:eastAsia="Times New Roman" w:hAnsi="Times New Roman"/>
                <w:sz w:val="25"/>
                <w:szCs w:val="25"/>
                <w:color w:val="auto"/>
                <w:vertAlign w:val="superscript"/>
              </w:rPr>
              <w:t>18</w:t>
            </w:r>
            <w:r>
              <w:rPr>
                <w:rFonts w:ascii="Times New Roman" w:cs="Times New Roman" w:eastAsia="Times New Roman" w:hAnsi="Times New Roman"/>
                <w:sz w:val="16"/>
                <w:szCs w:val="16"/>
                <w:color w:val="auto"/>
              </w:rPr>
              <w:t xml:space="preserve"> of the Indenture (any such conversion</w:t>
            </w:r>
          </w:p>
        </w:tc>
      </w:tr>
      <w:tr>
        <w:trPr>
          <w:trHeight w:val="220"/>
        </w:trPr>
        <w:tc>
          <w:tcPr>
            <w:tcW w:w="17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described in clause (x) or clause (y), an “</w:t>
            </w:r>
            <w:r>
              <w:rPr>
                <w:rFonts w:ascii="Times New Roman" w:cs="Times New Roman" w:eastAsia="Times New Roman" w:hAnsi="Times New Roman"/>
                <w:sz w:val="18"/>
                <w:szCs w:val="18"/>
                <w:b w:val="1"/>
                <w:bCs w:val="1"/>
                <w:color w:val="auto"/>
              </w:rPr>
              <w:t>Early Conversion</w:t>
            </w:r>
            <w:r>
              <w:rPr>
                <w:rFonts w:ascii="Times New Roman" w:cs="Times New Roman" w:eastAsia="Times New Roman" w:hAnsi="Times New Roman"/>
                <w:sz w:val="18"/>
                <w:szCs w:val="18"/>
                <w:color w:val="auto"/>
              </w:rPr>
              <w:t>”), to which the</w:t>
            </w:r>
          </w:p>
        </w:tc>
      </w:tr>
      <w:tr>
        <w:trPr>
          <w:trHeight w:val="216"/>
        </w:trPr>
        <w:tc>
          <w:tcPr>
            <w:tcW w:w="1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provisions of Section 9(i)(i) of this Confirmation shall apply), the date on which the</w:t>
            </w:r>
          </w:p>
        </w:tc>
      </w:tr>
      <w:tr>
        <w:trPr>
          <w:trHeight w:val="206"/>
        </w:trPr>
        <w:tc>
          <w:tcPr>
            <w:tcW w:w="17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24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“Holder” (as such term is defined in the Indenture) of such Convertible Note satisfies</w:t>
            </w:r>
          </w:p>
        </w:tc>
      </w:tr>
      <w:tr>
        <w:trPr>
          <w:trHeight w:val="224"/>
        </w:trPr>
        <w:tc>
          <w:tcPr>
            <w:tcW w:w="17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240" w:type="dxa"/>
            <w:vAlign w:val="bottom"/>
          </w:tcPr>
          <w:p>
            <w:pPr>
              <w:ind w:left="1080"/>
              <w:spacing w:after="0" w:line="223" w:lineRule="exact"/>
              <w:rPr>
                <w:sz w:val="20"/>
                <w:szCs w:val="20"/>
                <w:color w:val="auto"/>
              </w:rPr>
            </w:pPr>
            <w:r>
              <w:rPr>
                <w:rFonts w:ascii="Times New Roman" w:cs="Times New Roman" w:eastAsia="Times New Roman" w:hAnsi="Times New Roman"/>
                <w:sz w:val="16"/>
                <w:szCs w:val="16"/>
                <w:color w:val="auto"/>
              </w:rPr>
              <w:t>all of the requirements for conversion thereof as set forth in Section [5.02(A)]</w:t>
            </w:r>
            <w:r>
              <w:rPr>
                <w:rFonts w:ascii="Times New Roman" w:cs="Times New Roman" w:eastAsia="Times New Roman" w:hAnsi="Times New Roman"/>
                <w:sz w:val="25"/>
                <w:szCs w:val="25"/>
                <w:color w:val="auto"/>
                <w:vertAlign w:val="superscript"/>
              </w:rPr>
              <w:t>19</w:t>
            </w:r>
            <w:r>
              <w:rPr>
                <w:rFonts w:ascii="Times New Roman" w:cs="Times New Roman" w:eastAsia="Times New Roman" w:hAnsi="Times New Roman"/>
                <w:sz w:val="16"/>
                <w:szCs w:val="16"/>
                <w:color w:val="auto"/>
              </w:rPr>
              <w:t xml:space="preserve"> of</w:t>
            </w:r>
          </w:p>
        </w:tc>
      </w:tr>
      <w:tr>
        <w:trPr>
          <w:trHeight w:val="218"/>
        </w:trPr>
        <w:tc>
          <w:tcPr>
            <w:tcW w:w="1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 xml:space="preserve">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Counterparty has not delivered to Dealer a related</w:t>
            </w:r>
          </w:p>
        </w:tc>
      </w:tr>
      <w:tr>
        <w:trPr>
          <w:trHeight w:val="216"/>
        </w:trPr>
        <w:tc>
          <w:tcPr>
            <w:tcW w:w="1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Notice of Exercise, then in no event shall a Conversion Date be deemed to occur</w:t>
            </w:r>
          </w:p>
        </w:tc>
      </w:tr>
      <w:tr>
        <w:trPr>
          <w:trHeight w:val="216"/>
        </w:trPr>
        <w:tc>
          <w:tcPr>
            <w:tcW w:w="1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hereunder (and no Option shall be exercised or deemed to be exercised hereunder)</w:t>
            </w:r>
          </w:p>
        </w:tc>
      </w:tr>
      <w:tr>
        <w:trPr>
          <w:trHeight w:val="216"/>
        </w:trPr>
        <w:tc>
          <w:tcPr>
            <w:tcW w:w="1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with respect to any surrender of a Convertible Note for conversion in respect of</w:t>
            </w:r>
          </w:p>
        </w:tc>
      </w:tr>
      <w:tr>
        <w:trPr>
          <w:trHeight w:val="206"/>
        </w:trPr>
        <w:tc>
          <w:tcPr>
            <w:tcW w:w="17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which Counterparty has elected to designate a financial institution for exchange in</w:t>
            </w:r>
          </w:p>
        </w:tc>
      </w:tr>
      <w:tr>
        <w:trPr>
          <w:trHeight w:val="226"/>
        </w:trPr>
        <w:tc>
          <w:tcPr>
            <w:tcW w:w="17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240" w:type="dxa"/>
            <w:vAlign w:val="bottom"/>
          </w:tcPr>
          <w:p>
            <w:pPr>
              <w:ind w:left="1080"/>
              <w:spacing w:after="0" w:line="226" w:lineRule="exact"/>
              <w:rPr>
                <w:sz w:val="20"/>
                <w:szCs w:val="20"/>
                <w:color w:val="auto"/>
              </w:rPr>
            </w:pPr>
            <w:r>
              <w:rPr>
                <w:rFonts w:ascii="Times New Roman" w:cs="Times New Roman" w:eastAsia="Times New Roman" w:hAnsi="Times New Roman"/>
                <w:sz w:val="16"/>
                <w:szCs w:val="16"/>
                <w:color w:val="auto"/>
              </w:rPr>
              <w:t>lieu of conversion of such Convertible Note pursuant to Section [5.08]</w:t>
            </w:r>
            <w:r>
              <w:rPr>
                <w:rFonts w:ascii="Times New Roman" w:cs="Times New Roman" w:eastAsia="Times New Roman" w:hAnsi="Times New Roman"/>
                <w:sz w:val="26"/>
                <w:szCs w:val="26"/>
                <w:color w:val="auto"/>
                <w:vertAlign w:val="superscript"/>
              </w:rPr>
              <w:t>20</w:t>
            </w:r>
            <w:r>
              <w:rPr>
                <w:rFonts w:ascii="Times New Roman" w:cs="Times New Roman" w:eastAsia="Times New Roman" w:hAnsi="Times New Roman"/>
                <w:sz w:val="16"/>
                <w:szCs w:val="16"/>
                <w:color w:val="auto"/>
              </w:rPr>
              <w:t xml:space="preserve"> of the</w:t>
            </w:r>
          </w:p>
        </w:tc>
      </w:tr>
      <w:tr>
        <w:trPr>
          <w:trHeight w:val="234"/>
        </w:trPr>
        <w:tc>
          <w:tcPr>
            <w:tcW w:w="1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56845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380" w:lineRule="exact"/>
        <w:rPr>
          <w:sz w:val="20"/>
          <w:szCs w:val="20"/>
          <w:color w:val="auto"/>
        </w:rPr>
      </w:pPr>
    </w:p>
    <w:p>
      <w:pPr>
        <w:jc w:val="both"/>
        <w:ind w:left="180" w:hanging="172"/>
        <w:spacing w:after="0" w:line="210" w:lineRule="auto"/>
        <w:tabs>
          <w:tab w:leader="none" w:pos="226" w:val="left"/>
        </w:tabs>
        <w:numPr>
          <w:ilvl w:val="0"/>
          <w:numId w:val="1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the Base Call Option Confirmation, this is equal to the number of Convertible Notes in principal amount of $1,000 initially issued on the closing date for the Convertible Notes. For the Additional Call Option Confirmation, this is equal to the number of additional Convertible Notes in principal amount of $1,000.</w:t>
      </w:r>
    </w:p>
    <w:p>
      <w:pPr>
        <w:spacing w:after="0" w:line="2" w:lineRule="exact"/>
        <w:rPr>
          <w:rFonts w:ascii="Times New Roman" w:cs="Times New Roman" w:eastAsia="Times New Roman" w:hAnsi="Times New Roman"/>
          <w:sz w:val="30"/>
          <w:szCs w:val="30"/>
          <w:color w:val="auto"/>
          <w:vertAlign w:val="superscript"/>
        </w:rPr>
      </w:pPr>
    </w:p>
    <w:p>
      <w:pPr>
        <w:ind w:left="200" w:hanging="192"/>
        <w:spacing w:after="0" w:line="180" w:lineRule="auto"/>
        <w:tabs>
          <w:tab w:leader="none" w:pos="200" w:val="left"/>
        </w:tabs>
        <w:numPr>
          <w:ilvl w:val="0"/>
          <w:numId w:val="14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Insert the initial Conversion Rate for the Convertible Notes.</w:t>
      </w:r>
    </w:p>
    <w:p>
      <w:pPr>
        <w:spacing w:after="0" w:line="2" w:lineRule="exact"/>
        <w:rPr>
          <w:rFonts w:ascii="Times New Roman" w:cs="Times New Roman" w:eastAsia="Times New Roman" w:hAnsi="Times New Roman"/>
          <w:sz w:val="25"/>
          <w:szCs w:val="25"/>
          <w:color w:val="auto"/>
          <w:vertAlign w:val="superscript"/>
        </w:rPr>
      </w:pPr>
    </w:p>
    <w:p>
      <w:pPr>
        <w:ind w:left="200" w:hanging="192"/>
        <w:spacing w:after="0" w:line="194" w:lineRule="auto"/>
        <w:tabs>
          <w:tab w:leader="none" w:pos="200" w:val="left"/>
        </w:tabs>
        <w:numPr>
          <w:ilvl w:val="0"/>
          <w:numId w:val="1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cross-reference to Indenture section(s) containing discretionary adjustments to the Conversion Rate by Counterparty.</w:t>
      </w:r>
    </w:p>
    <w:p>
      <w:pPr>
        <w:spacing w:after="0" w:line="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cross-reference to Indenture section(s) governing make-whole adjustments to the Conversion Rate.</w:t>
      </w:r>
    </w:p>
    <w:p>
      <w:pPr>
        <w:spacing w:after="0" w:line="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cross-reference to Indenture section(s) governing make-whole adjustments to the Conversion Rate.</w:t>
      </w:r>
    </w:p>
    <w:p>
      <w:pPr>
        <w:spacing w:after="0" w:line="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cross-reference to Indenture section(s) setting forth the requirements for conversion of the Convertible Notes.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 w:right="339" w:bottom="1440" w:gutter="0" w:footer="0" w:header="0"/>
        </w:sectPr>
      </w:pPr>
    </w:p>
    <w:bookmarkStart w:id="106" w:name="page107"/>
    <w:bookmarkEnd w:id="106"/>
    <w:tbl>
      <w:tblPr>
        <w:tblLayout w:type="fixed"/>
        <w:tblInd w:w="1140" w:type="dxa"/>
        <w:tblCellMar>
          <w:top w:w="0" w:type="dxa"/>
          <w:left w:w="0" w:type="dxa"/>
          <w:bottom w:w="0" w:type="dxa"/>
          <w:right w:w="0" w:type="dxa"/>
        </w:tblCellMar>
      </w:tblPr>
      <w:tr>
        <w:trPr>
          <w:trHeight w:val="37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Free Convertibility Date:</w:t>
            </w:r>
          </w:p>
        </w:tc>
        <w:tc>
          <w:tcPr>
            <w:tcW w:w="72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March 1, 2030</w:t>
            </w:r>
            <w:r>
              <w:rPr>
                <w:rFonts w:ascii="Times New Roman" w:cs="Times New Roman" w:eastAsia="Times New Roman" w:hAnsi="Times New Roman"/>
                <w:sz w:val="29"/>
                <w:szCs w:val="29"/>
                <w:color w:val="auto"/>
                <w:vertAlign w:val="superscript"/>
              </w:rPr>
              <w:t>21</w:t>
            </w:r>
          </w:p>
        </w:tc>
      </w:tr>
      <w:tr>
        <w:trPr>
          <w:trHeight w:val="30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Expiration Time:</w:t>
            </w:r>
          </w:p>
        </w:tc>
        <w:tc>
          <w:tcPr>
            <w:tcW w:w="72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The Valuation Time</w:t>
            </w:r>
          </w:p>
        </w:tc>
      </w:tr>
      <w:tr>
        <w:trPr>
          <w:trHeight w:val="582"/>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72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June 1, 2030</w:t>
            </w:r>
            <w:r>
              <w:rPr>
                <w:rFonts w:ascii="Times New Roman" w:cs="Times New Roman" w:eastAsia="Times New Roman" w:hAnsi="Times New Roman"/>
                <w:sz w:val="29"/>
                <w:szCs w:val="29"/>
                <w:color w:val="auto"/>
                <w:vertAlign w:val="superscript"/>
              </w:rPr>
              <w:t>22</w:t>
            </w:r>
            <w:r>
              <w:rPr>
                <w:rFonts w:ascii="Times New Roman" w:cs="Times New Roman" w:eastAsia="Times New Roman" w:hAnsi="Times New Roman"/>
                <w:sz w:val="18"/>
                <w:szCs w:val="18"/>
                <w:color w:val="auto"/>
              </w:rPr>
              <w:t>, subject to earlier exercise.</w:t>
            </w:r>
          </w:p>
        </w:tc>
      </w:tr>
      <w:tr>
        <w:trPr>
          <w:trHeight w:val="26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Multiple Exercise:</w:t>
            </w:r>
          </w:p>
        </w:tc>
        <w:tc>
          <w:tcPr>
            <w:tcW w:w="72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Applicable, as described under “Automatic Exercise” and “Automatic Exercise of</w:t>
            </w:r>
          </w:p>
        </w:tc>
      </w:tr>
      <w:tr>
        <w:trPr>
          <w:trHeight w:val="234"/>
        </w:trPr>
        <w:tc>
          <w:tcPr>
            <w:tcW w:w="2880" w:type="dxa"/>
            <w:vAlign w:val="bottom"/>
          </w:tcPr>
          <w:p>
            <w:pPr>
              <w:spacing w:after="0"/>
              <w:rPr>
                <w:sz w:val="20"/>
                <w:szCs w:val="20"/>
                <w:color w:val="auto"/>
              </w:rPr>
            </w:pPr>
          </w:p>
        </w:tc>
        <w:tc>
          <w:tcPr>
            <w:tcW w:w="72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Remaining Repurchase Options After Free Convertibility Date” below.</w:t>
            </w:r>
          </w:p>
        </w:tc>
      </w:tr>
      <w:tr>
        <w:trPr>
          <w:trHeight w:val="41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Automatic Exercise:</w:t>
            </w:r>
          </w:p>
        </w:tc>
        <w:tc>
          <w:tcPr>
            <w:tcW w:w="72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Notwithstanding Section 3.4 of the Equity Definitions, on each Conversion Date</w:t>
            </w:r>
          </w:p>
        </w:tc>
      </w:tr>
      <w:tr>
        <w:trPr>
          <w:trHeight w:val="216"/>
        </w:trPr>
        <w:tc>
          <w:tcPr>
            <w:tcW w:w="2880" w:type="dxa"/>
            <w:vAlign w:val="bottom"/>
          </w:tcPr>
          <w:p>
            <w:pPr>
              <w:spacing w:after="0"/>
              <w:rPr>
                <w:sz w:val="18"/>
                <w:szCs w:val="18"/>
                <w:color w:val="auto"/>
              </w:rPr>
            </w:pPr>
          </w:p>
        </w:tc>
        <w:tc>
          <w:tcPr>
            <w:tcW w:w="72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occurring on or after the Free Convertibility Date, in respect of which a “Notice of</w:t>
            </w:r>
          </w:p>
        </w:tc>
      </w:tr>
      <w:tr>
        <w:trPr>
          <w:trHeight w:val="216"/>
        </w:trPr>
        <w:tc>
          <w:tcPr>
            <w:tcW w:w="2880" w:type="dxa"/>
            <w:vAlign w:val="bottom"/>
          </w:tcPr>
          <w:p>
            <w:pPr>
              <w:spacing w:after="0"/>
              <w:rPr>
                <w:sz w:val="18"/>
                <w:szCs w:val="18"/>
                <w:color w:val="auto"/>
              </w:rPr>
            </w:pPr>
          </w:p>
        </w:tc>
        <w:tc>
          <w:tcPr>
            <w:tcW w:w="72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Conversion” (as defined in the Indenture) that is effective as to Counterparty has</w:t>
            </w:r>
          </w:p>
        </w:tc>
      </w:tr>
      <w:tr>
        <w:trPr>
          <w:trHeight w:val="216"/>
        </w:trPr>
        <w:tc>
          <w:tcPr>
            <w:tcW w:w="2880" w:type="dxa"/>
            <w:vAlign w:val="bottom"/>
          </w:tcPr>
          <w:p>
            <w:pPr>
              <w:spacing w:after="0"/>
              <w:rPr>
                <w:sz w:val="18"/>
                <w:szCs w:val="18"/>
                <w:color w:val="auto"/>
              </w:rPr>
            </w:pPr>
          </w:p>
        </w:tc>
        <w:tc>
          <w:tcPr>
            <w:tcW w:w="72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been delivered by the relevant converting “Holder” (as defined in the Indenture), a</w:t>
            </w:r>
          </w:p>
        </w:tc>
      </w:tr>
      <w:tr>
        <w:trPr>
          <w:trHeight w:val="214"/>
        </w:trPr>
        <w:tc>
          <w:tcPr>
            <w:tcW w:w="2880" w:type="dxa"/>
            <w:vAlign w:val="bottom"/>
          </w:tcPr>
          <w:p>
            <w:pPr>
              <w:spacing w:after="0"/>
              <w:rPr>
                <w:sz w:val="18"/>
                <w:szCs w:val="18"/>
                <w:color w:val="auto"/>
              </w:rPr>
            </w:pPr>
          </w:p>
        </w:tc>
        <w:tc>
          <w:tcPr>
            <w:tcW w:w="72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number of Options equal to [(i)] the number of Convertible Notes in denominations</w:t>
            </w:r>
          </w:p>
        </w:tc>
      </w:tr>
      <w:tr>
        <w:trPr>
          <w:trHeight w:val="218"/>
        </w:trPr>
        <w:tc>
          <w:tcPr>
            <w:tcW w:w="2880" w:type="dxa"/>
            <w:vAlign w:val="bottom"/>
          </w:tcPr>
          <w:p>
            <w:pPr>
              <w:spacing w:after="0"/>
              <w:rPr>
                <w:sz w:val="18"/>
                <w:szCs w:val="18"/>
                <w:color w:val="auto"/>
              </w:rPr>
            </w:pPr>
          </w:p>
        </w:tc>
        <w:tc>
          <w:tcPr>
            <w:tcW w:w="72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of USD 1,000 as to which such Conversion Date has occurred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number</w:t>
            </w:r>
          </w:p>
        </w:tc>
      </w:tr>
      <w:tr>
        <w:trPr>
          <w:trHeight w:val="216"/>
        </w:trPr>
        <w:tc>
          <w:tcPr>
            <w:tcW w:w="2880" w:type="dxa"/>
            <w:vAlign w:val="bottom"/>
          </w:tcPr>
          <w:p>
            <w:pPr>
              <w:spacing w:after="0"/>
              <w:rPr>
                <w:sz w:val="18"/>
                <w:szCs w:val="18"/>
                <w:color w:val="auto"/>
              </w:rPr>
            </w:pPr>
          </w:p>
        </w:tc>
        <w:tc>
          <w:tcPr>
            <w:tcW w:w="72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of Options that are or are deemed to be automatically exercised on such Conversion</w:t>
            </w:r>
          </w:p>
        </w:tc>
      </w:tr>
      <w:tr>
        <w:trPr>
          <w:trHeight w:val="212"/>
        </w:trPr>
        <w:tc>
          <w:tcPr>
            <w:tcW w:w="2880" w:type="dxa"/>
            <w:vAlign w:val="bottom"/>
          </w:tcPr>
          <w:p>
            <w:pPr>
              <w:spacing w:after="0"/>
              <w:rPr>
                <w:sz w:val="18"/>
                <w:szCs w:val="18"/>
                <w:color w:val="auto"/>
              </w:rPr>
            </w:pPr>
          </w:p>
        </w:tc>
        <w:tc>
          <w:tcPr>
            <w:tcW w:w="72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Date under the Base Call Option Transaction Confirmation letter agreement dated</w:t>
            </w:r>
          </w:p>
        </w:tc>
      </w:tr>
      <w:tr>
        <w:trPr>
          <w:trHeight w:val="210"/>
        </w:trPr>
        <w:tc>
          <w:tcPr>
            <w:tcW w:w="2880" w:type="dxa"/>
            <w:vAlign w:val="bottom"/>
          </w:tcPr>
          <w:p>
            <w:pPr>
              <w:spacing w:after="0"/>
              <w:rPr>
                <w:sz w:val="18"/>
                <w:szCs w:val="18"/>
                <w:color w:val="auto"/>
              </w:rPr>
            </w:pPr>
          </w:p>
        </w:tc>
        <w:tc>
          <w:tcPr>
            <w:tcW w:w="72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June  [__],  2025  between  Dealer  and  Counterparty  (the  “</w:t>
            </w:r>
            <w:r>
              <w:rPr>
                <w:rFonts w:ascii="Times New Roman" w:cs="Times New Roman" w:eastAsia="Times New Roman" w:hAnsi="Times New Roman"/>
                <w:sz w:val="18"/>
                <w:szCs w:val="18"/>
                <w:b w:val="1"/>
                <w:bCs w:val="1"/>
                <w:color w:val="auto"/>
              </w:rPr>
              <w:t>Base  Call  Option</w:t>
            </w:r>
          </w:p>
        </w:tc>
      </w:tr>
      <w:tr>
        <w:trPr>
          <w:trHeight w:val="226"/>
        </w:trPr>
        <w:tc>
          <w:tcPr>
            <w:tcW w:w="2880" w:type="dxa"/>
            <w:vAlign w:val="bottom"/>
          </w:tcPr>
          <w:p>
            <w:pPr>
              <w:spacing w:after="0"/>
              <w:rPr>
                <w:sz w:val="19"/>
                <w:szCs w:val="19"/>
                <w:color w:val="auto"/>
              </w:rPr>
            </w:pPr>
          </w:p>
        </w:tc>
        <w:tc>
          <w:tcPr>
            <w:tcW w:w="7220" w:type="dxa"/>
            <w:vAlign w:val="bottom"/>
          </w:tcPr>
          <w:p>
            <w:pPr>
              <w:ind w:left="1060"/>
              <w:spacing w:after="0" w:line="226" w:lineRule="exact"/>
              <w:rPr>
                <w:sz w:val="20"/>
                <w:szCs w:val="20"/>
                <w:color w:val="auto"/>
              </w:rPr>
            </w:pPr>
            <w:r>
              <w:rPr>
                <w:rFonts w:ascii="Times New Roman" w:cs="Times New Roman" w:eastAsia="Times New Roman" w:hAnsi="Times New Roman"/>
                <w:sz w:val="16"/>
                <w:szCs w:val="16"/>
                <w:b w:val="1"/>
                <w:bCs w:val="1"/>
                <w:color w:val="auto"/>
              </w:rPr>
              <w:t>Confirmation</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perscript"/>
              </w:rPr>
              <w:t>23</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be deemed to be automatically exercised;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that</w:t>
            </w:r>
          </w:p>
        </w:tc>
      </w:tr>
      <w:tr>
        <w:trPr>
          <w:trHeight w:val="216"/>
        </w:trPr>
        <w:tc>
          <w:tcPr>
            <w:tcW w:w="2880" w:type="dxa"/>
            <w:vAlign w:val="bottom"/>
          </w:tcPr>
          <w:p>
            <w:pPr>
              <w:spacing w:after="0"/>
              <w:rPr>
                <w:sz w:val="18"/>
                <w:szCs w:val="18"/>
                <w:color w:val="auto"/>
              </w:rPr>
            </w:pPr>
          </w:p>
        </w:tc>
        <w:tc>
          <w:tcPr>
            <w:tcW w:w="72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such Options shall be exercised or deemed exercised only if Counterparty has</w:t>
            </w:r>
          </w:p>
        </w:tc>
      </w:tr>
      <w:tr>
        <w:trPr>
          <w:trHeight w:val="216"/>
        </w:trPr>
        <w:tc>
          <w:tcPr>
            <w:tcW w:w="2880" w:type="dxa"/>
            <w:vAlign w:val="bottom"/>
          </w:tcPr>
          <w:p>
            <w:pPr>
              <w:spacing w:after="0"/>
              <w:rPr>
                <w:sz w:val="18"/>
                <w:szCs w:val="18"/>
                <w:color w:val="auto"/>
              </w:rPr>
            </w:pPr>
          </w:p>
        </w:tc>
        <w:tc>
          <w:tcPr>
            <w:tcW w:w="72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provided a Notice of Exercise to Dealer in accordance with “Notice of Exercise”</w:t>
            </w:r>
          </w:p>
        </w:tc>
      </w:tr>
      <w:tr>
        <w:trPr>
          <w:trHeight w:val="234"/>
        </w:trPr>
        <w:tc>
          <w:tcPr>
            <w:tcW w:w="2880" w:type="dxa"/>
            <w:vAlign w:val="bottom"/>
          </w:tcPr>
          <w:p>
            <w:pPr>
              <w:spacing w:after="0"/>
              <w:rPr>
                <w:sz w:val="20"/>
                <w:szCs w:val="20"/>
                <w:color w:val="auto"/>
              </w:rPr>
            </w:pPr>
          </w:p>
        </w:tc>
        <w:tc>
          <w:tcPr>
            <w:tcW w:w="72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below.</w:t>
            </w:r>
          </w:p>
        </w:tc>
      </w:tr>
      <w:tr>
        <w:trPr>
          <w:trHeight w:val="414"/>
        </w:trPr>
        <w:tc>
          <w:tcPr>
            <w:tcW w:w="2880" w:type="dxa"/>
            <w:vAlign w:val="bottom"/>
          </w:tcPr>
          <w:p>
            <w:pPr>
              <w:spacing w:after="0"/>
              <w:rPr>
                <w:sz w:val="24"/>
                <w:szCs w:val="24"/>
                <w:color w:val="auto"/>
              </w:rPr>
            </w:pPr>
          </w:p>
        </w:tc>
        <w:tc>
          <w:tcPr>
            <w:tcW w:w="72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Notwithstanding the foregoing, in no event shall the number of Options that are</w:t>
            </w:r>
          </w:p>
        </w:tc>
      </w:tr>
      <w:tr>
        <w:trPr>
          <w:trHeight w:val="234"/>
        </w:trPr>
        <w:tc>
          <w:tcPr>
            <w:tcW w:w="2880" w:type="dxa"/>
            <w:vAlign w:val="bottom"/>
          </w:tcPr>
          <w:p>
            <w:pPr>
              <w:spacing w:after="0"/>
              <w:rPr>
                <w:sz w:val="20"/>
                <w:szCs w:val="20"/>
                <w:color w:val="auto"/>
              </w:rPr>
            </w:pPr>
          </w:p>
        </w:tc>
        <w:tc>
          <w:tcPr>
            <w:tcW w:w="72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exercised or deemed exercised hereunder exceed the Number of Options.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56845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93" w:lineRule="exact"/>
        <w:rPr>
          <w:sz w:val="20"/>
          <w:szCs w:val="20"/>
          <w:color w:val="auto"/>
        </w:rPr>
      </w:pPr>
    </w:p>
    <w:p>
      <w:pPr>
        <w:ind w:left="200" w:hanging="192"/>
        <w:spacing w:after="0"/>
        <w:tabs>
          <w:tab w:leader="none" w:pos="200" w:val="left"/>
        </w:tabs>
        <w:numPr>
          <w:ilvl w:val="0"/>
          <w:numId w:val="14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 cross-reference to section of the Indenture containing provisions for exchange in lieu of conversion.</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To match the free convertibility date specified in the Convertible Notes.</w:t>
      </w:r>
    </w:p>
    <w:p>
      <w:pPr>
        <w:spacing w:after="0" w:line="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To match the Maturity Date of the Convertible Notes.</w:t>
      </w:r>
    </w:p>
    <w:p>
      <w:pPr>
        <w:spacing w:after="0" w:line="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for Additional Call Option Confirmation only.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7" w:name="page108"/>
    <w:bookmarkEnd w:id="107"/>
    <w:p>
      <w:pPr>
        <w:ind w:left="1132"/>
        <w:spacing w:after="0"/>
        <w:rPr>
          <w:sz w:val="20"/>
          <w:szCs w:val="20"/>
          <w:color w:val="auto"/>
        </w:rPr>
      </w:pPr>
      <w:r>
        <w:rPr>
          <w:rFonts w:ascii="Times New Roman" w:cs="Times New Roman" w:eastAsia="Times New Roman" w:hAnsi="Times New Roman"/>
          <w:sz w:val="18"/>
          <w:szCs w:val="18"/>
          <w:color w:val="auto"/>
        </w:rPr>
        <w:t>Automatic Exercise of Remaining</w:t>
      </w:r>
    </w:p>
    <w:p>
      <w:pPr>
        <w:spacing w:after="0" w:line="27" w:lineRule="exact"/>
        <w:rPr>
          <w:sz w:val="20"/>
          <w:szCs w:val="20"/>
          <w:color w:val="auto"/>
        </w:rPr>
      </w:pPr>
    </w:p>
    <w:p>
      <w:pPr>
        <w:ind w:left="1132"/>
        <w:spacing w:after="0"/>
        <w:rPr>
          <w:sz w:val="20"/>
          <w:szCs w:val="20"/>
          <w:color w:val="auto"/>
        </w:rPr>
      </w:pPr>
      <w:r>
        <w:rPr>
          <w:rFonts w:ascii="Times New Roman" w:cs="Times New Roman" w:eastAsia="Times New Roman" w:hAnsi="Times New Roman"/>
          <w:sz w:val="18"/>
          <w:szCs w:val="18"/>
          <w:color w:val="auto"/>
        </w:rPr>
        <w:t>Repurchase Options After</w:t>
      </w:r>
    </w:p>
    <w:p>
      <w:pPr>
        <w:spacing w:after="0" w:line="9" w:lineRule="exact"/>
        <w:rPr>
          <w:sz w:val="20"/>
          <w:szCs w:val="20"/>
          <w:color w:val="auto"/>
        </w:rPr>
      </w:pPr>
    </w:p>
    <w:p>
      <w:pPr>
        <w:ind w:left="1132"/>
        <w:spacing w:after="0"/>
        <w:rPr>
          <w:sz w:val="20"/>
          <w:szCs w:val="20"/>
          <w:color w:val="auto"/>
        </w:rPr>
      </w:pPr>
      <w:r>
        <w:rPr>
          <w:rFonts w:ascii="Times New Roman" w:cs="Times New Roman" w:eastAsia="Times New Roman" w:hAnsi="Times New Roman"/>
          <w:sz w:val="18"/>
          <w:szCs w:val="18"/>
          <w:color w:val="auto"/>
        </w:rPr>
        <w:t>Free Convertibility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3906520</wp:posOffset>
            </wp:positionV>
            <wp:extent cx="156845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92" w:hanging="192"/>
        <w:spacing w:after="0"/>
        <w:tabs>
          <w:tab w:leader="none" w:pos="192" w:val="left"/>
        </w:tabs>
        <w:numPr>
          <w:ilvl w:val="0"/>
          <w:numId w:val="15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for Additional Call Option Confirmation only.</w:t>
      </w:r>
    </w:p>
    <w:p>
      <w:pPr>
        <w:spacing w:after="0" w:line="1" w:lineRule="exact"/>
        <w:rPr>
          <w:rFonts w:ascii="Times New Roman" w:cs="Times New Roman" w:eastAsia="Times New Roman" w:hAnsi="Times New Roman"/>
          <w:sz w:val="28"/>
          <w:szCs w:val="28"/>
          <w:color w:val="auto"/>
          <w:vertAlign w:val="superscript"/>
        </w:rPr>
      </w:pPr>
    </w:p>
    <w:p>
      <w:pPr>
        <w:ind w:left="192" w:hanging="192"/>
        <w:spacing w:after="0" w:line="194" w:lineRule="auto"/>
        <w:tabs>
          <w:tab w:leader="none" w:pos="192" w:val="left"/>
        </w:tabs>
        <w:numPr>
          <w:ilvl w:val="0"/>
          <w:numId w:val="1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Additional Call Option Confirmation only.</w:t>
      </w:r>
    </w:p>
    <w:p>
      <w:pPr>
        <w:spacing w:after="0" w:line="20" w:lineRule="exact"/>
        <w:rPr>
          <w:sz w:val="20"/>
          <w:szCs w:val="20"/>
          <w:color w:val="auto"/>
        </w:rPr>
      </w:pPr>
      <w:r>
        <w:rPr>
          <w:sz w:val="20"/>
          <w:szCs w:val="20"/>
          <w:color w:val="auto"/>
        </w:rPr>
        <w:br w:type="column"/>
      </w:r>
    </w:p>
    <w:p>
      <w:pPr>
        <w:jc w:val="both"/>
        <w:ind w:left="10"/>
        <w:spacing w:after="0" w:line="269" w:lineRule="auto"/>
        <w:rPr>
          <w:sz w:val="20"/>
          <w:szCs w:val="20"/>
          <w:color w:val="auto"/>
        </w:rPr>
      </w:pPr>
      <w:r>
        <w:rPr>
          <w:rFonts w:ascii="Times New Roman" w:cs="Times New Roman" w:eastAsia="Times New Roman" w:hAnsi="Times New Roman"/>
          <w:sz w:val="17"/>
          <w:szCs w:val="17"/>
          <w:color w:val="auto"/>
        </w:rPr>
        <w:t>Notwithstanding anything herein or in Section 3.4 of the Equity Definitions to the contrary, unless Counterparty notifies Dealer in writing prior to 5:00 p.m. (New York City time) on the Scheduled Valid Day immediately preceding the Expiration Date that it does not wish Automatic Exercise to occur with respect to any Remaining Repurchase Options (as defined below), a number of Options equal to the lesser of</w:t>
      </w:r>
    </w:p>
    <w:p>
      <w:pPr>
        <w:spacing w:after="0" w:line="3" w:lineRule="exact"/>
        <w:rPr>
          <w:sz w:val="20"/>
          <w:szCs w:val="20"/>
          <w:color w:val="auto"/>
        </w:rPr>
      </w:pPr>
    </w:p>
    <w:p>
      <w:pPr>
        <w:jc w:val="both"/>
        <w:ind w:left="10" w:hanging="10"/>
        <w:spacing w:after="0" w:line="238" w:lineRule="auto"/>
        <w:tabs>
          <w:tab w:leader="none" w:pos="26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Options (after giving effect to the provisions opposite the caption “Automatic Exercise” above) as of 9:00 a.m. (New York City time) on the Expiration Date and (b) the Remaining Repurchase Options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number of Remaining Options (as defined in the Base Call Option Transaction Confirmation)]</w:t>
      </w:r>
      <w:r>
        <w:rPr>
          <w:rFonts w:ascii="Times New Roman" w:cs="Times New Roman" w:eastAsia="Times New Roman" w:hAnsi="Times New Roman"/>
          <w:sz w:val="29"/>
          <w:szCs w:val="29"/>
          <w:color w:val="auto"/>
          <w:vertAlign w:val="superscript"/>
        </w:rPr>
        <w:t>24</w:t>
      </w:r>
      <w:r>
        <w:rPr>
          <w:rFonts w:ascii="Times New Roman" w:cs="Times New Roman" w:eastAsia="Times New Roman" w:hAnsi="Times New Roman"/>
          <w:sz w:val="18"/>
          <w:szCs w:val="18"/>
          <w:color w:val="auto"/>
        </w:rPr>
        <w:t xml:space="preserve"> (such lesser number, the “</w:t>
      </w:r>
      <w:r>
        <w:rPr>
          <w:rFonts w:ascii="Times New Roman" w:cs="Times New Roman" w:eastAsia="Times New Roman" w:hAnsi="Times New Roman"/>
          <w:sz w:val="18"/>
          <w:szCs w:val="18"/>
          <w:b w:val="1"/>
          <w:bCs w:val="1"/>
          <w:color w:val="auto"/>
        </w:rPr>
        <w:t>Remaining Options</w:t>
      </w:r>
      <w:r>
        <w:rPr>
          <w:rFonts w:ascii="Times New Roman" w:cs="Times New Roman" w:eastAsia="Times New Roman" w:hAnsi="Times New Roman"/>
          <w:sz w:val="18"/>
          <w:szCs w:val="18"/>
          <w:color w:val="auto"/>
        </w:rPr>
        <w:t xml:space="preserve">”) will be deemed to be automatically exercised as if (i) a number of Convertible Notes (in denominations of USD 1,000 principal amount) equal to such number of Remaining Options were converted with a “Conversion Date” (as defined in the Indenture) occurring on or after the Free Convertibility Date and (ii) the Relevant Settlement Method applied to such Convertible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automatic exercise pursuant to this paragraph will occur if the Relevant Price for each Valid Day during the Settlement Averaging Period is less than or equal to the Strike Price. </w:t>
      </w:r>
      <w:r>
        <w:rPr>
          <w:rFonts w:ascii="Times New Roman" w:cs="Times New Roman" w:eastAsia="Times New Roman" w:hAnsi="Times New Roman"/>
          <w:sz w:val="18"/>
          <w:szCs w:val="18"/>
          <w:color w:val="1F497D"/>
        </w:rPr>
        <w:t>“</w:t>
      </w:r>
      <w:r>
        <w:rPr>
          <w:rFonts w:ascii="Times New Roman" w:cs="Times New Roman" w:eastAsia="Times New Roman" w:hAnsi="Times New Roman"/>
          <w:sz w:val="18"/>
          <w:szCs w:val="18"/>
          <w:b w:val="1"/>
          <w:bCs w:val="1"/>
          <w:color w:val="auto"/>
        </w:rPr>
        <w:t>Remaining Repurchase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shall mean the excess of (I) the aggregate number of Convertible Notes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denominations of USD 1,000 principal amount) that were subject to Repayment Events (as defined below) (other than Repayment Events pursuant to the terms of the Indenture) described in clause (y) of Section 9(i)(iv) (“</w:t>
      </w:r>
      <w:r>
        <w:rPr>
          <w:rFonts w:ascii="Times New Roman" w:cs="Times New Roman" w:eastAsia="Times New Roman" w:hAnsi="Times New Roman"/>
          <w:sz w:val="18"/>
          <w:szCs w:val="18"/>
          <w:b w:val="1"/>
          <w:bCs w:val="1"/>
          <w:color w:val="auto"/>
        </w:rPr>
        <w:t>Repurchase Events</w:t>
      </w:r>
      <w:r>
        <w:rPr>
          <w:rFonts w:ascii="Times New Roman" w:cs="Times New Roman" w:eastAsia="Times New Roman" w:hAnsi="Times New Roman"/>
          <w:sz w:val="18"/>
          <w:szCs w:val="18"/>
          <w:color w:val="auto"/>
        </w:rPr>
        <w:t xml:space="preserve">”) during the term of the Transaction </w:t>
      </w:r>
      <w:r>
        <w:rPr>
          <w:rFonts w:ascii="Times New Roman" w:cs="Times New Roman" w:eastAsia="Times New Roman" w:hAnsi="Times New Roman"/>
          <w:sz w:val="18"/>
          <w:szCs w:val="18"/>
          <w:i w:val="1"/>
          <w:iCs w:val="1"/>
          <w:color w:val="auto"/>
        </w:rPr>
        <w:t>over</w:t>
      </w:r>
      <w:r>
        <w:rPr>
          <w:rFonts w:ascii="Times New Roman" w:cs="Times New Roman" w:eastAsia="Times New Roman" w:hAnsi="Times New Roman"/>
          <w:sz w:val="18"/>
          <w:szCs w:val="18"/>
          <w:color w:val="auto"/>
        </w:rPr>
        <w:t xml:space="preserve"> (II) the aggregate number of Repayment Options (as defined below) that were terminated hereunder relating to Repurchase Events during the term of the Transaction [and the number of Repayment Options (as defined in the Base Call Option Confirmation) terminated under the Base Call Option Confirmation relating to Repurchase Events (as defined therein) during the term of the “Transaction” under the Base Call Option Confirmation]</w:t>
      </w:r>
      <w:r>
        <w:rPr>
          <w:rFonts w:ascii="Times New Roman" w:cs="Times New Roman" w:eastAsia="Times New Roman" w:hAnsi="Times New Roman"/>
          <w:sz w:val="29"/>
          <w:szCs w:val="29"/>
          <w:color w:val="auto"/>
          <w:vertAlign w:val="superscript"/>
        </w:rPr>
        <w:t>25</w:t>
      </w:r>
      <w:r>
        <w:rPr>
          <w:rFonts w:ascii="Times New Roman" w:cs="Times New Roman" w:eastAsia="Times New Roman" w:hAnsi="Times New Roman"/>
          <w:sz w:val="18"/>
          <w:szCs w:val="18"/>
          <w:color w:val="auto"/>
        </w:rPr>
        <w:t>. Counterparty shall notify Dealer in writing of the number of Remaining Repurchase Options before 5:00 p.m. (New York City time) on the Scheduled Valid Day immediately preceding the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1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40640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342" w:space="720"/>
            <w:col w:w="6170"/>
          </w:cols>
          <w:pgMar w:left="328" w:top="121"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16"/>
        </w:trPr>
        <w:tc>
          <w:tcPr>
            <w:tcW w:w="4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Notice of Exercise:</w:t>
            </w: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Notwithstanding anything to the contrary in the Equity Definitions or under</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“Automatic Exercise” above, but subject to “Automatic Exercise of Remaining</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Repurchase Options After Free Convertibility Date” above, in order to exercise any</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Options relating to Convertible Notes with a Conversion Date occurring on or after</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the Free Convertibility Date, Counterparty must notify Dealer in writing (which, for</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the avoidance of doubt, may be by email) before 5:00 p.m. (New York City time) on</w:t>
            </w:r>
          </w:p>
        </w:tc>
      </w:tr>
      <w:tr>
        <w:trPr>
          <w:trHeight w:val="214"/>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the Scheduled Valid Day immediately preceding the Expiration Date specifying the</w:t>
            </w:r>
          </w:p>
        </w:tc>
      </w:tr>
      <w:tr>
        <w:trPr>
          <w:trHeight w:val="218"/>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 xml:space="preserve">number of such Options;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such notice</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(and the related exercise of Options hereunder) shall be effective if given after the</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applicable notice deadline specified above but prior to 5:00 p.m. (New York City</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time) on the fifth Exchange Business Day following such notice deadline, in which</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event the Calculation Agent shall have the right to adjust Dealer’s delivery obligation</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hereunder in good faith and in a commercially reasonable manner, with respect to the</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exercise of such Options, as appropriate to reflect the additional commercially</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reasonable costs and losses (limited to losses as a result of hedging mismatches and</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market losses) and expenses incurred by Dealer or any of its affiliates in connection</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with its hedging activities with such adjustments made assuming that Dealer</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maintains commercially reasonable hedge positions (including the unwinding of any</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hedge position) as a result of its not having received such notice prior to such notice</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deadline (it being understood that the adjusted delivery obligation described in the</w:t>
            </w:r>
          </w:p>
        </w:tc>
      </w:tr>
      <w:tr>
        <w:trPr>
          <w:trHeight w:val="214"/>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preceding proviso can never be less than zero and can never require any payment by</w:t>
            </w:r>
          </w:p>
        </w:tc>
      </w:tr>
      <w:tr>
        <w:trPr>
          <w:trHeight w:val="218"/>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 xml:space="preserve">Counterparty);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the Relevant Settlement Method for such</w:t>
            </w:r>
          </w:p>
        </w:tc>
      </w:tr>
      <w:tr>
        <w:trPr>
          <w:trHeight w:val="212"/>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Options is (x) Cash Settlement or (y) Combination Settlement, Dealer shall have</w:t>
            </w:r>
          </w:p>
        </w:tc>
      </w:tr>
      <w:tr>
        <w:trPr>
          <w:trHeight w:val="220"/>
        </w:trPr>
        <w:tc>
          <w:tcPr>
            <w:tcW w:w="4300" w:type="dxa"/>
            <w:vAlign w:val="bottom"/>
          </w:tcPr>
          <w:p>
            <w:pPr>
              <w:spacing w:after="0"/>
              <w:rPr>
                <w:sz w:val="19"/>
                <w:szCs w:val="19"/>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received a separate notice (the “</w:t>
            </w:r>
            <w:r>
              <w:rPr>
                <w:rFonts w:ascii="Times New Roman" w:cs="Times New Roman" w:eastAsia="Times New Roman" w:hAnsi="Times New Roman"/>
                <w:sz w:val="18"/>
                <w:szCs w:val="18"/>
                <w:b w:val="1"/>
                <w:bCs w:val="1"/>
                <w:color w:val="auto"/>
              </w:rPr>
              <w:t>Notice of Final Settlement Method</w:t>
            </w:r>
            <w:r>
              <w:rPr>
                <w:rFonts w:ascii="Times New Roman" w:cs="Times New Roman" w:eastAsia="Times New Roman" w:hAnsi="Times New Roman"/>
                <w:sz w:val="18"/>
                <w:szCs w:val="18"/>
                <w:color w:val="auto"/>
              </w:rPr>
              <w:t>”) (which, for</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the avoidance of doubt, may be by email) in respect of all such Convertible Notes</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before 5:00 p.m. (New York City time) on the Free Convertibility Date specifying (1)</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the Relevant Settlement Method for such Options, and (2) if the settlement method</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for the related Convertible Notes is not Settlement in Cash (as defined below), the</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fixed amount of cash per Convertible Note that Counterparty has elected to deliver to</w:t>
            </w:r>
          </w:p>
        </w:tc>
      </w:tr>
      <w:tr>
        <w:trPr>
          <w:trHeight w:val="212"/>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“Holders” (as such term is defined in the Indenture) of the related Convertible Notes</w:t>
            </w:r>
          </w:p>
        </w:tc>
      </w:tr>
      <w:tr>
        <w:trPr>
          <w:trHeight w:val="220"/>
        </w:trPr>
        <w:tc>
          <w:tcPr>
            <w:tcW w:w="4300" w:type="dxa"/>
            <w:vAlign w:val="bottom"/>
          </w:tcPr>
          <w:p>
            <w:pPr>
              <w:spacing w:after="0"/>
              <w:rPr>
                <w:sz w:val="19"/>
                <w:szCs w:val="19"/>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Specified Cash Amount</w:t>
            </w:r>
            <w:r>
              <w:rPr>
                <w:rFonts w:ascii="Times New Roman" w:cs="Times New Roman" w:eastAsia="Times New Roman" w:hAnsi="Times New Roman"/>
                <w:sz w:val="18"/>
                <w:szCs w:val="18"/>
                <w:color w:val="auto"/>
              </w:rPr>
              <w:t>”). If Counterparty fails to timely provide such Notice</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of Final Settlement Method, it shall be deemed to have provided a Notice of Final</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Settlement Method indicating that the Relevant Settlement Method is Net Share</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Settlement and that the settlement method for the related Convertible Notes is a</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combination of cash and shares with a Specified Cash Amount of USD 1,000.</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Counterparty acknowledges its responsibilities under applicable securities laws, and</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in particular Section 9 and Section 10(b) of the Exchange Act (as defined below) and</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the rules and regulations thereunder, in respect of any election of a settlement method</w:t>
            </w:r>
          </w:p>
        </w:tc>
      </w:tr>
      <w:tr>
        <w:trPr>
          <w:trHeight w:val="234"/>
        </w:trPr>
        <w:tc>
          <w:tcPr>
            <w:tcW w:w="4300" w:type="dxa"/>
            <w:vAlign w:val="bottom"/>
          </w:tcPr>
          <w:p>
            <w:pPr>
              <w:spacing w:after="0"/>
              <w:rPr>
                <w:sz w:val="20"/>
                <w:szCs w:val="20"/>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with respect to the Convertible Notes.</w:t>
            </w:r>
          </w:p>
        </w:tc>
      </w:tr>
      <w:tr>
        <w:trPr>
          <w:trHeight w:val="414"/>
        </w:trPr>
        <w:tc>
          <w:tcPr>
            <w:tcW w:w="4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Valuation Time:</w:t>
            </w: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 xml:space="preserve">At the close of trading of the regular trading session on the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if the principal trading session is extended, the Calculation Agent shall determine the</w:t>
            </w:r>
          </w:p>
        </w:tc>
      </w:tr>
      <w:tr>
        <w:trPr>
          <w:trHeight w:val="234"/>
        </w:trPr>
        <w:tc>
          <w:tcPr>
            <w:tcW w:w="4300" w:type="dxa"/>
            <w:vAlign w:val="bottom"/>
          </w:tcPr>
          <w:p>
            <w:pPr>
              <w:spacing w:after="0"/>
              <w:rPr>
                <w:sz w:val="20"/>
                <w:szCs w:val="20"/>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Valuation Time in its commercially reasonable discretion.</w:t>
            </w:r>
          </w:p>
        </w:tc>
      </w:tr>
      <w:tr>
        <w:trPr>
          <w:trHeight w:val="414"/>
        </w:trPr>
        <w:tc>
          <w:tcPr>
            <w:tcW w:w="4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VWAP Market Disruption Event:</w:t>
            </w: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With respect to any date, (i) a failure by the principal U.S. national or regional</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securities exchange on which the Shares are then listed or, if the Shares are not then</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listed on a U.S. national or regional securities exchange, the principal other market</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on which the Shares are then traded, to open for trading during its regular trading</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session on such date; or (ii) the occurrence or existence, for more than one half hour</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period in the aggregate, of any suspension or limitation imposed on trading (by</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reason of movements in price exceeding limits permitted by the relevant exchange or</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otherwise) in the Shares or in any options contracts or futures contracts relating to the</w:t>
            </w:r>
          </w:p>
        </w:tc>
      </w:tr>
      <w:tr>
        <w:trPr>
          <w:trHeight w:val="216"/>
        </w:trPr>
        <w:tc>
          <w:tcPr>
            <w:tcW w:w="4300" w:type="dxa"/>
            <w:vAlign w:val="bottom"/>
          </w:tcPr>
          <w:p>
            <w:pPr>
              <w:spacing w:after="0"/>
              <w:rPr>
                <w:sz w:val="18"/>
                <w:szCs w:val="18"/>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Shares, and such suspension or limitation occurs or exists at any time before 1:00</w:t>
            </w:r>
          </w:p>
        </w:tc>
      </w:tr>
      <w:tr>
        <w:trPr>
          <w:trHeight w:val="234"/>
        </w:trPr>
        <w:tc>
          <w:tcPr>
            <w:tcW w:w="4300" w:type="dxa"/>
            <w:vAlign w:val="bottom"/>
          </w:tcPr>
          <w:p>
            <w:pPr>
              <w:spacing w:after="0"/>
              <w:rPr>
                <w:sz w:val="20"/>
                <w:szCs w:val="20"/>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p.m., New York City time, on such date.</w:t>
            </w:r>
          </w:p>
        </w:tc>
      </w:tr>
      <w:tr>
        <w:trPr>
          <w:trHeight w:val="557"/>
        </w:trPr>
        <w:tc>
          <w:tcPr>
            <w:tcW w:w="4300" w:type="dxa"/>
            <w:vAlign w:val="bottom"/>
          </w:tcPr>
          <w:p>
            <w:pPr>
              <w:spacing w:after="0"/>
              <w:rPr>
                <w:sz w:val="24"/>
                <w:szCs w:val="24"/>
                <w:color w:val="auto"/>
              </w:rPr>
            </w:pPr>
          </w:p>
        </w:tc>
        <w:tc>
          <w:tcPr>
            <w:tcW w:w="694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6</w:t>
            </w:r>
          </w:p>
        </w:tc>
      </w:tr>
      <w:tr>
        <w:trPr>
          <w:trHeight w:val="44"/>
        </w:trPr>
        <w:tc>
          <w:tcPr>
            <w:tcW w:w="4300" w:type="dxa"/>
            <w:vAlign w:val="bottom"/>
            <w:tcBorders>
              <w:bottom w:val="single" w:sz="8" w:color="auto"/>
            </w:tcBorders>
          </w:tcPr>
          <w:p>
            <w:pPr>
              <w:spacing w:after="0"/>
              <w:rPr>
                <w:sz w:val="3"/>
                <w:szCs w:val="3"/>
                <w:color w:val="auto"/>
              </w:rPr>
            </w:pPr>
          </w:p>
        </w:tc>
        <w:tc>
          <w:tcPr>
            <w:tcW w:w="69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109" w:name="page110"/>
    <w:bookmarkEnd w:id="109"/>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5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Market Disruption Event:</w:t>
            </w: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6.3(a) of the Equity Definitions is hereby replaced in its entirety by the</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following:</w:t>
            </w:r>
          </w:p>
        </w:tc>
        <w:tc>
          <w:tcPr>
            <w:tcW w:w="0" w:type="dxa"/>
            <w:vAlign w:val="bottom"/>
          </w:tcPr>
          <w:p>
            <w:pPr>
              <w:spacing w:after="0"/>
              <w:rPr>
                <w:sz w:val="1"/>
                <w:szCs w:val="1"/>
                <w:color w:val="auto"/>
              </w:rPr>
            </w:pPr>
          </w:p>
        </w:tc>
      </w:tr>
      <w:tr>
        <w:trPr>
          <w:trHeight w:val="414"/>
        </w:trPr>
        <w:tc>
          <w:tcPr>
            <w:tcW w:w="1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“‘Market Disruption Event’ means, with respect to any date, the occurrence or</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existence, during the one-half hour period ending at the scheduled close of trading on</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such date on the principal U.S. national or regional securities exchange or other</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market on which the Shares are listed for trading or trade, of any material suspension</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or limitation imposed on trading (by reason of movements in price exceeding limits</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permitted by the relevant exchange or otherwise) in the Shares or in any options</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contracts or futures contracts relating to the Shares.”</w:t>
            </w:r>
          </w:p>
        </w:tc>
        <w:tc>
          <w:tcPr>
            <w:tcW w:w="0" w:type="dxa"/>
            <w:vAlign w:val="bottom"/>
          </w:tcPr>
          <w:p>
            <w:pPr>
              <w:spacing w:after="0"/>
              <w:rPr>
                <w:sz w:val="1"/>
                <w:szCs w:val="1"/>
                <w:color w:val="auto"/>
              </w:rPr>
            </w:pPr>
          </w:p>
        </w:tc>
      </w:tr>
      <w:tr>
        <w:trPr>
          <w:trHeight w:val="391"/>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Settlement Terms.</w:t>
            </w:r>
          </w:p>
        </w:tc>
        <w:tc>
          <w:tcPr>
            <w:tcW w:w="7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080" w:type="dxa"/>
            <w:vAlign w:val="bottom"/>
            <w:vMerge w:val="restart"/>
          </w:tcPr>
          <w:p>
            <w:pPr>
              <w:ind w:left="920"/>
              <w:spacing w:after="0"/>
              <w:rPr>
                <w:sz w:val="20"/>
                <w:szCs w:val="20"/>
                <w:color w:val="auto"/>
              </w:rPr>
            </w:pPr>
            <w:r>
              <w:rPr>
                <w:rFonts w:ascii="Times New Roman" w:cs="Times New Roman" w:eastAsia="Times New Roman" w:hAnsi="Times New Roman"/>
                <w:sz w:val="18"/>
                <w:szCs w:val="18"/>
                <w:color w:val="auto"/>
              </w:rPr>
              <w:t xml:space="preserve">For any Option, Net Share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Relevant Settlement</w:t>
            </w:r>
          </w:p>
        </w:tc>
        <w:tc>
          <w:tcPr>
            <w:tcW w:w="0" w:type="dxa"/>
            <w:vAlign w:val="bottom"/>
          </w:tcPr>
          <w:p>
            <w:pPr>
              <w:spacing w:after="0" w:line="20" w:lineRule="exact"/>
              <w:rPr>
                <w:sz w:val="1"/>
                <w:szCs w:val="1"/>
                <w:color w:val="auto"/>
              </w:rPr>
            </w:pPr>
          </w:p>
        </w:tc>
      </w:tr>
      <w:tr>
        <w:trPr>
          <w:trHeight w:val="434"/>
        </w:trPr>
        <w:tc>
          <w:tcPr>
            <w:tcW w:w="35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Settlement Method:</w:t>
            </w:r>
          </w:p>
        </w:tc>
        <w:tc>
          <w:tcPr>
            <w:tcW w:w="7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Method set forth below for such Option is not Net Share Settlement, then the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Settlement Method for such Option shall be such Relevant Settlement Method, but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only if Counterparty shall have notified Dealer of the Relevant Settlement Method in</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the Notice of Final Settlement Method for such Option.</w:t>
            </w:r>
          </w:p>
        </w:tc>
        <w:tc>
          <w:tcPr>
            <w:tcW w:w="0" w:type="dxa"/>
            <w:vAlign w:val="bottom"/>
          </w:tcPr>
          <w:p>
            <w:pPr>
              <w:spacing w:after="0"/>
              <w:rPr>
                <w:sz w:val="1"/>
                <w:szCs w:val="1"/>
                <w:color w:val="auto"/>
              </w:rPr>
            </w:pPr>
          </w:p>
        </w:tc>
      </w:tr>
      <w:tr>
        <w:trPr>
          <w:trHeight w:val="432"/>
        </w:trPr>
        <w:tc>
          <w:tcPr>
            <w:tcW w:w="35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Relevant Settlement Method:</w:t>
            </w: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 respect of any Option:</w:t>
            </w:r>
          </w:p>
        </w:tc>
        <w:tc>
          <w:tcPr>
            <w:tcW w:w="0" w:type="dxa"/>
            <w:vAlign w:val="bottom"/>
          </w:tcPr>
          <w:p>
            <w:pPr>
              <w:spacing w:after="0"/>
              <w:rPr>
                <w:sz w:val="1"/>
                <w:szCs w:val="1"/>
                <w:color w:val="auto"/>
              </w:rPr>
            </w:pPr>
          </w:p>
        </w:tc>
      </w:tr>
      <w:tr>
        <w:trPr>
          <w:trHeight w:val="414"/>
        </w:trPr>
        <w:tc>
          <w:tcPr>
            <w:tcW w:w="1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 if Counterparty has elected, or is deemed to have elected, to settle its conversion</w:t>
            </w: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obligations in respect of the related Convertible Note in a combination of cash and</w:t>
            </w:r>
          </w:p>
        </w:tc>
        <w:tc>
          <w:tcPr>
            <w:tcW w:w="0" w:type="dxa"/>
            <w:vAlign w:val="bottom"/>
          </w:tcPr>
          <w:p>
            <w:pPr>
              <w:spacing w:after="0"/>
              <w:rPr>
                <w:sz w:val="1"/>
                <w:szCs w:val="1"/>
                <w:color w:val="auto"/>
              </w:rPr>
            </w:pPr>
          </w:p>
        </w:tc>
      </w:tr>
      <w:tr>
        <w:trPr>
          <w:trHeight w:val="226"/>
        </w:trPr>
        <w:tc>
          <w:tcPr>
            <w:tcW w:w="1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080" w:type="dxa"/>
            <w:vAlign w:val="bottom"/>
          </w:tcPr>
          <w:p>
            <w:pPr>
              <w:ind w:left="920"/>
              <w:spacing w:after="0" w:line="226" w:lineRule="exact"/>
              <w:rPr>
                <w:sz w:val="20"/>
                <w:szCs w:val="20"/>
                <w:color w:val="auto"/>
              </w:rPr>
            </w:pPr>
            <w:r>
              <w:rPr>
                <w:rFonts w:ascii="Times New Roman" w:cs="Times New Roman" w:eastAsia="Times New Roman" w:hAnsi="Times New Roman"/>
                <w:sz w:val="16"/>
                <w:szCs w:val="16"/>
                <w:color w:val="auto"/>
              </w:rPr>
              <w:t>Shares pursuant to Section [5.03(B)(i)(2)]</w:t>
            </w:r>
            <w:r>
              <w:rPr>
                <w:rFonts w:ascii="Times New Roman" w:cs="Times New Roman" w:eastAsia="Times New Roman" w:hAnsi="Times New Roman"/>
                <w:sz w:val="26"/>
                <w:szCs w:val="26"/>
                <w:color w:val="auto"/>
                <w:vertAlign w:val="superscript"/>
              </w:rPr>
              <w:t>26</w:t>
            </w:r>
            <w:r>
              <w:rPr>
                <w:rFonts w:ascii="Times New Roman" w:cs="Times New Roman" w:eastAsia="Times New Roman" w:hAnsi="Times New Roman"/>
                <w:sz w:val="16"/>
                <w:szCs w:val="16"/>
                <w:color w:val="auto"/>
              </w:rPr>
              <w:t xml:space="preserve"> of the Indenture with a Specified Cash</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Amount equal to USD 1,000, then the Relevant Settlement Method for such Option</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shall be Net Share Settlement;</w:t>
            </w:r>
          </w:p>
        </w:tc>
        <w:tc>
          <w:tcPr>
            <w:tcW w:w="0" w:type="dxa"/>
            <w:vAlign w:val="bottom"/>
          </w:tcPr>
          <w:p>
            <w:pPr>
              <w:spacing w:after="0"/>
              <w:rPr>
                <w:sz w:val="1"/>
                <w:szCs w:val="1"/>
                <w:color w:val="auto"/>
              </w:rPr>
            </w:pPr>
          </w:p>
        </w:tc>
      </w:tr>
      <w:tr>
        <w:trPr>
          <w:trHeight w:val="414"/>
        </w:trPr>
        <w:tc>
          <w:tcPr>
            <w:tcW w:w="1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(ii)  if Counterparty has elected to settle its conversion obligations in respect of the</w:t>
            </w: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related Convertible Note in a combination of cash and Shares pursuant to Section</w:t>
            </w:r>
          </w:p>
        </w:tc>
        <w:tc>
          <w:tcPr>
            <w:tcW w:w="0" w:type="dxa"/>
            <w:vAlign w:val="bottom"/>
          </w:tcPr>
          <w:p>
            <w:pPr>
              <w:spacing w:after="0"/>
              <w:rPr>
                <w:sz w:val="1"/>
                <w:szCs w:val="1"/>
                <w:color w:val="auto"/>
              </w:rPr>
            </w:pPr>
          </w:p>
        </w:tc>
      </w:tr>
      <w:tr>
        <w:trPr>
          <w:trHeight w:val="226"/>
        </w:trPr>
        <w:tc>
          <w:tcPr>
            <w:tcW w:w="1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080" w:type="dxa"/>
            <w:vAlign w:val="bottom"/>
          </w:tcPr>
          <w:p>
            <w:pPr>
              <w:ind w:left="920"/>
              <w:spacing w:after="0" w:line="226" w:lineRule="exact"/>
              <w:rPr>
                <w:sz w:val="20"/>
                <w:szCs w:val="20"/>
                <w:color w:val="auto"/>
              </w:rPr>
            </w:pPr>
            <w:r>
              <w:rPr>
                <w:rFonts w:ascii="Times New Roman" w:cs="Times New Roman" w:eastAsia="Times New Roman" w:hAnsi="Times New Roman"/>
                <w:sz w:val="16"/>
                <w:szCs w:val="16"/>
                <w:color w:val="auto"/>
              </w:rPr>
              <w:t>[5.03(B)(i)(2)]</w:t>
            </w:r>
            <w:r>
              <w:rPr>
                <w:rFonts w:ascii="Times New Roman" w:cs="Times New Roman" w:eastAsia="Times New Roman" w:hAnsi="Times New Roman"/>
                <w:sz w:val="26"/>
                <w:szCs w:val="26"/>
                <w:color w:val="auto"/>
                <w:vertAlign w:val="superscript"/>
              </w:rPr>
              <w:t>27</w:t>
            </w:r>
            <w:r>
              <w:rPr>
                <w:rFonts w:ascii="Times New Roman" w:cs="Times New Roman" w:eastAsia="Times New Roman" w:hAnsi="Times New Roman"/>
                <w:sz w:val="16"/>
                <w:szCs w:val="16"/>
                <w:color w:val="auto"/>
              </w:rPr>
              <w:t xml:space="preserve"> of the Indenture with a Specified Cash Amount greater than USD</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1,000, then the Relevant Settlement Method for such Option shall be Combination</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Settlement; and</w:t>
            </w:r>
          </w:p>
        </w:tc>
        <w:tc>
          <w:tcPr>
            <w:tcW w:w="0" w:type="dxa"/>
            <w:vAlign w:val="bottom"/>
          </w:tcPr>
          <w:p>
            <w:pPr>
              <w:spacing w:after="0"/>
              <w:rPr>
                <w:sz w:val="1"/>
                <w:szCs w:val="1"/>
                <w:color w:val="auto"/>
              </w:rPr>
            </w:pPr>
          </w:p>
        </w:tc>
      </w:tr>
      <w:tr>
        <w:trPr>
          <w:trHeight w:val="404"/>
        </w:trPr>
        <w:tc>
          <w:tcPr>
            <w:tcW w:w="1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(iii) if Counterparty has elected to settle its conversion obligations in respect of the</w:t>
            </w:r>
          </w:p>
        </w:tc>
        <w:tc>
          <w:tcPr>
            <w:tcW w:w="0" w:type="dxa"/>
            <w:vAlign w:val="bottom"/>
          </w:tcPr>
          <w:p>
            <w:pPr>
              <w:spacing w:after="0"/>
              <w:rPr>
                <w:sz w:val="1"/>
                <w:szCs w:val="1"/>
                <w:color w:val="auto"/>
              </w:rPr>
            </w:pPr>
          </w:p>
        </w:tc>
      </w:tr>
      <w:tr>
        <w:trPr>
          <w:trHeight w:val="222"/>
        </w:trPr>
        <w:tc>
          <w:tcPr>
            <w:tcW w:w="1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080" w:type="dxa"/>
            <w:vAlign w:val="bottom"/>
          </w:tcPr>
          <w:p>
            <w:pPr>
              <w:ind w:left="920"/>
              <w:spacing w:after="0" w:line="222" w:lineRule="exact"/>
              <w:rPr>
                <w:sz w:val="20"/>
                <w:szCs w:val="20"/>
                <w:color w:val="auto"/>
              </w:rPr>
            </w:pPr>
            <w:r>
              <w:rPr>
                <w:rFonts w:ascii="Times New Roman" w:cs="Times New Roman" w:eastAsia="Times New Roman" w:hAnsi="Times New Roman"/>
                <w:sz w:val="16"/>
                <w:szCs w:val="16"/>
                <w:color w:val="auto"/>
              </w:rPr>
              <w:t>related Convertible Note entirely in cash pursuant to Section [5.03(B)(i)(1)]</w:t>
            </w:r>
            <w:r>
              <w:rPr>
                <w:rFonts w:ascii="Times New Roman" w:cs="Times New Roman" w:eastAsia="Times New Roman" w:hAnsi="Times New Roman"/>
                <w:sz w:val="25"/>
                <w:szCs w:val="25"/>
                <w:color w:val="auto"/>
                <w:vertAlign w:val="superscript"/>
              </w:rPr>
              <w:t>28</w:t>
            </w:r>
            <w:r>
              <w:rPr>
                <w:rFonts w:ascii="Times New Roman" w:cs="Times New Roman" w:eastAsia="Times New Roman" w:hAnsi="Times New Roman"/>
                <w:sz w:val="16"/>
                <w:szCs w:val="16"/>
                <w:color w:val="auto"/>
              </w:rPr>
              <w:t xml:space="preserve"> of the</w:t>
            </w:r>
          </w:p>
        </w:tc>
        <w:tc>
          <w:tcPr>
            <w:tcW w:w="0" w:type="dxa"/>
            <w:vAlign w:val="bottom"/>
          </w:tcPr>
          <w:p>
            <w:pPr>
              <w:spacing w:after="0"/>
              <w:rPr>
                <w:sz w:val="1"/>
                <w:szCs w:val="1"/>
                <w:color w:val="auto"/>
              </w:rPr>
            </w:pPr>
          </w:p>
        </w:tc>
      </w:tr>
      <w:tr>
        <w:trPr>
          <w:trHeight w:val="220"/>
        </w:trPr>
        <w:tc>
          <w:tcPr>
            <w:tcW w:w="1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Indenture (such settlement method, “</w:t>
            </w:r>
            <w:r>
              <w:rPr>
                <w:rFonts w:ascii="Times New Roman" w:cs="Times New Roman" w:eastAsia="Times New Roman" w:hAnsi="Times New Roman"/>
                <w:sz w:val="18"/>
                <w:szCs w:val="18"/>
                <w:b w:val="1"/>
                <w:bCs w:val="1"/>
                <w:color w:val="auto"/>
              </w:rPr>
              <w:t>Settlement in Cash</w:t>
            </w:r>
            <w:r>
              <w:rPr>
                <w:rFonts w:ascii="Times New Roman" w:cs="Times New Roman" w:eastAsia="Times New Roman" w:hAnsi="Times New Roman"/>
                <w:sz w:val="18"/>
                <w:szCs w:val="18"/>
                <w:color w:val="auto"/>
              </w:rPr>
              <w:t>”), then the Relevant</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Settlement Method for such Option shall be Cash Settlement.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56845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93" w:lineRule="exact"/>
        <w:rPr>
          <w:sz w:val="20"/>
          <w:szCs w:val="20"/>
          <w:color w:val="auto"/>
        </w:rPr>
      </w:pPr>
    </w:p>
    <w:p>
      <w:pPr>
        <w:ind w:left="200" w:hanging="192"/>
        <w:spacing w:after="0"/>
        <w:tabs>
          <w:tab w:leader="none" w:pos="200" w:val="left"/>
        </w:tabs>
        <w:numPr>
          <w:ilvl w:val="0"/>
          <w:numId w:val="15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 cross-reference to section of the Indenture containing provisions for combination settlement of the Convertible Notes.</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cross-reference to section of the Indenture containing provisions for combination settlement of the Convertible Notes.</w:t>
      </w:r>
    </w:p>
    <w:p>
      <w:pPr>
        <w:spacing w:after="0" w:line="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cross-reference to section of the Indenture containing provisions for cash settlement of the Convertible Notes.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tbl>
      <w:tblPr>
        <w:tblLayout w:type="fixed"/>
        <w:tblInd w:w="2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Net Share Settlement:</w:t>
            </w:r>
          </w:p>
        </w:tc>
        <w:tc>
          <w:tcPr>
            <w:tcW w:w="72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If Net Share Settlement is applicable to any Option exercised or deemed exercised</w:t>
            </w:r>
          </w:p>
        </w:tc>
      </w:tr>
      <w:tr>
        <w:trPr>
          <w:trHeight w:val="212"/>
        </w:trPr>
        <w:tc>
          <w:tcPr>
            <w:tcW w:w="2860" w:type="dxa"/>
            <w:vAlign w:val="bottom"/>
          </w:tcPr>
          <w:p>
            <w:pPr>
              <w:spacing w:after="0"/>
              <w:rPr>
                <w:sz w:val="18"/>
                <w:szCs w:val="18"/>
                <w:color w:val="auto"/>
              </w:rPr>
            </w:pPr>
          </w:p>
        </w:tc>
        <w:tc>
          <w:tcPr>
            <w:tcW w:w="72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hereunder, Dealer will deliver to Counterparty, on the relevant Settlement Date for</w:t>
            </w:r>
          </w:p>
        </w:tc>
      </w:tr>
      <w:tr>
        <w:trPr>
          <w:trHeight w:val="220"/>
        </w:trPr>
        <w:tc>
          <w:tcPr>
            <w:tcW w:w="2860" w:type="dxa"/>
            <w:vAlign w:val="bottom"/>
          </w:tcPr>
          <w:p>
            <w:pPr>
              <w:spacing w:after="0"/>
              <w:rPr>
                <w:sz w:val="19"/>
                <w:szCs w:val="19"/>
                <w:color w:val="auto"/>
              </w:rPr>
            </w:pPr>
          </w:p>
        </w:tc>
        <w:tc>
          <w:tcPr>
            <w:tcW w:w="72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each such Option, a number of Shares (the “</w:t>
            </w:r>
            <w:r>
              <w:rPr>
                <w:rFonts w:ascii="Times New Roman" w:cs="Times New Roman" w:eastAsia="Times New Roman" w:hAnsi="Times New Roman"/>
                <w:sz w:val="18"/>
                <w:szCs w:val="18"/>
                <w:b w:val="1"/>
                <w:bCs w:val="1"/>
                <w:color w:val="auto"/>
              </w:rPr>
              <w:t>Net Share Settlement Amount</w:t>
            </w:r>
            <w:r>
              <w:rPr>
                <w:rFonts w:ascii="Times New Roman" w:cs="Times New Roman" w:eastAsia="Times New Roman" w:hAnsi="Times New Roman"/>
                <w:sz w:val="18"/>
                <w:szCs w:val="18"/>
                <w:color w:val="auto"/>
              </w:rPr>
              <w:t>”) equal</w:t>
            </w:r>
          </w:p>
        </w:tc>
      </w:tr>
      <w:tr>
        <w:trPr>
          <w:trHeight w:val="214"/>
        </w:trPr>
        <w:tc>
          <w:tcPr>
            <w:tcW w:w="2860" w:type="dxa"/>
            <w:vAlign w:val="bottom"/>
          </w:tcPr>
          <w:p>
            <w:pPr>
              <w:spacing w:after="0"/>
              <w:rPr>
                <w:sz w:val="18"/>
                <w:szCs w:val="18"/>
                <w:color w:val="auto"/>
              </w:rPr>
            </w:pPr>
          </w:p>
        </w:tc>
        <w:tc>
          <w:tcPr>
            <w:tcW w:w="72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to the sum, for each Valid Day during the Settlement Averaging Period for each such</w:t>
            </w:r>
          </w:p>
        </w:tc>
      </w:tr>
      <w:tr>
        <w:trPr>
          <w:trHeight w:val="216"/>
        </w:trPr>
        <w:tc>
          <w:tcPr>
            <w:tcW w:w="2860" w:type="dxa"/>
            <w:vAlign w:val="bottom"/>
          </w:tcPr>
          <w:p>
            <w:pPr>
              <w:spacing w:after="0"/>
              <w:rPr>
                <w:sz w:val="18"/>
                <w:szCs w:val="18"/>
                <w:color w:val="auto"/>
              </w:rPr>
            </w:pPr>
          </w:p>
        </w:tc>
        <w:tc>
          <w:tcPr>
            <w:tcW w:w="72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 xml:space="preserve">Option, of (i) (a) the Daily Option Value for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w:t>
            </w:r>
          </w:p>
        </w:tc>
      </w:tr>
      <w:tr>
        <w:trPr>
          <w:trHeight w:val="218"/>
        </w:trPr>
        <w:tc>
          <w:tcPr>
            <w:tcW w:w="2860" w:type="dxa"/>
            <w:vAlign w:val="bottom"/>
          </w:tcPr>
          <w:p>
            <w:pPr>
              <w:spacing w:after="0"/>
              <w:rPr>
                <w:sz w:val="18"/>
                <w:szCs w:val="18"/>
                <w:color w:val="auto"/>
              </w:rPr>
            </w:pPr>
          </w:p>
        </w:tc>
        <w:tc>
          <w:tcPr>
            <w:tcW w:w="72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 xml:space="preserve">Relevant Price on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number of Valid Days in the</w:t>
            </w:r>
          </w:p>
        </w:tc>
      </w:tr>
      <w:tr>
        <w:trPr>
          <w:trHeight w:val="234"/>
        </w:trPr>
        <w:tc>
          <w:tcPr>
            <w:tcW w:w="2860" w:type="dxa"/>
            <w:vAlign w:val="bottom"/>
          </w:tcPr>
          <w:p>
            <w:pPr>
              <w:spacing w:after="0"/>
              <w:rPr>
                <w:sz w:val="20"/>
                <w:szCs w:val="20"/>
                <w:color w:val="auto"/>
              </w:rPr>
            </w:pPr>
          </w:p>
        </w:tc>
        <w:tc>
          <w:tcPr>
            <w:tcW w:w="72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Settlement Averaging Period.</w:t>
            </w:r>
          </w:p>
        </w:tc>
      </w:tr>
      <w:tr>
        <w:trPr>
          <w:trHeight w:val="414"/>
        </w:trPr>
        <w:tc>
          <w:tcPr>
            <w:tcW w:w="2860" w:type="dxa"/>
            <w:vAlign w:val="bottom"/>
          </w:tcPr>
          <w:p>
            <w:pPr>
              <w:spacing w:after="0"/>
              <w:rPr>
                <w:sz w:val="24"/>
                <w:szCs w:val="24"/>
                <w:color w:val="auto"/>
              </w:rPr>
            </w:pPr>
          </w:p>
        </w:tc>
        <w:tc>
          <w:tcPr>
            <w:tcW w:w="72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Dealer will pay cash in lieu of delivering any fractional Shares to be delivered with</w:t>
            </w:r>
          </w:p>
        </w:tc>
      </w:tr>
      <w:tr>
        <w:trPr>
          <w:trHeight w:val="214"/>
        </w:trPr>
        <w:tc>
          <w:tcPr>
            <w:tcW w:w="2860" w:type="dxa"/>
            <w:vAlign w:val="bottom"/>
          </w:tcPr>
          <w:p>
            <w:pPr>
              <w:spacing w:after="0"/>
              <w:rPr>
                <w:sz w:val="18"/>
                <w:szCs w:val="18"/>
                <w:color w:val="auto"/>
              </w:rPr>
            </w:pPr>
          </w:p>
        </w:tc>
        <w:tc>
          <w:tcPr>
            <w:tcW w:w="72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respect to any Net Share Settlement Amount valued at the Relevant Price for the last</w:t>
            </w:r>
          </w:p>
        </w:tc>
      </w:tr>
      <w:tr>
        <w:trPr>
          <w:trHeight w:val="218"/>
        </w:trPr>
        <w:tc>
          <w:tcPr>
            <w:tcW w:w="2860" w:type="dxa"/>
            <w:vAlign w:val="bottom"/>
          </w:tcPr>
          <w:p>
            <w:pPr>
              <w:spacing w:after="0"/>
              <w:rPr>
                <w:sz w:val="18"/>
                <w:szCs w:val="18"/>
                <w:color w:val="auto"/>
              </w:rPr>
            </w:pPr>
          </w:p>
        </w:tc>
        <w:tc>
          <w:tcPr>
            <w:tcW w:w="72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w w:val="99"/>
              </w:rPr>
              <w:t xml:space="preserve">Valid Day of the Settlement Averaging Period; </w:t>
            </w:r>
            <w:r>
              <w:rPr>
                <w:rFonts w:ascii="Times New Roman" w:cs="Times New Roman" w:eastAsia="Times New Roman" w:hAnsi="Times New Roman"/>
                <w:sz w:val="18"/>
                <w:szCs w:val="18"/>
                <w:i w:val="1"/>
                <w:iCs w:val="1"/>
                <w:color w:val="auto"/>
                <w:w w:val="99"/>
              </w:rPr>
              <w:t>provided</w:t>
            </w:r>
            <w:r>
              <w:rPr>
                <w:rFonts w:ascii="Times New Roman" w:cs="Times New Roman" w:eastAsia="Times New Roman" w:hAnsi="Times New Roman"/>
                <w:sz w:val="18"/>
                <w:szCs w:val="18"/>
                <w:color w:val="auto"/>
                <w:w w:val="99"/>
              </w:rPr>
              <w:t xml:space="preserve"> that in no event shall the Net</w:t>
            </w:r>
          </w:p>
        </w:tc>
      </w:tr>
      <w:tr>
        <w:trPr>
          <w:trHeight w:val="214"/>
        </w:trPr>
        <w:tc>
          <w:tcPr>
            <w:tcW w:w="2860" w:type="dxa"/>
            <w:vAlign w:val="bottom"/>
          </w:tcPr>
          <w:p>
            <w:pPr>
              <w:spacing w:after="0"/>
              <w:rPr>
                <w:sz w:val="18"/>
                <w:szCs w:val="18"/>
                <w:color w:val="auto"/>
              </w:rPr>
            </w:pPr>
          </w:p>
        </w:tc>
        <w:tc>
          <w:tcPr>
            <w:tcW w:w="72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Share Settlement Amount for any Option exceed a number of Shares equal to the</w:t>
            </w:r>
          </w:p>
        </w:tc>
      </w:tr>
      <w:tr>
        <w:trPr>
          <w:trHeight w:val="218"/>
        </w:trPr>
        <w:tc>
          <w:tcPr>
            <w:tcW w:w="2860" w:type="dxa"/>
            <w:vAlign w:val="bottom"/>
          </w:tcPr>
          <w:p>
            <w:pPr>
              <w:spacing w:after="0"/>
              <w:rPr>
                <w:sz w:val="18"/>
                <w:szCs w:val="18"/>
                <w:color w:val="auto"/>
              </w:rPr>
            </w:pPr>
          </w:p>
        </w:tc>
        <w:tc>
          <w:tcPr>
            <w:tcW w:w="72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 xml:space="preserve">Applicable Limit for such Option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Applicable Limit Price on the</w:t>
            </w:r>
          </w:p>
        </w:tc>
      </w:tr>
      <w:tr>
        <w:trPr>
          <w:trHeight w:val="234"/>
        </w:trPr>
        <w:tc>
          <w:tcPr>
            <w:tcW w:w="2860" w:type="dxa"/>
            <w:vAlign w:val="bottom"/>
          </w:tcPr>
          <w:p>
            <w:pPr>
              <w:spacing w:after="0"/>
              <w:rPr>
                <w:sz w:val="20"/>
                <w:szCs w:val="20"/>
                <w:color w:val="auto"/>
              </w:rPr>
            </w:pPr>
          </w:p>
        </w:tc>
        <w:tc>
          <w:tcPr>
            <w:tcW w:w="72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Settlement Date for such Option.</w:t>
            </w:r>
          </w:p>
        </w:tc>
      </w:tr>
      <w:tr>
        <w:trPr>
          <w:trHeight w:val="41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Combination Settlement:</w:t>
            </w:r>
          </w:p>
        </w:tc>
        <w:tc>
          <w:tcPr>
            <w:tcW w:w="72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w w:val="99"/>
              </w:rPr>
              <w:t>If Combination Settlement is applicable to any Option exercised or deemed exercised</w:t>
            </w:r>
          </w:p>
        </w:tc>
      </w:tr>
      <w:tr>
        <w:trPr>
          <w:trHeight w:val="216"/>
        </w:trPr>
        <w:tc>
          <w:tcPr>
            <w:tcW w:w="2860" w:type="dxa"/>
            <w:vAlign w:val="bottom"/>
          </w:tcPr>
          <w:p>
            <w:pPr>
              <w:spacing w:after="0"/>
              <w:rPr>
                <w:sz w:val="18"/>
                <w:szCs w:val="18"/>
                <w:color w:val="auto"/>
              </w:rPr>
            </w:pPr>
          </w:p>
        </w:tc>
        <w:tc>
          <w:tcPr>
            <w:tcW w:w="72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hereunder, Dealer will pay or deliver, as the case may be, to Counterparty, on the</w:t>
            </w:r>
          </w:p>
        </w:tc>
      </w:tr>
      <w:tr>
        <w:trPr>
          <w:trHeight w:val="234"/>
        </w:trPr>
        <w:tc>
          <w:tcPr>
            <w:tcW w:w="2860" w:type="dxa"/>
            <w:vAlign w:val="bottom"/>
          </w:tcPr>
          <w:p>
            <w:pPr>
              <w:spacing w:after="0"/>
              <w:rPr>
                <w:sz w:val="20"/>
                <w:szCs w:val="20"/>
                <w:color w:val="auto"/>
              </w:rPr>
            </w:pPr>
          </w:p>
        </w:tc>
        <w:tc>
          <w:tcPr>
            <w:tcW w:w="72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relevant Settlement Date for each such Option:</w:t>
            </w:r>
          </w:p>
        </w:tc>
      </w:tr>
      <w:tr>
        <w:trPr>
          <w:trHeight w:val="414"/>
        </w:trPr>
        <w:tc>
          <w:tcPr>
            <w:tcW w:w="2860" w:type="dxa"/>
            <w:vAlign w:val="bottom"/>
          </w:tcPr>
          <w:p>
            <w:pPr>
              <w:spacing w:after="0"/>
              <w:rPr>
                <w:sz w:val="24"/>
                <w:szCs w:val="24"/>
                <w:color w:val="auto"/>
              </w:rPr>
            </w:pPr>
          </w:p>
        </w:tc>
        <w:tc>
          <w:tcPr>
            <w:tcW w:w="14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w:t>
            </w: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(the “</w:t>
            </w:r>
            <w:r>
              <w:rPr>
                <w:rFonts w:ascii="Times New Roman" w:cs="Times New Roman" w:eastAsia="Times New Roman" w:hAnsi="Times New Roman"/>
                <w:sz w:val="18"/>
                <w:szCs w:val="18"/>
                <w:b w:val="1"/>
                <w:bCs w:val="1"/>
                <w:color w:val="auto"/>
              </w:rPr>
              <w:t>Combination Settlement Cash Amount</w:t>
            </w:r>
            <w:r>
              <w:rPr>
                <w:rFonts w:ascii="Times New Roman" w:cs="Times New Roman" w:eastAsia="Times New Roman" w:hAnsi="Times New Roman"/>
                <w:sz w:val="18"/>
                <w:szCs w:val="18"/>
                <w:color w:val="auto"/>
              </w:rPr>
              <w:t>”) equal to the sum, for</w:t>
            </w:r>
          </w:p>
        </w:tc>
      </w:tr>
      <w:tr>
        <w:trPr>
          <w:trHeight w:val="212"/>
        </w:trPr>
        <w:tc>
          <w:tcPr>
            <w:tcW w:w="2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each Valid Day during the Settlement Averaging Period for such Option, of (A)</w:t>
            </w:r>
          </w:p>
        </w:tc>
      </w:tr>
      <w:tr>
        <w:trPr>
          <w:trHeight w:val="220"/>
        </w:trPr>
        <w:tc>
          <w:tcPr>
            <w:tcW w:w="28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 amount (the “</w:t>
            </w:r>
            <w:r>
              <w:rPr>
                <w:rFonts w:ascii="Times New Roman" w:cs="Times New Roman" w:eastAsia="Times New Roman" w:hAnsi="Times New Roman"/>
                <w:sz w:val="18"/>
                <w:szCs w:val="18"/>
                <w:b w:val="1"/>
                <w:bCs w:val="1"/>
                <w:color w:val="auto"/>
              </w:rPr>
              <w:t>Daily Combination Settlement Cash Amount</w:t>
            </w:r>
            <w:r>
              <w:rPr>
                <w:rFonts w:ascii="Times New Roman" w:cs="Times New Roman" w:eastAsia="Times New Roman" w:hAnsi="Times New Roman"/>
                <w:sz w:val="18"/>
                <w:szCs w:val="18"/>
                <w:color w:val="auto"/>
              </w:rPr>
              <w:t>”) equal to the</w:t>
            </w:r>
          </w:p>
        </w:tc>
      </w:tr>
      <w:tr>
        <w:trPr>
          <w:trHeight w:val="214"/>
        </w:trPr>
        <w:tc>
          <w:tcPr>
            <w:tcW w:w="2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lesser of (1) the product of (x) the Applicable Percentage and (y) the Specified</w:t>
            </w:r>
          </w:p>
        </w:tc>
      </w:tr>
      <w:tr>
        <w:trPr>
          <w:trHeight w:val="216"/>
        </w:trPr>
        <w:tc>
          <w:tcPr>
            <w:tcW w:w="2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 xml:space="preserve">Cash Amount </w:t>
            </w:r>
            <w:r>
              <w:rPr>
                <w:rFonts w:ascii="Times New Roman" w:cs="Times New Roman" w:eastAsia="Times New Roman" w:hAnsi="Times New Roman"/>
                <w:sz w:val="18"/>
                <w:szCs w:val="18"/>
                <w:i w:val="1"/>
                <w:iCs w:val="1"/>
                <w:color w:val="auto"/>
                <w:w w:val="99"/>
              </w:rPr>
              <w:t>minus</w:t>
            </w:r>
            <w:r>
              <w:rPr>
                <w:rFonts w:ascii="Times New Roman" w:cs="Times New Roman" w:eastAsia="Times New Roman" w:hAnsi="Times New Roman"/>
                <w:sz w:val="18"/>
                <w:szCs w:val="18"/>
                <w:color w:val="auto"/>
                <w:w w:val="99"/>
              </w:rPr>
              <w:t xml:space="preserve"> USD 1,000 and (2) the Daily Option Value, </w:t>
            </w:r>
            <w:r>
              <w:rPr>
                <w:rFonts w:ascii="Times New Roman" w:cs="Times New Roman" w:eastAsia="Times New Roman" w:hAnsi="Times New Roman"/>
                <w:sz w:val="18"/>
                <w:szCs w:val="18"/>
                <w:i w:val="1"/>
                <w:iCs w:val="1"/>
                <w:color w:val="auto"/>
                <w:w w:val="99"/>
              </w:rPr>
              <w:t>divided by</w:t>
            </w:r>
            <w:r>
              <w:rPr>
                <w:rFonts w:ascii="Times New Roman" w:cs="Times New Roman" w:eastAsia="Times New Roman" w:hAnsi="Times New Roman"/>
                <w:sz w:val="18"/>
                <w:szCs w:val="18"/>
                <w:color w:val="auto"/>
                <w:w w:val="99"/>
              </w:rPr>
              <w:t xml:space="preserve"> (B)</w:t>
            </w:r>
          </w:p>
        </w:tc>
      </w:tr>
      <w:tr>
        <w:trPr>
          <w:trHeight w:val="218"/>
        </w:trPr>
        <w:tc>
          <w:tcPr>
            <w:tcW w:w="2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the number of Valid Days in the Settlement Averaging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w:t>
            </w:r>
          </w:p>
        </w:tc>
      </w:tr>
      <w:tr>
        <w:trPr>
          <w:trHeight w:val="216"/>
        </w:trPr>
        <w:tc>
          <w:tcPr>
            <w:tcW w:w="2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calculation in clause (A) above results in zero or a negative number for any</w:t>
            </w:r>
          </w:p>
        </w:tc>
      </w:tr>
      <w:tr>
        <w:trPr>
          <w:trHeight w:val="216"/>
        </w:trPr>
        <w:tc>
          <w:tcPr>
            <w:tcW w:w="2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Valid Day, the Daily Combination Settlement Cash Amount for such Valid Day</w:t>
            </w:r>
          </w:p>
        </w:tc>
      </w:tr>
      <w:tr>
        <w:trPr>
          <w:trHeight w:val="212"/>
        </w:trPr>
        <w:tc>
          <w:tcPr>
            <w:tcW w:w="2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shall be deemed to be zero; and</w:t>
            </w:r>
          </w:p>
        </w:tc>
      </w:tr>
      <w:tr>
        <w:trPr>
          <w:trHeight w:val="220"/>
        </w:trPr>
        <w:tc>
          <w:tcPr>
            <w:tcW w:w="2860" w:type="dxa"/>
            <w:vAlign w:val="bottom"/>
          </w:tcPr>
          <w:p>
            <w:pPr>
              <w:spacing w:after="0"/>
              <w:rPr>
                <w:sz w:val="19"/>
                <w:szCs w:val="19"/>
                <w:color w:val="auto"/>
              </w:rPr>
            </w:pPr>
          </w:p>
        </w:tc>
        <w:tc>
          <w:tcPr>
            <w:tcW w:w="14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(ii)</w:t>
            </w: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(the “</w:t>
            </w:r>
            <w:r>
              <w:rPr>
                <w:rFonts w:ascii="Times New Roman" w:cs="Times New Roman" w:eastAsia="Times New Roman" w:hAnsi="Times New Roman"/>
                <w:sz w:val="18"/>
                <w:szCs w:val="18"/>
                <w:b w:val="1"/>
                <w:bCs w:val="1"/>
                <w:color w:val="auto"/>
              </w:rPr>
              <w:t>Combination Settlement Share Amount</w:t>
            </w:r>
            <w:r>
              <w:rPr>
                <w:rFonts w:ascii="Times New Roman" w:cs="Times New Roman" w:eastAsia="Times New Roman" w:hAnsi="Times New Roman"/>
                <w:sz w:val="18"/>
                <w:szCs w:val="18"/>
                <w:color w:val="auto"/>
              </w:rPr>
              <w:t>”) equal to the sum, for</w:t>
            </w:r>
          </w:p>
        </w:tc>
      </w:tr>
      <w:tr>
        <w:trPr>
          <w:trHeight w:val="234"/>
        </w:trPr>
        <w:tc>
          <w:tcPr>
            <w:tcW w:w="2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each Valid Day during the Settlement Averaging Period for such Option, of a</w:t>
            </w:r>
          </w:p>
        </w:tc>
      </w:tr>
    </w:tbl>
    <w:p>
      <w:pPr>
        <w:jc w:val="both"/>
        <w:ind w:left="4400"/>
        <w:spacing w:after="0" w:line="251" w:lineRule="auto"/>
        <w:rPr>
          <w:sz w:val="20"/>
          <w:szCs w:val="20"/>
          <w:color w:val="auto"/>
        </w:rPr>
      </w:pPr>
      <w:r>
        <w:rPr>
          <w:rFonts w:ascii="Times New Roman" w:cs="Times New Roman" w:eastAsia="Times New Roman" w:hAnsi="Times New Roman"/>
          <w:sz w:val="18"/>
          <w:szCs w:val="18"/>
          <w:color w:val="auto"/>
        </w:rPr>
        <w:t>number of Shares for such Valid Day (the “</w:t>
      </w:r>
      <w:r>
        <w:rPr>
          <w:rFonts w:ascii="Times New Roman" w:cs="Times New Roman" w:eastAsia="Times New Roman" w:hAnsi="Times New Roman"/>
          <w:sz w:val="18"/>
          <w:szCs w:val="18"/>
          <w:b w:val="1"/>
          <w:bCs w:val="1"/>
          <w:color w:val="auto"/>
        </w:rPr>
        <w:t>Daily Combination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 Amount</w:t>
      </w:r>
      <w:r>
        <w:rPr>
          <w:rFonts w:ascii="Times New Roman" w:cs="Times New Roman" w:eastAsia="Times New Roman" w:hAnsi="Times New Roman"/>
          <w:sz w:val="18"/>
          <w:szCs w:val="18"/>
          <w:color w:val="auto"/>
        </w:rPr>
        <w:t>”) equal to (A) (1) the Daily Option Value on such Valid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the Daily Combination Settlement Cash Amount for such Valid Day,</w:t>
      </w:r>
      <w:r>
        <w:rPr>
          <w:rFonts w:ascii="Times New Roman" w:cs="Times New Roman" w:eastAsia="Times New Roman" w:hAnsi="Times New Roman"/>
          <w:sz w:val="18"/>
          <w:szCs w:val="18"/>
          <w:i w:val="1"/>
          <w:iCs w:val="1"/>
          <w:color w:val="auto"/>
        </w:rPr>
        <w:t xml:space="preserve"> divided by </w:t>
      </w:r>
      <w:r>
        <w:rPr>
          <w:rFonts w:ascii="Times New Roman" w:cs="Times New Roman" w:eastAsia="Times New Roman" w:hAnsi="Times New Roman"/>
          <w:sz w:val="18"/>
          <w:szCs w:val="18"/>
          <w:color w:val="auto"/>
        </w:rPr>
        <w:t>(2) the Relevant Price on such Valid Day,</w:t>
      </w:r>
      <w:r>
        <w:rPr>
          <w:rFonts w:ascii="Times New Roman" w:cs="Times New Roman" w:eastAsia="Times New Roman" w:hAnsi="Times New Roman"/>
          <w:sz w:val="18"/>
          <w:szCs w:val="18"/>
          <w:i w:val="1"/>
          <w:iCs w:val="1"/>
          <w:color w:val="auto"/>
        </w:rPr>
        <w:t xml:space="preserve"> divided by </w:t>
      </w:r>
      <w:r>
        <w:rPr>
          <w:rFonts w:ascii="Times New Roman" w:cs="Times New Roman" w:eastAsia="Times New Roman" w:hAnsi="Times New Roman"/>
          <w:sz w:val="18"/>
          <w:szCs w:val="18"/>
          <w:color w:val="auto"/>
        </w:rPr>
        <w:t>(B) the number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Valid Days in the Settlement Averaging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calculation in sub-clause (A)(1) above results in zero or a negative number for any Valid Day, the Daily Combination Settlement Share Amount for such Valid Day shall be deemed to be zero;</w:t>
      </w:r>
    </w:p>
    <w:p>
      <w:pPr>
        <w:spacing w:after="0" w:line="36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18"/>
        </w:trPr>
        <w:tc>
          <w:tcPr>
            <w:tcW w:w="3960" w:type="dxa"/>
            <w:vAlign w:val="bottom"/>
          </w:tcPr>
          <w:p>
            <w:pPr>
              <w:spacing w:after="0"/>
              <w:rPr>
                <w:sz w:val="18"/>
                <w:szCs w:val="18"/>
                <w:color w:val="auto"/>
              </w:rPr>
            </w:pP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no event shall the sum of (x) the Combination Settlement Cash</w:t>
            </w:r>
          </w:p>
        </w:tc>
      </w:tr>
      <w:tr>
        <w:trPr>
          <w:trHeight w:val="214"/>
        </w:trPr>
        <w:tc>
          <w:tcPr>
            <w:tcW w:w="3960" w:type="dxa"/>
            <w:vAlign w:val="bottom"/>
          </w:tcPr>
          <w:p>
            <w:pPr>
              <w:spacing w:after="0"/>
              <w:rPr>
                <w:sz w:val="18"/>
                <w:szCs w:val="18"/>
                <w:color w:val="auto"/>
              </w:rPr>
            </w:pP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Amount for any Option and (y) the Combination Settlement Share Amount for such</w:t>
            </w:r>
          </w:p>
        </w:tc>
      </w:tr>
      <w:tr>
        <w:trPr>
          <w:trHeight w:val="218"/>
        </w:trPr>
        <w:tc>
          <w:tcPr>
            <w:tcW w:w="3960" w:type="dxa"/>
            <w:vAlign w:val="bottom"/>
          </w:tcPr>
          <w:p>
            <w:pPr>
              <w:spacing w:after="0"/>
              <w:rPr>
                <w:sz w:val="18"/>
                <w:szCs w:val="18"/>
                <w:color w:val="auto"/>
              </w:rPr>
            </w:pP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xml:space="preserve">Option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Applicable Limit Price on the Settlement Date for such</w:t>
            </w:r>
          </w:p>
        </w:tc>
      </w:tr>
      <w:tr>
        <w:trPr>
          <w:trHeight w:val="234"/>
        </w:trPr>
        <w:tc>
          <w:tcPr>
            <w:tcW w:w="3960" w:type="dxa"/>
            <w:vAlign w:val="bottom"/>
          </w:tcPr>
          <w:p>
            <w:pPr>
              <w:spacing w:after="0"/>
              <w:rPr>
                <w:sz w:val="20"/>
                <w:szCs w:val="20"/>
                <w:color w:val="auto"/>
              </w:rPr>
            </w:pP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Option exceed the Applicable Limit for such Option.</w:t>
            </w:r>
          </w:p>
        </w:tc>
      </w:tr>
      <w:tr>
        <w:trPr>
          <w:trHeight w:val="414"/>
        </w:trPr>
        <w:tc>
          <w:tcPr>
            <w:tcW w:w="3960" w:type="dxa"/>
            <w:vAlign w:val="bottom"/>
          </w:tcPr>
          <w:p>
            <w:pPr>
              <w:spacing w:after="0"/>
              <w:rPr>
                <w:sz w:val="24"/>
                <w:szCs w:val="24"/>
                <w:color w:val="auto"/>
              </w:rPr>
            </w:pP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Dealer will pay cash in lieu of delivering any fractional Shares to be delivered with</w:t>
            </w:r>
          </w:p>
        </w:tc>
      </w:tr>
      <w:tr>
        <w:trPr>
          <w:trHeight w:val="216"/>
        </w:trPr>
        <w:tc>
          <w:tcPr>
            <w:tcW w:w="3960" w:type="dxa"/>
            <w:vAlign w:val="bottom"/>
          </w:tcPr>
          <w:p>
            <w:pPr>
              <w:spacing w:after="0"/>
              <w:rPr>
                <w:sz w:val="18"/>
                <w:szCs w:val="18"/>
                <w:color w:val="auto"/>
              </w:rPr>
            </w:pP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respect to any Combination Settlement Share Amount valued at the Relevant Price</w:t>
            </w:r>
          </w:p>
        </w:tc>
      </w:tr>
      <w:tr>
        <w:trPr>
          <w:trHeight w:val="234"/>
        </w:trPr>
        <w:tc>
          <w:tcPr>
            <w:tcW w:w="3960" w:type="dxa"/>
            <w:vAlign w:val="bottom"/>
          </w:tcPr>
          <w:p>
            <w:pPr>
              <w:spacing w:after="0"/>
              <w:rPr>
                <w:sz w:val="20"/>
                <w:szCs w:val="20"/>
                <w:color w:val="auto"/>
              </w:rPr>
            </w:pP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for the last Valid Day of the Settlement Averaging Period.</w:t>
            </w:r>
          </w:p>
        </w:tc>
      </w:tr>
      <w:tr>
        <w:trPr>
          <w:trHeight w:val="414"/>
        </w:trPr>
        <w:tc>
          <w:tcPr>
            <w:tcW w:w="39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Cash Settlement:</w:t>
            </w: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If Cash Settlement is applicable to any Option exercised or deemed exercised</w:t>
            </w:r>
          </w:p>
        </w:tc>
      </w:tr>
      <w:tr>
        <w:trPr>
          <w:trHeight w:val="216"/>
        </w:trPr>
        <w:tc>
          <w:tcPr>
            <w:tcW w:w="3960" w:type="dxa"/>
            <w:vAlign w:val="bottom"/>
          </w:tcPr>
          <w:p>
            <w:pPr>
              <w:spacing w:after="0"/>
              <w:rPr>
                <w:sz w:val="18"/>
                <w:szCs w:val="18"/>
                <w:color w:val="auto"/>
              </w:rPr>
            </w:pP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hereunder, in lieu of Section 8.1 of the Equity Definitions, Dealer will pay to</w:t>
            </w:r>
          </w:p>
        </w:tc>
      </w:tr>
      <w:tr>
        <w:trPr>
          <w:trHeight w:val="212"/>
        </w:trPr>
        <w:tc>
          <w:tcPr>
            <w:tcW w:w="3960" w:type="dxa"/>
            <w:vAlign w:val="bottom"/>
          </w:tcPr>
          <w:p>
            <w:pPr>
              <w:spacing w:after="0"/>
              <w:rPr>
                <w:sz w:val="18"/>
                <w:szCs w:val="18"/>
                <w:color w:val="auto"/>
              </w:rPr>
            </w:pP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Counterparty, on the relevant Settlement Date for each such Option, an amount of</w:t>
            </w:r>
          </w:p>
        </w:tc>
      </w:tr>
      <w:tr>
        <w:trPr>
          <w:trHeight w:val="220"/>
        </w:trPr>
        <w:tc>
          <w:tcPr>
            <w:tcW w:w="3960" w:type="dxa"/>
            <w:vAlign w:val="bottom"/>
          </w:tcPr>
          <w:p>
            <w:pPr>
              <w:spacing w:after="0"/>
              <w:rPr>
                <w:sz w:val="19"/>
                <w:szCs w:val="19"/>
                <w:color w:val="auto"/>
              </w:rPr>
            </w:pP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cash (the “</w:t>
            </w:r>
            <w:r>
              <w:rPr>
                <w:rFonts w:ascii="Times New Roman" w:cs="Times New Roman" w:eastAsia="Times New Roman" w:hAnsi="Times New Roman"/>
                <w:sz w:val="18"/>
                <w:szCs w:val="18"/>
                <w:b w:val="1"/>
                <w:bCs w:val="1"/>
                <w:color w:val="auto"/>
              </w:rPr>
              <w:t>Cash Settlement Amount</w:t>
            </w:r>
            <w:r>
              <w:rPr>
                <w:rFonts w:ascii="Times New Roman" w:cs="Times New Roman" w:eastAsia="Times New Roman" w:hAnsi="Times New Roman"/>
                <w:sz w:val="18"/>
                <w:szCs w:val="18"/>
                <w:color w:val="auto"/>
              </w:rPr>
              <w:t>”) equal to the sum, for each Valid Day during</w:t>
            </w:r>
          </w:p>
        </w:tc>
      </w:tr>
      <w:tr>
        <w:trPr>
          <w:trHeight w:val="214"/>
        </w:trPr>
        <w:tc>
          <w:tcPr>
            <w:tcW w:w="3960" w:type="dxa"/>
            <w:vAlign w:val="bottom"/>
          </w:tcPr>
          <w:p>
            <w:pPr>
              <w:spacing w:after="0"/>
              <w:rPr>
                <w:sz w:val="18"/>
                <w:szCs w:val="18"/>
                <w:color w:val="auto"/>
              </w:rPr>
            </w:pP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the Settlement Averaging Period for such Option, of (i) the Daily Option Value for</w:t>
            </w:r>
          </w:p>
        </w:tc>
      </w:tr>
      <w:tr>
        <w:trPr>
          <w:trHeight w:val="216"/>
        </w:trPr>
        <w:tc>
          <w:tcPr>
            <w:tcW w:w="3960" w:type="dxa"/>
            <w:vAlign w:val="bottom"/>
          </w:tcPr>
          <w:p>
            <w:pPr>
              <w:spacing w:after="0"/>
              <w:rPr>
                <w:sz w:val="18"/>
                <w:szCs w:val="18"/>
                <w:color w:val="auto"/>
              </w:rPr>
            </w:pP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8"/>
              </w:rPr>
              <w:t xml:space="preserve">such Valid Day, </w:t>
            </w:r>
            <w:r>
              <w:rPr>
                <w:rFonts w:ascii="Times New Roman" w:cs="Times New Roman" w:eastAsia="Times New Roman" w:hAnsi="Times New Roman"/>
                <w:sz w:val="18"/>
                <w:szCs w:val="18"/>
                <w:i w:val="1"/>
                <w:iCs w:val="1"/>
                <w:color w:val="auto"/>
                <w:w w:val="98"/>
              </w:rPr>
              <w:t>divided by</w:t>
            </w:r>
            <w:r>
              <w:rPr>
                <w:rFonts w:ascii="Times New Roman" w:cs="Times New Roman" w:eastAsia="Times New Roman" w:hAnsi="Times New Roman"/>
                <w:sz w:val="18"/>
                <w:szCs w:val="18"/>
                <w:color w:val="auto"/>
                <w:w w:val="98"/>
              </w:rPr>
              <w:t xml:space="preserve"> (ii) the number of Valid Days in the Settlement Averaging</w:t>
            </w:r>
          </w:p>
        </w:tc>
      </w:tr>
      <w:tr>
        <w:trPr>
          <w:trHeight w:val="218"/>
        </w:trPr>
        <w:tc>
          <w:tcPr>
            <w:tcW w:w="3960" w:type="dxa"/>
            <w:vAlign w:val="bottom"/>
          </w:tcPr>
          <w:p>
            <w:pPr>
              <w:spacing w:after="0"/>
              <w:rPr>
                <w:sz w:val="18"/>
                <w:szCs w:val="18"/>
                <w:color w:val="auto"/>
              </w:rPr>
            </w:pP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xml:space="preserve">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Cash Settlement Amount for any Option</w:t>
            </w:r>
          </w:p>
        </w:tc>
      </w:tr>
      <w:tr>
        <w:trPr>
          <w:trHeight w:val="234"/>
        </w:trPr>
        <w:tc>
          <w:tcPr>
            <w:tcW w:w="3960" w:type="dxa"/>
            <w:vAlign w:val="bottom"/>
          </w:tcPr>
          <w:p>
            <w:pPr>
              <w:spacing w:after="0"/>
              <w:rPr>
                <w:sz w:val="20"/>
                <w:szCs w:val="20"/>
                <w:color w:val="auto"/>
              </w:rPr>
            </w:pP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exceed the Applicable Limit for such Option.</w:t>
            </w:r>
          </w:p>
        </w:tc>
      </w:tr>
      <w:tr>
        <w:trPr>
          <w:trHeight w:val="412"/>
        </w:trPr>
        <w:tc>
          <w:tcPr>
            <w:tcW w:w="39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Daily Option Value:</w:t>
            </w: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For any Valid Day, an amount equal to (i) the Option Entitlement on such Valid Day,</w:t>
            </w:r>
          </w:p>
        </w:tc>
      </w:tr>
      <w:tr>
        <w:trPr>
          <w:trHeight w:val="216"/>
        </w:trPr>
        <w:tc>
          <w:tcPr>
            <w:tcW w:w="3960" w:type="dxa"/>
            <w:vAlign w:val="bottom"/>
          </w:tcPr>
          <w:p>
            <w:pPr>
              <w:spacing w:after="0"/>
              <w:rPr>
                <w:sz w:val="18"/>
                <w:szCs w:val="18"/>
                <w:color w:val="auto"/>
              </w:rPr>
            </w:pP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(ii) (A) the lesser of the Relevant Price on such Valid Day and the Cap</w:t>
            </w:r>
          </w:p>
        </w:tc>
      </w:tr>
      <w:tr>
        <w:trPr>
          <w:trHeight w:val="218"/>
        </w:trPr>
        <w:tc>
          <w:tcPr>
            <w:tcW w:w="3960" w:type="dxa"/>
            <w:vAlign w:val="bottom"/>
          </w:tcPr>
          <w:p>
            <w:pPr>
              <w:spacing w:after="0"/>
              <w:rPr>
                <w:sz w:val="18"/>
                <w:szCs w:val="18"/>
                <w:color w:val="auto"/>
              </w:rPr>
            </w:pP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xml:space="preserve">Price,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the Strike Price on such Valid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calculation</w:t>
            </w:r>
          </w:p>
        </w:tc>
      </w:tr>
      <w:tr>
        <w:trPr>
          <w:trHeight w:val="216"/>
        </w:trPr>
        <w:tc>
          <w:tcPr>
            <w:tcW w:w="3960" w:type="dxa"/>
            <w:vAlign w:val="bottom"/>
          </w:tcPr>
          <w:p>
            <w:pPr>
              <w:spacing w:after="0"/>
              <w:rPr>
                <w:sz w:val="18"/>
                <w:szCs w:val="18"/>
                <w:color w:val="auto"/>
              </w:rPr>
            </w:pP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contained in clause (ii) above results in a negative number, the Daily Option Value</w:t>
            </w:r>
          </w:p>
        </w:tc>
      </w:tr>
      <w:tr>
        <w:trPr>
          <w:trHeight w:val="216"/>
        </w:trPr>
        <w:tc>
          <w:tcPr>
            <w:tcW w:w="3960" w:type="dxa"/>
            <w:vAlign w:val="bottom"/>
          </w:tcPr>
          <w:p>
            <w:pPr>
              <w:spacing w:after="0"/>
              <w:rPr>
                <w:sz w:val="18"/>
                <w:szCs w:val="18"/>
                <w:color w:val="auto"/>
              </w:rPr>
            </w:pP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for such Valid Day shall be deemed to be zero.  In no event will the Daily Option</w:t>
            </w:r>
          </w:p>
        </w:tc>
      </w:tr>
      <w:tr>
        <w:trPr>
          <w:trHeight w:val="234"/>
        </w:trPr>
        <w:tc>
          <w:tcPr>
            <w:tcW w:w="3960" w:type="dxa"/>
            <w:vAlign w:val="bottom"/>
          </w:tcPr>
          <w:p>
            <w:pPr>
              <w:spacing w:after="0"/>
              <w:rPr>
                <w:sz w:val="20"/>
                <w:szCs w:val="20"/>
                <w:color w:val="auto"/>
              </w:rPr>
            </w:pP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Value be less than zero.</w:t>
            </w:r>
          </w:p>
        </w:tc>
      </w:tr>
      <w:tr>
        <w:trPr>
          <w:trHeight w:val="414"/>
        </w:trPr>
        <w:tc>
          <w:tcPr>
            <w:tcW w:w="39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Applicable Limit:</w:t>
            </w: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xml:space="preserve">For any Option, an amount of cash equal to the Applicable Percentage </w:t>
            </w:r>
            <w:r>
              <w:rPr>
                <w:rFonts w:ascii="Times New Roman" w:cs="Times New Roman" w:eastAsia="Times New Roman" w:hAnsi="Times New Roman"/>
                <w:sz w:val="18"/>
                <w:szCs w:val="18"/>
                <w:i w:val="1"/>
                <w:iCs w:val="1"/>
                <w:color w:val="auto"/>
              </w:rPr>
              <w:t>multiplied by</w:t>
            </w:r>
          </w:p>
        </w:tc>
      </w:tr>
      <w:tr>
        <w:trPr>
          <w:trHeight w:val="216"/>
        </w:trPr>
        <w:tc>
          <w:tcPr>
            <w:tcW w:w="3960" w:type="dxa"/>
            <w:vAlign w:val="bottom"/>
          </w:tcPr>
          <w:p>
            <w:pPr>
              <w:spacing w:after="0"/>
              <w:rPr>
                <w:sz w:val="18"/>
                <w:szCs w:val="18"/>
                <w:color w:val="auto"/>
              </w:rPr>
            </w:pP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the excess of (i) the aggregate of (A) the amount of cash paid to the “Holder” (as</w:t>
            </w:r>
          </w:p>
        </w:tc>
      </w:tr>
      <w:tr>
        <w:trPr>
          <w:trHeight w:val="216"/>
        </w:trPr>
        <w:tc>
          <w:tcPr>
            <w:tcW w:w="3960" w:type="dxa"/>
            <w:vAlign w:val="bottom"/>
          </w:tcPr>
          <w:p>
            <w:pPr>
              <w:spacing w:after="0"/>
              <w:rPr>
                <w:sz w:val="18"/>
                <w:szCs w:val="18"/>
                <w:color w:val="auto"/>
              </w:rPr>
            </w:pP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such term is defined in the Indenture) of the related Convertible Note upon</w:t>
            </w:r>
          </w:p>
        </w:tc>
      </w:tr>
      <w:tr>
        <w:trPr>
          <w:trHeight w:val="216"/>
        </w:trPr>
        <w:tc>
          <w:tcPr>
            <w:tcW w:w="3960" w:type="dxa"/>
            <w:vAlign w:val="bottom"/>
          </w:tcPr>
          <w:p>
            <w:pPr>
              <w:spacing w:after="0"/>
              <w:rPr>
                <w:sz w:val="18"/>
                <w:szCs w:val="18"/>
                <w:color w:val="auto"/>
              </w:rPr>
            </w:pP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conversion of such Convertible Note and (B) the number of Shares, if any, delivered</w:t>
            </w:r>
          </w:p>
        </w:tc>
      </w:tr>
      <w:tr>
        <w:trPr>
          <w:trHeight w:val="214"/>
        </w:trPr>
        <w:tc>
          <w:tcPr>
            <w:tcW w:w="3960" w:type="dxa"/>
            <w:vAlign w:val="bottom"/>
          </w:tcPr>
          <w:p>
            <w:pPr>
              <w:spacing w:after="0"/>
              <w:rPr>
                <w:sz w:val="18"/>
                <w:szCs w:val="18"/>
                <w:color w:val="auto"/>
              </w:rPr>
            </w:pP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 the “Holder” (as such term is defined in the Indenture) of the related Convertible</w:t>
            </w:r>
          </w:p>
        </w:tc>
      </w:tr>
      <w:tr>
        <w:trPr>
          <w:trHeight w:val="218"/>
        </w:trPr>
        <w:tc>
          <w:tcPr>
            <w:tcW w:w="3960" w:type="dxa"/>
            <w:vAlign w:val="bottom"/>
          </w:tcPr>
          <w:p>
            <w:pPr>
              <w:spacing w:after="0"/>
              <w:rPr>
                <w:sz w:val="18"/>
                <w:szCs w:val="18"/>
                <w:color w:val="auto"/>
              </w:rPr>
            </w:pP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xml:space="preserve">Note upon conversion of such Convertible Note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Applicable Limit</w:t>
            </w:r>
          </w:p>
        </w:tc>
      </w:tr>
      <w:tr>
        <w:trPr>
          <w:trHeight w:val="234"/>
        </w:trPr>
        <w:tc>
          <w:tcPr>
            <w:tcW w:w="3960" w:type="dxa"/>
            <w:vAlign w:val="bottom"/>
          </w:tcPr>
          <w:p>
            <w:pPr>
              <w:spacing w:after="0"/>
              <w:rPr>
                <w:sz w:val="20"/>
                <w:szCs w:val="20"/>
                <w:color w:val="auto"/>
              </w:rPr>
            </w:pP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Price on the Settlement Date for such Option, over (ii) USD 1,000.</w:t>
            </w:r>
          </w:p>
        </w:tc>
      </w:tr>
      <w:tr>
        <w:trPr>
          <w:trHeight w:val="414"/>
        </w:trPr>
        <w:tc>
          <w:tcPr>
            <w:tcW w:w="39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Applicable Limit Price:</w:t>
            </w: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On any day, the opening price as displayed under the heading “Op” on Bloomberg</w:t>
            </w:r>
          </w:p>
        </w:tc>
      </w:tr>
      <w:tr>
        <w:trPr>
          <w:trHeight w:val="234"/>
        </w:trPr>
        <w:tc>
          <w:tcPr>
            <w:tcW w:w="3960" w:type="dxa"/>
            <w:vAlign w:val="bottom"/>
          </w:tcPr>
          <w:p>
            <w:pPr>
              <w:spacing w:after="0"/>
              <w:rPr>
                <w:sz w:val="20"/>
                <w:szCs w:val="20"/>
                <w:color w:val="auto"/>
              </w:rPr>
            </w:pPr>
          </w:p>
        </w:tc>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page LIF &lt;equity&gt; (or any successor thereto).</w:t>
            </w:r>
          </w:p>
        </w:tc>
      </w:tr>
      <w:tr>
        <w:trPr>
          <w:trHeight w:val="557"/>
        </w:trPr>
        <w:tc>
          <w:tcPr>
            <w:tcW w:w="3960" w:type="dxa"/>
            <w:vAlign w:val="bottom"/>
          </w:tcPr>
          <w:p>
            <w:pPr>
              <w:spacing w:after="0"/>
              <w:rPr>
                <w:sz w:val="24"/>
                <w:szCs w:val="24"/>
                <w:color w:val="auto"/>
              </w:rPr>
            </w:pPr>
          </w:p>
        </w:tc>
        <w:tc>
          <w:tcPr>
            <w:tcW w:w="728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9</w:t>
            </w:r>
          </w:p>
        </w:tc>
      </w:tr>
      <w:tr>
        <w:trPr>
          <w:trHeight w:val="44"/>
        </w:trPr>
        <w:tc>
          <w:tcPr>
            <w:tcW w:w="3960" w:type="dxa"/>
            <w:vAlign w:val="bottom"/>
            <w:tcBorders>
              <w:bottom w:val="single" w:sz="8" w:color="auto"/>
            </w:tcBorders>
          </w:tcPr>
          <w:p>
            <w:pPr>
              <w:spacing w:after="0"/>
              <w:rPr>
                <w:sz w:val="3"/>
                <w:szCs w:val="3"/>
                <w:color w:val="auto"/>
              </w:rPr>
            </w:pPr>
          </w:p>
        </w:tc>
        <w:tc>
          <w:tcPr>
            <w:tcW w:w="72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9" w:right="339"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Valid Day:</w:t>
            </w: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A day on which (i) there is no VWAP Market Disruption Event and (ii) trading in the</w:t>
            </w:r>
          </w:p>
        </w:tc>
      </w:tr>
      <w:tr>
        <w:trPr>
          <w:trHeight w:val="216"/>
        </w:trPr>
        <w:tc>
          <w:tcPr>
            <w:tcW w:w="416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Shares generally occurs on the principal U.S. national or regional securities exchange</w:t>
            </w:r>
          </w:p>
        </w:tc>
      </w:tr>
      <w:tr>
        <w:trPr>
          <w:trHeight w:val="216"/>
        </w:trPr>
        <w:tc>
          <w:tcPr>
            <w:tcW w:w="416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on which the Shares are then listed or, if the Shares are not then listed on a U.S.</w:t>
            </w:r>
          </w:p>
        </w:tc>
      </w:tr>
      <w:tr>
        <w:trPr>
          <w:trHeight w:val="216"/>
        </w:trPr>
        <w:tc>
          <w:tcPr>
            <w:tcW w:w="416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national or regional securities exchange, on the principal other market on which the</w:t>
            </w:r>
          </w:p>
        </w:tc>
      </w:tr>
      <w:tr>
        <w:trPr>
          <w:trHeight w:val="216"/>
        </w:trPr>
        <w:tc>
          <w:tcPr>
            <w:tcW w:w="416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Shares are then traded. If the Shares are not so listed or traded, then a “Valid Day”</w:t>
            </w:r>
          </w:p>
        </w:tc>
      </w:tr>
      <w:tr>
        <w:trPr>
          <w:trHeight w:val="234"/>
        </w:trPr>
        <w:tc>
          <w:tcPr>
            <w:tcW w:w="4160" w:type="dxa"/>
            <w:vAlign w:val="bottom"/>
          </w:tcPr>
          <w:p>
            <w:pPr>
              <w:spacing w:after="0"/>
              <w:rPr>
                <w:sz w:val="20"/>
                <w:szCs w:val="20"/>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means a Business Day.</w:t>
            </w:r>
          </w:p>
        </w:tc>
      </w:tr>
      <w:tr>
        <w:trPr>
          <w:trHeight w:val="414"/>
        </w:trPr>
        <w:tc>
          <w:tcPr>
            <w:tcW w:w="41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Scheduled Valid Day:</w:t>
            </w: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 day that is scheduled to be a Valid Trading Day on the principal U.S. national or</w:t>
            </w:r>
          </w:p>
        </w:tc>
      </w:tr>
      <w:tr>
        <w:trPr>
          <w:trHeight w:val="216"/>
        </w:trPr>
        <w:tc>
          <w:tcPr>
            <w:tcW w:w="416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regional securities exchange on which the Shares are then listed or, if the Shares are</w:t>
            </w:r>
          </w:p>
        </w:tc>
      </w:tr>
      <w:tr>
        <w:trPr>
          <w:trHeight w:val="216"/>
        </w:trPr>
        <w:tc>
          <w:tcPr>
            <w:tcW w:w="416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not then listed on a U.S. national or regional securities exchange, on the principal</w:t>
            </w:r>
          </w:p>
        </w:tc>
      </w:tr>
      <w:tr>
        <w:trPr>
          <w:trHeight w:val="216"/>
        </w:trPr>
        <w:tc>
          <w:tcPr>
            <w:tcW w:w="416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other market on which the Shares are then traded. If the Shares are not so listed or</w:t>
            </w:r>
          </w:p>
        </w:tc>
      </w:tr>
      <w:tr>
        <w:trPr>
          <w:trHeight w:val="234"/>
        </w:trPr>
        <w:tc>
          <w:tcPr>
            <w:tcW w:w="4160" w:type="dxa"/>
            <w:vAlign w:val="bottom"/>
          </w:tcPr>
          <w:p>
            <w:pPr>
              <w:spacing w:after="0"/>
              <w:rPr>
                <w:sz w:val="20"/>
                <w:szCs w:val="20"/>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traded, a “Scheduled Valid Day” means a Business Day.</w:t>
            </w:r>
          </w:p>
        </w:tc>
      </w:tr>
      <w:tr>
        <w:trPr>
          <w:trHeight w:val="414"/>
        </w:trPr>
        <w:tc>
          <w:tcPr>
            <w:tcW w:w="41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Valid Trading Day:</w:t>
            </w: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Any day on which (i) trading in the Shares generally occurs on the principal U.S.</w:t>
            </w:r>
          </w:p>
        </w:tc>
      </w:tr>
      <w:tr>
        <w:trPr>
          <w:trHeight w:val="216"/>
        </w:trPr>
        <w:tc>
          <w:tcPr>
            <w:tcW w:w="416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national or regional securities exchange on which the Shares are then listed or, if the</w:t>
            </w:r>
          </w:p>
        </w:tc>
      </w:tr>
      <w:tr>
        <w:trPr>
          <w:trHeight w:val="216"/>
        </w:trPr>
        <w:tc>
          <w:tcPr>
            <w:tcW w:w="416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Shares are not then listed on a U.S. national or regional securities exchange, on the</w:t>
            </w:r>
          </w:p>
        </w:tc>
      </w:tr>
      <w:tr>
        <w:trPr>
          <w:trHeight w:val="216"/>
        </w:trPr>
        <w:tc>
          <w:tcPr>
            <w:tcW w:w="416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principal other market on which the Shares are then traded; and (ii) there is no</w:t>
            </w:r>
          </w:p>
        </w:tc>
      </w:tr>
      <w:tr>
        <w:trPr>
          <w:trHeight w:val="216"/>
        </w:trPr>
        <w:tc>
          <w:tcPr>
            <w:tcW w:w="416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Market Disruption Event.  If the Shares not so listed or traded, then “Valid Trading</w:t>
            </w:r>
          </w:p>
        </w:tc>
      </w:tr>
      <w:tr>
        <w:trPr>
          <w:trHeight w:val="234"/>
        </w:trPr>
        <w:tc>
          <w:tcPr>
            <w:tcW w:w="4160" w:type="dxa"/>
            <w:vAlign w:val="bottom"/>
          </w:tcPr>
          <w:p>
            <w:pPr>
              <w:spacing w:after="0"/>
              <w:rPr>
                <w:sz w:val="20"/>
                <w:szCs w:val="20"/>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Day” means a Business Day.</w:t>
            </w:r>
          </w:p>
        </w:tc>
      </w:tr>
      <w:tr>
        <w:trPr>
          <w:trHeight w:val="414"/>
        </w:trPr>
        <w:tc>
          <w:tcPr>
            <w:tcW w:w="41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Business Day:</w:t>
            </w: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Any day other than a Saturday, a Sunday or any day on which the Federal Reserve</w:t>
            </w:r>
          </w:p>
        </w:tc>
      </w:tr>
      <w:tr>
        <w:trPr>
          <w:trHeight w:val="216"/>
        </w:trPr>
        <w:tc>
          <w:tcPr>
            <w:tcW w:w="416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Bank of New York is authorized or required by law or executive order to close or be</w:t>
            </w:r>
          </w:p>
        </w:tc>
      </w:tr>
      <w:tr>
        <w:trPr>
          <w:trHeight w:val="234"/>
        </w:trPr>
        <w:tc>
          <w:tcPr>
            <w:tcW w:w="4160" w:type="dxa"/>
            <w:vAlign w:val="bottom"/>
          </w:tcPr>
          <w:p>
            <w:pPr>
              <w:spacing w:after="0"/>
              <w:rPr>
                <w:sz w:val="20"/>
                <w:szCs w:val="20"/>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closed.</w:t>
            </w:r>
          </w:p>
        </w:tc>
      </w:tr>
      <w:tr>
        <w:trPr>
          <w:trHeight w:val="414"/>
        </w:trPr>
        <w:tc>
          <w:tcPr>
            <w:tcW w:w="41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Relevant Price:</w:t>
            </w: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On any Valid Day, the per Share volume-weighted average price of the Shares as</w:t>
            </w:r>
          </w:p>
        </w:tc>
      </w:tr>
      <w:tr>
        <w:trPr>
          <w:trHeight w:val="216"/>
        </w:trPr>
        <w:tc>
          <w:tcPr>
            <w:tcW w:w="416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displayed under the heading “Bloomberg VWAP” on Bloomberg page “LIF &lt;equity&gt;</w:t>
            </w:r>
          </w:p>
        </w:tc>
      </w:tr>
      <w:tr>
        <w:trPr>
          <w:trHeight w:val="216"/>
        </w:trPr>
        <w:tc>
          <w:tcPr>
            <w:tcW w:w="416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AQR” (or if such page is not available, its equivalent successor page) in respect of</w:t>
            </w:r>
          </w:p>
        </w:tc>
      </w:tr>
      <w:tr>
        <w:trPr>
          <w:trHeight w:val="216"/>
        </w:trPr>
        <w:tc>
          <w:tcPr>
            <w:tcW w:w="416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the period from the scheduled open of trading until the scheduled close of trading of</w:t>
            </w:r>
          </w:p>
        </w:tc>
      </w:tr>
      <w:tr>
        <w:trPr>
          <w:trHeight w:val="216"/>
        </w:trPr>
        <w:tc>
          <w:tcPr>
            <w:tcW w:w="416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the primary trading session on such Valid Day (or if such volume-weighted average</w:t>
            </w:r>
          </w:p>
        </w:tc>
      </w:tr>
      <w:tr>
        <w:trPr>
          <w:trHeight w:val="216"/>
        </w:trPr>
        <w:tc>
          <w:tcPr>
            <w:tcW w:w="416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price is unavailable at such time, the market value of one Share on such Valid Day, as</w:t>
            </w:r>
          </w:p>
        </w:tc>
      </w:tr>
      <w:tr>
        <w:trPr>
          <w:trHeight w:val="216"/>
        </w:trPr>
        <w:tc>
          <w:tcPr>
            <w:tcW w:w="416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determined by the Calculation Agent in a commercially reasonable manner using, if</w:t>
            </w:r>
          </w:p>
        </w:tc>
      </w:tr>
      <w:tr>
        <w:trPr>
          <w:trHeight w:val="216"/>
        </w:trPr>
        <w:tc>
          <w:tcPr>
            <w:tcW w:w="416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practicable, a volume-weighted average method). The Relevant Price will be</w:t>
            </w:r>
          </w:p>
        </w:tc>
      </w:tr>
      <w:tr>
        <w:trPr>
          <w:trHeight w:val="216"/>
        </w:trPr>
        <w:tc>
          <w:tcPr>
            <w:tcW w:w="4160" w:type="dxa"/>
            <w:vAlign w:val="bottom"/>
          </w:tcPr>
          <w:p>
            <w:pPr>
              <w:spacing w:after="0"/>
              <w:rPr>
                <w:sz w:val="18"/>
                <w:szCs w:val="18"/>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determined without regard to after-hours trading or any other trading outside of the</w:t>
            </w:r>
          </w:p>
        </w:tc>
      </w:tr>
      <w:tr>
        <w:trPr>
          <w:trHeight w:val="234"/>
        </w:trPr>
        <w:tc>
          <w:tcPr>
            <w:tcW w:w="4160" w:type="dxa"/>
            <w:vAlign w:val="bottom"/>
          </w:tcPr>
          <w:p>
            <w:pPr>
              <w:spacing w:after="0"/>
              <w:rPr>
                <w:sz w:val="20"/>
                <w:szCs w:val="20"/>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regular trading session.</w:t>
            </w:r>
          </w:p>
        </w:tc>
      </w:tr>
      <w:tr>
        <w:trPr>
          <w:trHeight w:val="404"/>
        </w:trPr>
        <w:tc>
          <w:tcPr>
            <w:tcW w:w="41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Settlement Averaging Period:</w:t>
            </w: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For any Option and regardless of the Settlement Method applicable to such Option,</w:t>
            </w:r>
          </w:p>
        </w:tc>
      </w:tr>
      <w:tr>
        <w:trPr>
          <w:trHeight w:val="226"/>
        </w:trPr>
        <w:tc>
          <w:tcPr>
            <w:tcW w:w="4160" w:type="dxa"/>
            <w:vAlign w:val="bottom"/>
          </w:tcPr>
          <w:p>
            <w:pPr>
              <w:spacing w:after="0"/>
              <w:rPr>
                <w:sz w:val="19"/>
                <w:szCs w:val="19"/>
                <w:color w:val="auto"/>
              </w:rPr>
            </w:pPr>
          </w:p>
        </w:tc>
        <w:tc>
          <w:tcPr>
            <w:tcW w:w="7080" w:type="dxa"/>
            <w:vAlign w:val="bottom"/>
          </w:tcPr>
          <w:p>
            <w:pPr>
              <w:ind w:left="920"/>
              <w:spacing w:after="0" w:line="226" w:lineRule="exact"/>
              <w:rPr>
                <w:sz w:val="20"/>
                <w:szCs w:val="20"/>
                <w:color w:val="auto"/>
              </w:rPr>
            </w:pPr>
            <w:r>
              <w:rPr>
                <w:rFonts w:ascii="Times New Roman" w:cs="Times New Roman" w:eastAsia="Times New Roman" w:hAnsi="Times New Roman"/>
                <w:sz w:val="16"/>
                <w:szCs w:val="16"/>
                <w:color w:val="auto"/>
              </w:rPr>
              <w:t>the 40 consecutive Valid Days commencing on, and including, the 41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xml:space="preserve"> Scheduled</w:t>
            </w:r>
          </w:p>
        </w:tc>
      </w:tr>
      <w:tr>
        <w:trPr>
          <w:trHeight w:val="234"/>
        </w:trPr>
        <w:tc>
          <w:tcPr>
            <w:tcW w:w="4160" w:type="dxa"/>
            <w:vAlign w:val="bottom"/>
          </w:tcPr>
          <w:p>
            <w:pPr>
              <w:spacing w:after="0"/>
              <w:rPr>
                <w:sz w:val="20"/>
                <w:szCs w:val="20"/>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Valid Day immediately prior to the Expiration Date.</w:t>
            </w:r>
          </w:p>
        </w:tc>
      </w:tr>
      <w:tr>
        <w:trPr>
          <w:trHeight w:val="414"/>
        </w:trPr>
        <w:tc>
          <w:tcPr>
            <w:tcW w:w="41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Settlement Date:</w:t>
            </w: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For any Option, the second Business Day immediately following the final Valid Day</w:t>
            </w:r>
          </w:p>
        </w:tc>
      </w:tr>
      <w:tr>
        <w:trPr>
          <w:trHeight w:val="234"/>
        </w:trPr>
        <w:tc>
          <w:tcPr>
            <w:tcW w:w="4160" w:type="dxa"/>
            <w:vAlign w:val="bottom"/>
          </w:tcPr>
          <w:p>
            <w:pPr>
              <w:spacing w:after="0"/>
              <w:rPr>
                <w:sz w:val="20"/>
                <w:szCs w:val="20"/>
                <w:color w:val="auto"/>
              </w:rPr>
            </w:pP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of the Settlement Averaging Period for such Option.</w:t>
            </w:r>
          </w:p>
        </w:tc>
      </w:tr>
      <w:tr>
        <w:trPr>
          <w:trHeight w:val="432"/>
        </w:trPr>
        <w:tc>
          <w:tcPr>
            <w:tcW w:w="41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Settlement Currency:</w:t>
            </w:r>
          </w:p>
        </w:tc>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USD</w:t>
            </w:r>
          </w:p>
        </w:tc>
      </w:tr>
      <w:tr>
        <w:trPr>
          <w:trHeight w:val="557"/>
        </w:trPr>
        <w:tc>
          <w:tcPr>
            <w:tcW w:w="4160" w:type="dxa"/>
            <w:vAlign w:val="bottom"/>
          </w:tcPr>
          <w:p>
            <w:pPr>
              <w:spacing w:after="0"/>
              <w:rPr>
                <w:sz w:val="24"/>
                <w:szCs w:val="24"/>
                <w:color w:val="auto"/>
              </w:rPr>
            </w:pPr>
          </w:p>
        </w:tc>
        <w:tc>
          <w:tcPr>
            <w:tcW w:w="708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10</w:t>
            </w:r>
          </w:p>
        </w:tc>
      </w:tr>
      <w:tr>
        <w:trPr>
          <w:trHeight w:val="44"/>
        </w:trPr>
        <w:tc>
          <w:tcPr>
            <w:tcW w:w="4160" w:type="dxa"/>
            <w:vAlign w:val="bottom"/>
            <w:tcBorders>
              <w:bottom w:val="single" w:sz="8" w:color="auto"/>
            </w:tcBorders>
          </w:tcPr>
          <w:p>
            <w:pPr>
              <w:spacing w:after="0"/>
              <w:rPr>
                <w:sz w:val="3"/>
                <w:szCs w:val="3"/>
                <w:color w:val="auto"/>
              </w:rPr>
            </w:pPr>
          </w:p>
        </w:tc>
        <w:tc>
          <w:tcPr>
            <w:tcW w:w="70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113" w:name="page114"/>
    <w:bookmarkEnd w:id="113"/>
    <w:p>
      <w:pPr>
        <w:ind w:left="1132"/>
        <w:spacing w:after="0"/>
        <w:rPr>
          <w:sz w:val="20"/>
          <w:szCs w:val="20"/>
          <w:color w:val="auto"/>
        </w:rPr>
      </w:pPr>
      <w:r>
        <w:rPr>
          <w:rFonts w:ascii="Times New Roman" w:cs="Times New Roman" w:eastAsia="Times New Roman" w:hAnsi="Times New Roman"/>
          <w:sz w:val="17"/>
          <w:szCs w:val="17"/>
          <w:color w:val="auto"/>
        </w:rPr>
        <w:t>Other Applicable Provisions:</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provisions of Sections 9.1(c), 9.8, 9.9 and 9.11 of the Equity Definitions will be applicable, except that all references in such provisions to “Physically-settled” shall be read as references to “Share Settled”. “Share Settled” in relation to any Option means that Net Share Settlement or Combination Settlement is applicable to that Option.</w:t>
      </w:r>
    </w:p>
    <w:p>
      <w:pPr>
        <w:spacing w:after="0" w:line="183" w:lineRule="exact"/>
        <w:rPr>
          <w:sz w:val="20"/>
          <w:szCs w:val="20"/>
          <w:color w:val="auto"/>
        </w:rPr>
      </w:pPr>
    </w:p>
    <w:p>
      <w:pPr>
        <w:sectPr>
          <w:pgSz w:w="11900" w:h="16838" w:orient="portrait"/>
          <w:cols w:equalWidth="0" w:num="2">
            <w:col w:w="4352" w:space="720"/>
            <w:col w:w="6160"/>
          </w:cols>
          <w:pgMar w:left="328" w:top="121" w:right="339" w:bottom="1440" w:gutter="0" w:footer="0" w:header="0"/>
        </w:sectPr>
      </w:pPr>
    </w:p>
    <w:p>
      <w:pPr>
        <w:ind w:left="1132"/>
        <w:spacing w:after="0"/>
        <w:rPr>
          <w:sz w:val="20"/>
          <w:szCs w:val="20"/>
          <w:color w:val="auto"/>
        </w:rPr>
      </w:pPr>
      <w:r>
        <w:rPr>
          <w:rFonts w:ascii="Times New Roman" w:cs="Times New Roman" w:eastAsia="Times New Roman" w:hAnsi="Times New Roman"/>
          <w:sz w:val="17"/>
          <w:szCs w:val="17"/>
          <w:color w:val="auto"/>
        </w:rPr>
        <w:t>Representation and Agreement:</w:t>
      </w:r>
    </w:p>
    <w:p>
      <w:pPr>
        <w:spacing w:after="0" w:line="20" w:lineRule="exact"/>
        <w:rPr>
          <w:sz w:val="20"/>
          <w:szCs w:val="20"/>
          <w:color w:val="auto"/>
        </w:rPr>
      </w:pPr>
      <w:r>
        <w:rPr>
          <w:sz w:val="20"/>
          <w:szCs w:val="20"/>
          <w:color w:val="auto"/>
        </w:rPr>
        <w:br w:type="column"/>
      </w:r>
    </w:p>
    <w:p>
      <w:pPr>
        <w:jc w:val="both"/>
        <w:spacing w:after="0" w:line="272" w:lineRule="auto"/>
        <w:rPr>
          <w:sz w:val="20"/>
          <w:szCs w:val="20"/>
          <w:color w:val="auto"/>
        </w:rPr>
      </w:pPr>
      <w:r>
        <w:rPr>
          <w:rFonts w:ascii="Times New Roman" w:cs="Times New Roman" w:eastAsia="Times New Roman" w:hAnsi="Times New Roman"/>
          <w:sz w:val="17"/>
          <w:szCs w:val="17"/>
          <w:color w:val="auto"/>
        </w:rPr>
        <w:t>Notwithstanding anything to the contrary in the Equity Definitions (including, but not limited to, Section 9.11 thereof), the parties acknowledge that (i) any Shares delivered to Counterparty shall be, upon delivery, subject to restrictions and limitations arising from Counterparty’s status as issuer of the Shares under applicable securities laws, (ii) Dealer may deliver any Shares required to be delivered hereunder in certificated form in lieu of delivery through the Clearance System and (iii) any Shares delivered to Counterparty may be “restricted securities” (as defined in Rule 144 under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sectPr>
          <w:pgSz w:w="11900" w:h="16838" w:orient="portrait"/>
          <w:cols w:equalWidth="0" w:num="2">
            <w:col w:w="4352" w:space="720"/>
            <w:col w:w="6160"/>
          </w:cols>
          <w:pgMar w:left="328" w:top="121" w:right="339" w:bottom="1440" w:gutter="0" w:footer="0" w:header="0"/>
          <w:type w:val="continuous"/>
        </w:sectPr>
      </w:pPr>
    </w:p>
    <w:p>
      <w:pPr>
        <w:ind w:left="652" w:right="7000" w:hanging="652"/>
        <w:spacing w:after="0" w:line="532" w:lineRule="auto"/>
        <w:tabs>
          <w:tab w:leader="none" w:pos="571" w:val="left"/>
        </w:tabs>
        <w:numPr>
          <w:ilvl w:val="0"/>
          <w:numId w:val="1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Additional Terms applicable to the Transaction. </w:t>
      </w:r>
      <w:r>
        <w:rPr>
          <w:rFonts w:ascii="Times New Roman" w:cs="Times New Roman" w:eastAsia="Times New Roman" w:hAnsi="Times New Roman"/>
          <w:sz w:val="17"/>
          <w:szCs w:val="17"/>
          <w:color w:val="auto"/>
        </w:rPr>
        <w:t>Adjustments applicable to the Transaction:</w:t>
      </w:r>
    </w:p>
    <w:p>
      <w:pPr>
        <w:sectPr>
          <w:pgSz w:w="11900" w:h="16838" w:orient="portrait"/>
          <w:cols w:equalWidth="0" w:num="1">
            <w:col w:w="11232"/>
          </w:cols>
          <w:pgMar w:left="328" w:top="121" w:right="339" w:bottom="1440" w:gutter="0" w:footer="0" w:header="0"/>
          <w:type w:val="continuous"/>
        </w:sectPr>
      </w:pPr>
    </w:p>
    <w:p>
      <w:pPr>
        <w:spacing w:after="0" w:line="1" w:lineRule="exact"/>
        <w:rPr>
          <w:sz w:val="20"/>
          <w:szCs w:val="20"/>
          <w:color w:val="auto"/>
        </w:rPr>
      </w:pPr>
    </w:p>
    <w:p>
      <w:pPr>
        <w:ind w:left="1132"/>
        <w:spacing w:after="0"/>
        <w:rPr>
          <w:sz w:val="20"/>
          <w:szCs w:val="20"/>
          <w:color w:val="auto"/>
        </w:rPr>
      </w:pPr>
      <w:r>
        <w:rPr>
          <w:rFonts w:ascii="Times New Roman" w:cs="Times New Roman" w:eastAsia="Times New Roman" w:hAnsi="Times New Roman"/>
          <w:sz w:val="18"/>
          <w:szCs w:val="18"/>
          <w:color w:val="auto"/>
        </w:rPr>
        <w:t>Potential Adjustment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2134870</wp:posOffset>
            </wp:positionV>
            <wp:extent cx="156845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18"/>
          <w:szCs w:val="18"/>
          <w:color w:val="auto"/>
        </w:rPr>
        <w:t>Notwithstanding Section 11.2(e) of the Equity Definitions, a “Potential Adjustment Event” means an occurrence of any event or condition, as set forth in any Dilution Adjustment Provision, that would result in an adjustment under the Indenture to the “Conversion Rate” or the composition of a “Reference Property Unit” or to any “Last Reported Sale Price,” “Daily VWAP,” “Daily Conversion Value,” “Daily Share Amount” or “Daily Cash Amount” (each as defined in the Indenture). For the avoidance of doubt, Dealer shall not have any delivery or payment obligation hereunder, and no adjustment shall be made to the terms of the Transaction, on account of (x) any distribution of cash, property or securities by Counterparty to holders of the Convertible Notes (upon conversion or otherwise) or (y) any other transaction in which holders of the Convertible Notes are entitled to participate, in each case, in lieu of an adjustment under the Indenture of the type referred to in the immediately preceding sentence (including, without limitation, pursuant to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in the first paragraph of Section 5.05(A)(iii)(1)</w:t>
      </w:r>
      <w:r>
        <w:rPr>
          <w:rFonts w:ascii="Times New Roman" w:cs="Times New Roman" w:eastAsia="Times New Roman" w:hAnsi="Times New Roman"/>
          <w:sz w:val="14"/>
          <w:szCs w:val="14"/>
          <w:color w:val="auto"/>
        </w:rPr>
        <w:t>29</w:t>
      </w:r>
      <w:r>
        <w:rPr>
          <w:rFonts w:ascii="Times New Roman" w:cs="Times New Roman" w:eastAsia="Times New Roman" w:hAnsi="Times New Roman"/>
          <w:sz w:val="18"/>
          <w:szCs w:val="18"/>
          <w:color w:val="auto"/>
        </w:rPr>
        <w:t xml:space="preserve"> of the Indenture or the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in the first paragraph of Section 5.05(A)(iv)]</w:t>
      </w:r>
      <w:r>
        <w:rPr>
          <w:rFonts w:ascii="Times New Roman" w:cs="Times New Roman" w:eastAsia="Times New Roman" w:hAnsi="Times New Roman"/>
          <w:sz w:val="14"/>
          <w:szCs w:val="14"/>
          <w:color w:val="auto"/>
        </w:rPr>
        <w:t>30</w:t>
      </w:r>
      <w:r>
        <w:rPr>
          <w:rFonts w:ascii="Times New Roman" w:cs="Times New Roman" w:eastAsia="Times New Roman" w:hAnsi="Times New Roman"/>
          <w:sz w:val="18"/>
          <w:szCs w:val="18"/>
          <w:color w:val="auto"/>
        </w:rPr>
        <w:t xml:space="preserve"> of the Indenture).</w:t>
      </w:r>
    </w:p>
    <w:p>
      <w:pPr>
        <w:spacing w:after="0" w:line="200" w:lineRule="exact"/>
        <w:rPr>
          <w:sz w:val="20"/>
          <w:szCs w:val="20"/>
          <w:color w:val="auto"/>
        </w:rPr>
      </w:pPr>
    </w:p>
    <w:p>
      <w:pPr>
        <w:sectPr>
          <w:pgSz w:w="11900" w:h="16838" w:orient="portrait"/>
          <w:cols w:equalWidth="0" w:num="2">
            <w:col w:w="4352" w:space="720"/>
            <w:col w:w="6160"/>
          </w:cols>
          <w:pgMar w:left="328" w:top="121" w:right="339" w:bottom="1440" w:gutter="0" w:footer="0" w:header="0"/>
          <w:type w:val="continuous"/>
        </w:sectPr>
      </w:pPr>
    </w:p>
    <w:p>
      <w:pPr>
        <w:spacing w:after="0" w:line="198" w:lineRule="exact"/>
        <w:rPr>
          <w:sz w:val="20"/>
          <w:szCs w:val="20"/>
          <w:color w:val="auto"/>
        </w:rPr>
      </w:pPr>
    </w:p>
    <w:p>
      <w:pPr>
        <w:ind w:left="-8" w:right="120" w:firstLine="8"/>
        <w:spacing w:after="0" w:line="208" w:lineRule="auto"/>
        <w:tabs>
          <w:tab w:leader="none" w:pos="187" w:val="left"/>
        </w:tabs>
        <w:numPr>
          <w:ilvl w:val="0"/>
          <w:numId w:val="15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 cross-reference to provision in the Indenture for pass-through of distributed property, at the same time as it is received by holders of the Shares, in lieu of a Conversion Rate adjustment.</w:t>
      </w:r>
    </w:p>
    <w:p>
      <w:pPr>
        <w:spacing w:after="0" w:line="1" w:lineRule="exact"/>
        <w:rPr>
          <w:rFonts w:ascii="Times New Roman" w:cs="Times New Roman" w:eastAsia="Times New Roman" w:hAnsi="Times New Roman"/>
          <w:sz w:val="28"/>
          <w:szCs w:val="28"/>
          <w:color w:val="auto"/>
          <w:vertAlign w:val="superscript"/>
        </w:rPr>
      </w:pPr>
    </w:p>
    <w:p>
      <w:pPr>
        <w:ind w:left="-8" w:right="400" w:firstLine="8"/>
        <w:spacing w:after="0" w:line="200" w:lineRule="auto"/>
        <w:tabs>
          <w:tab w:leader="none" w:pos="187" w:val="left"/>
        </w:tabs>
        <w:numPr>
          <w:ilvl w:val="0"/>
          <w:numId w:val="15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 cross-reference to provision in the Indenture for pass-through of cash, at the same time as it is received by holders of the Shares, in lieu of a Conversion Rate adjustment.</w:t>
      </w:r>
    </w:p>
    <w:p>
      <w:pPr>
        <w:spacing w:after="0" w:line="38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type w:val="continuous"/>
        </w:sectPr>
      </w:pPr>
    </w:p>
    <w:bookmarkStart w:id="114" w:name="page115"/>
    <w:bookmarkEnd w:id="114"/>
    <w:tbl>
      <w:tblPr>
        <w:tblLayout w:type="fixed"/>
        <w:tblInd w:w="1140" w:type="dxa"/>
        <w:tblCellMar>
          <w:top w:w="0" w:type="dxa"/>
          <w:left w:w="0" w:type="dxa"/>
          <w:bottom w:w="0" w:type="dxa"/>
          <w:right w:w="0" w:type="dxa"/>
        </w:tblCellMar>
      </w:tblP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Method of Adjustment:</w:t>
            </w:r>
          </w:p>
        </w:tc>
        <w:tc>
          <w:tcPr>
            <w:tcW w:w="72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9"/>
              </w:rPr>
              <w:t>Calculation Agent Adjustment, which means that, notwithstanding Section 11.2(c) of</w:t>
            </w:r>
          </w:p>
        </w:tc>
      </w:tr>
      <w:tr>
        <w:trPr>
          <w:trHeight w:val="216"/>
        </w:trPr>
        <w:tc>
          <w:tcPr>
            <w:tcW w:w="2820" w:type="dxa"/>
            <w:vAlign w:val="bottom"/>
          </w:tcPr>
          <w:p>
            <w:pPr>
              <w:spacing w:after="0"/>
              <w:rPr>
                <w:sz w:val="18"/>
                <w:szCs w:val="18"/>
                <w:color w:val="auto"/>
              </w:rPr>
            </w:pPr>
          </w:p>
        </w:tc>
        <w:tc>
          <w:tcPr>
            <w:tcW w:w="72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the Equity Definitions, upon any Potential Adjustment Event, the Calculation Agent</w:t>
            </w:r>
          </w:p>
        </w:tc>
      </w:tr>
      <w:tr>
        <w:trPr>
          <w:trHeight w:val="216"/>
        </w:trPr>
        <w:tc>
          <w:tcPr>
            <w:tcW w:w="2820" w:type="dxa"/>
            <w:vAlign w:val="bottom"/>
          </w:tcPr>
          <w:p>
            <w:pPr>
              <w:spacing w:after="0"/>
              <w:rPr>
                <w:sz w:val="18"/>
                <w:szCs w:val="18"/>
                <w:color w:val="auto"/>
              </w:rPr>
            </w:pPr>
          </w:p>
        </w:tc>
        <w:tc>
          <w:tcPr>
            <w:tcW w:w="72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shall make a corresponding adjustment to any one or more of the Strike Price,</w:t>
            </w:r>
          </w:p>
        </w:tc>
      </w:tr>
      <w:tr>
        <w:trPr>
          <w:trHeight w:val="214"/>
        </w:trPr>
        <w:tc>
          <w:tcPr>
            <w:tcW w:w="2820" w:type="dxa"/>
            <w:vAlign w:val="bottom"/>
          </w:tcPr>
          <w:p>
            <w:pPr>
              <w:spacing w:after="0"/>
              <w:rPr>
                <w:sz w:val="18"/>
                <w:szCs w:val="18"/>
                <w:color w:val="auto"/>
              </w:rPr>
            </w:pPr>
          </w:p>
        </w:tc>
        <w:tc>
          <w:tcPr>
            <w:tcW w:w="72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Number of Options, Option Entitlement and any other variable relevant to the</w:t>
            </w:r>
          </w:p>
        </w:tc>
      </w:tr>
      <w:tr>
        <w:trPr>
          <w:trHeight w:val="218"/>
        </w:trPr>
        <w:tc>
          <w:tcPr>
            <w:tcW w:w="2820" w:type="dxa"/>
            <w:vAlign w:val="bottom"/>
          </w:tcPr>
          <w:p>
            <w:pPr>
              <w:spacing w:after="0"/>
              <w:rPr>
                <w:sz w:val="18"/>
                <w:szCs w:val="18"/>
                <w:color w:val="auto"/>
              </w:rPr>
            </w:pPr>
          </w:p>
        </w:tc>
        <w:tc>
          <w:tcPr>
            <w:tcW w:w="72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 xml:space="preserve">exercise, settlement or payment for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agree</w:t>
            </w:r>
          </w:p>
        </w:tc>
      </w:tr>
      <w:tr>
        <w:trPr>
          <w:trHeight w:val="216"/>
        </w:trPr>
        <w:tc>
          <w:tcPr>
            <w:tcW w:w="2820" w:type="dxa"/>
            <w:vAlign w:val="bottom"/>
          </w:tcPr>
          <w:p>
            <w:pPr>
              <w:spacing w:after="0"/>
              <w:rPr>
                <w:sz w:val="18"/>
                <w:szCs w:val="18"/>
                <w:color w:val="auto"/>
              </w:rPr>
            </w:pPr>
          </w:p>
        </w:tc>
        <w:tc>
          <w:tcPr>
            <w:tcW w:w="72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that (x) open market Share repurchases at prevailing market price and (y) Share</w:t>
            </w:r>
          </w:p>
        </w:tc>
      </w:tr>
      <w:tr>
        <w:trPr>
          <w:trHeight w:val="216"/>
        </w:trPr>
        <w:tc>
          <w:tcPr>
            <w:tcW w:w="2820" w:type="dxa"/>
            <w:vAlign w:val="bottom"/>
          </w:tcPr>
          <w:p>
            <w:pPr>
              <w:spacing w:after="0"/>
              <w:rPr>
                <w:sz w:val="18"/>
                <w:szCs w:val="18"/>
                <w:color w:val="auto"/>
              </w:rPr>
            </w:pPr>
          </w:p>
        </w:tc>
        <w:tc>
          <w:tcPr>
            <w:tcW w:w="72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repurchases through a dealer pursuant to accelerated share repurchases, forward</w:t>
            </w:r>
          </w:p>
        </w:tc>
      </w:tr>
      <w:tr>
        <w:trPr>
          <w:trHeight w:val="216"/>
        </w:trPr>
        <w:tc>
          <w:tcPr>
            <w:tcW w:w="2820" w:type="dxa"/>
            <w:vAlign w:val="bottom"/>
          </w:tcPr>
          <w:p>
            <w:pPr>
              <w:spacing w:after="0"/>
              <w:rPr>
                <w:sz w:val="18"/>
                <w:szCs w:val="18"/>
                <w:color w:val="auto"/>
              </w:rPr>
            </w:pPr>
          </w:p>
        </w:tc>
        <w:tc>
          <w:tcPr>
            <w:tcW w:w="72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contracts or similar transactions that are entered into at prevailing market prices and</w:t>
            </w:r>
          </w:p>
        </w:tc>
      </w:tr>
      <w:tr>
        <w:trPr>
          <w:trHeight w:val="216"/>
        </w:trPr>
        <w:tc>
          <w:tcPr>
            <w:tcW w:w="2820" w:type="dxa"/>
            <w:vAlign w:val="bottom"/>
          </w:tcPr>
          <w:p>
            <w:pPr>
              <w:spacing w:after="0"/>
              <w:rPr>
                <w:sz w:val="18"/>
                <w:szCs w:val="18"/>
                <w:color w:val="auto"/>
              </w:rPr>
            </w:pPr>
          </w:p>
        </w:tc>
        <w:tc>
          <w:tcPr>
            <w:tcW w:w="72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in accordance with customary market terms for transactions of such type to</w:t>
            </w:r>
          </w:p>
        </w:tc>
      </w:tr>
      <w:tr>
        <w:trPr>
          <w:trHeight w:val="216"/>
        </w:trPr>
        <w:tc>
          <w:tcPr>
            <w:tcW w:w="2820" w:type="dxa"/>
            <w:vAlign w:val="bottom"/>
          </w:tcPr>
          <w:p>
            <w:pPr>
              <w:spacing w:after="0"/>
              <w:rPr>
                <w:sz w:val="18"/>
                <w:szCs w:val="18"/>
                <w:color w:val="auto"/>
              </w:rPr>
            </w:pPr>
          </w:p>
        </w:tc>
        <w:tc>
          <w:tcPr>
            <w:tcW w:w="72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repurchase the Shares shall not be considered Potential Adjustment Events, in each</w:t>
            </w:r>
          </w:p>
        </w:tc>
      </w:tr>
      <w:tr>
        <w:trPr>
          <w:trHeight w:val="216"/>
        </w:trPr>
        <w:tc>
          <w:tcPr>
            <w:tcW w:w="2820" w:type="dxa"/>
            <w:vAlign w:val="bottom"/>
          </w:tcPr>
          <w:p>
            <w:pPr>
              <w:spacing w:after="0"/>
              <w:rPr>
                <w:sz w:val="18"/>
                <w:szCs w:val="18"/>
                <w:color w:val="auto"/>
              </w:rPr>
            </w:pPr>
          </w:p>
        </w:tc>
        <w:tc>
          <w:tcPr>
            <w:tcW w:w="72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case, to the extent that, after giving effect to such transactions, the aggregate number</w:t>
            </w:r>
          </w:p>
        </w:tc>
      </w:tr>
      <w:tr>
        <w:trPr>
          <w:trHeight w:val="216"/>
        </w:trPr>
        <w:tc>
          <w:tcPr>
            <w:tcW w:w="2820" w:type="dxa"/>
            <w:vAlign w:val="bottom"/>
          </w:tcPr>
          <w:p>
            <w:pPr>
              <w:spacing w:after="0"/>
              <w:rPr>
                <w:sz w:val="18"/>
                <w:szCs w:val="18"/>
                <w:color w:val="auto"/>
              </w:rPr>
            </w:pPr>
          </w:p>
        </w:tc>
        <w:tc>
          <w:tcPr>
            <w:tcW w:w="72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of Shares repurchased during the term of the Transaction pursuant to all transactions</w:t>
            </w:r>
          </w:p>
        </w:tc>
      </w:tr>
      <w:tr>
        <w:trPr>
          <w:trHeight w:val="216"/>
        </w:trPr>
        <w:tc>
          <w:tcPr>
            <w:tcW w:w="2820" w:type="dxa"/>
            <w:vAlign w:val="bottom"/>
          </w:tcPr>
          <w:p>
            <w:pPr>
              <w:spacing w:after="0"/>
              <w:rPr>
                <w:sz w:val="18"/>
                <w:szCs w:val="18"/>
                <w:color w:val="auto"/>
              </w:rPr>
            </w:pPr>
          </w:p>
        </w:tc>
        <w:tc>
          <w:tcPr>
            <w:tcW w:w="72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described in this proviso would not exceed 20% of the number of Shares outstanding</w:t>
            </w:r>
          </w:p>
        </w:tc>
      </w:tr>
      <w:tr>
        <w:trPr>
          <w:trHeight w:val="234"/>
        </w:trPr>
        <w:tc>
          <w:tcPr>
            <w:tcW w:w="2820" w:type="dxa"/>
            <w:vAlign w:val="bottom"/>
          </w:tcPr>
          <w:p>
            <w:pPr>
              <w:spacing w:after="0"/>
              <w:rPr>
                <w:sz w:val="20"/>
                <w:szCs w:val="20"/>
                <w:color w:val="auto"/>
              </w:rPr>
            </w:pPr>
          </w:p>
        </w:tc>
        <w:tc>
          <w:tcPr>
            <w:tcW w:w="72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as of the Trade Date, as determined by the Calculation Agent.</w:t>
            </w:r>
          </w:p>
        </w:tc>
      </w:tr>
      <w:tr>
        <w:trPr>
          <w:trHeight w:val="414"/>
        </w:trPr>
        <w:tc>
          <w:tcPr>
            <w:tcW w:w="2820" w:type="dxa"/>
            <w:vAlign w:val="bottom"/>
          </w:tcPr>
          <w:p>
            <w:pPr>
              <w:spacing w:after="0"/>
              <w:rPr>
                <w:sz w:val="24"/>
                <w:szCs w:val="24"/>
                <w:color w:val="auto"/>
              </w:rPr>
            </w:pPr>
          </w:p>
        </w:tc>
        <w:tc>
          <w:tcPr>
            <w:tcW w:w="72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Notwithstanding the foregoing and “Consequences of Merger Events / Tender</w:t>
            </w:r>
          </w:p>
        </w:tc>
      </w:tr>
      <w:tr>
        <w:trPr>
          <w:trHeight w:val="234"/>
        </w:trPr>
        <w:tc>
          <w:tcPr>
            <w:tcW w:w="2820" w:type="dxa"/>
            <w:vAlign w:val="bottom"/>
          </w:tcPr>
          <w:p>
            <w:pPr>
              <w:spacing w:after="0"/>
              <w:rPr>
                <w:sz w:val="20"/>
                <w:szCs w:val="20"/>
                <w:color w:val="auto"/>
              </w:rPr>
            </w:pPr>
          </w:p>
        </w:tc>
        <w:tc>
          <w:tcPr>
            <w:tcW w:w="72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Offers” below:</w:t>
            </w:r>
          </w:p>
        </w:tc>
      </w:tr>
      <w:tr>
        <w:trPr>
          <w:trHeight w:val="414"/>
        </w:trPr>
        <w:tc>
          <w:tcPr>
            <w:tcW w:w="2820" w:type="dxa"/>
            <w:vAlign w:val="bottom"/>
          </w:tcPr>
          <w:p>
            <w:pPr>
              <w:spacing w:after="0"/>
              <w:rPr>
                <w:sz w:val="24"/>
                <w:szCs w:val="24"/>
                <w:color w:val="auto"/>
              </w:rPr>
            </w:pPr>
          </w:p>
        </w:tc>
        <w:tc>
          <w:tcPr>
            <w:tcW w:w="14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w:t>
            </w:r>
          </w:p>
        </w:tc>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if the Calculation Agent in good faith disagrees with any adjustment to the</w:t>
            </w:r>
          </w:p>
        </w:tc>
      </w:tr>
      <w:tr>
        <w:trPr>
          <w:trHeight w:val="234"/>
        </w:trPr>
        <w:tc>
          <w:tcPr>
            <w:tcW w:w="28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Convertible Notes that involves an exercise of discretion by Counterparty or its</w:t>
            </w:r>
          </w:p>
        </w:tc>
      </w:tr>
    </w:tbl>
    <w:p>
      <w:pPr>
        <w:jc w:val="both"/>
        <w:ind w:left="5520"/>
        <w:spacing w:after="0" w:line="241" w:lineRule="auto"/>
        <w:rPr>
          <w:sz w:val="20"/>
          <w:szCs w:val="20"/>
          <w:color w:val="auto"/>
        </w:rPr>
      </w:pPr>
      <w:r>
        <w:rPr>
          <w:rFonts w:ascii="Times New Roman" w:cs="Times New Roman" w:eastAsia="Times New Roman" w:hAnsi="Times New Roman"/>
          <w:sz w:val="18"/>
          <w:szCs w:val="18"/>
          <w:color w:val="auto"/>
        </w:rPr>
        <w:t>board of directors (including, without limitation, pursuant to Section [5.05(H)]</w:t>
      </w:r>
      <w:r>
        <w:rPr>
          <w:rFonts w:ascii="Times New Roman" w:cs="Times New Roman" w:eastAsia="Times New Roman" w:hAnsi="Times New Roman"/>
          <w:sz w:val="29"/>
          <w:szCs w:val="29"/>
          <w:color w:val="auto"/>
          <w:vertAlign w:val="superscript"/>
        </w:rPr>
        <w:t>31</w:t>
      </w:r>
      <w:r>
        <w:rPr>
          <w:rFonts w:ascii="Times New Roman" w:cs="Times New Roman" w:eastAsia="Times New Roman" w:hAnsi="Times New Roman"/>
          <w:sz w:val="18"/>
          <w:szCs w:val="18"/>
          <w:color w:val="auto"/>
        </w:rPr>
        <w:t xml:space="preserve"> of the Indenture, Section [5.09]</w:t>
      </w:r>
      <w:r>
        <w:rPr>
          <w:rFonts w:ascii="Times New Roman" w:cs="Times New Roman" w:eastAsia="Times New Roman" w:hAnsi="Times New Roman"/>
          <w:sz w:val="29"/>
          <w:szCs w:val="29"/>
          <w:color w:val="auto"/>
          <w:vertAlign w:val="superscript"/>
        </w:rPr>
        <w:t>32</w:t>
      </w:r>
      <w:r>
        <w:rPr>
          <w:rFonts w:ascii="Times New Roman" w:cs="Times New Roman" w:eastAsia="Times New Roman" w:hAnsi="Times New Roman"/>
          <w:sz w:val="18"/>
          <w:szCs w:val="18"/>
          <w:color w:val="auto"/>
        </w:rPr>
        <w:t xml:space="preserve"> of the Indenture or any supplemental indenture entered into thereunder or in connection with any proportional adjustment or the determination of the fair value of any securities, property, rights or other assets), then in each such case, the Calculation Agent will, in good faith and in a commercially reasonable manner, determine the adjustment to be made to any one or more of the Strike Price, Number of Options, Option Entitlement and any other variable relevant to the exercise, settlement or payment for the Transaction in a commercially reasonable manner;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if any Potential Adjustment Event occurs during the Settlement Averaging Period but no adjustment was made to any Convertible Note under the Indenture because the relevant “Holder” (as such term is defined in the Indenture) was deemed to be a record owner of the underlying Shares on the related Conversion Date, then the Calculation Agent shall make a commercially reasonable adjustment, as determined by it, to the terms hereof in order to account for such Potential Adjustment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156845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392" w:lineRule="exact"/>
        <w:rPr>
          <w:sz w:val="20"/>
          <w:szCs w:val="20"/>
          <w:color w:val="auto"/>
        </w:rPr>
      </w:pPr>
    </w:p>
    <w:p>
      <w:pPr>
        <w:ind w:right="420" w:firstLine="8"/>
        <w:spacing w:after="0" w:line="208" w:lineRule="auto"/>
        <w:tabs>
          <w:tab w:leader="none" w:pos="195" w:val="left"/>
        </w:tabs>
        <w:numPr>
          <w:ilvl w:val="0"/>
          <w:numId w:val="15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 cross-reference to Indenture section providing for adjustments where a Conversion Rate adjustment occurs during a period over which Last Reported Sale Prices, Daily VWAPs, Daily Conversion Values, Daily Cash Amount or Daily Share Amounts are calculated.</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80" w:lineRule="auto"/>
        <w:tabs>
          <w:tab w:leader="none" w:pos="200" w:val="left"/>
        </w:tabs>
        <w:numPr>
          <w:ilvl w:val="0"/>
          <w:numId w:val="15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cross-reference to Indenture section relating to common stock change events.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both"/>
        <w:ind w:left="5520" w:hanging="450"/>
        <w:spacing w:after="0" w:line="216" w:lineRule="auto"/>
        <w:tabs>
          <w:tab w:leader="none" w:pos="55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Potential Adjustment Event as a result of an event or condition set forth in Section [5.05(A)(ii)]</w:t>
      </w:r>
      <w:r>
        <w:rPr>
          <w:rFonts w:ascii="Times New Roman" w:cs="Times New Roman" w:eastAsia="Times New Roman" w:hAnsi="Times New Roman"/>
          <w:sz w:val="29"/>
          <w:szCs w:val="29"/>
          <w:color w:val="auto"/>
          <w:vertAlign w:val="superscript"/>
        </w:rPr>
        <w:t>33</w:t>
      </w:r>
      <w:r>
        <w:rPr>
          <w:rFonts w:ascii="Times New Roman" w:cs="Times New Roman" w:eastAsia="Times New Roman" w:hAnsi="Times New Roman"/>
          <w:sz w:val="18"/>
          <w:szCs w:val="18"/>
          <w:color w:val="auto"/>
        </w:rPr>
        <w:t xml:space="preserve"> of the Indenture or Section [5.05(A)(iii)(1)]</w:t>
      </w:r>
      <w:r>
        <w:rPr>
          <w:rFonts w:ascii="Times New Roman" w:cs="Times New Roman" w:eastAsia="Times New Roman" w:hAnsi="Times New Roman"/>
          <w:sz w:val="29"/>
          <w:szCs w:val="29"/>
          <w:color w:val="auto"/>
          <w:vertAlign w:val="superscript"/>
        </w:rPr>
        <w:t>34</w:t>
      </w:r>
      <w:r>
        <w:rPr>
          <w:rFonts w:ascii="Times New Roman" w:cs="Times New Roman" w:eastAsia="Times New Roman" w:hAnsi="Times New Roman"/>
          <w:sz w:val="18"/>
          <w:szCs w:val="18"/>
          <w:color w:val="auto"/>
        </w:rPr>
        <w:t xml:space="preserve"> of the Indenture where, in either case, the period for determining “Y” (as such term is used in Section [5.05(A)(ii)]</w:t>
      </w:r>
      <w:r>
        <w:rPr>
          <w:rFonts w:ascii="Times New Roman" w:cs="Times New Roman" w:eastAsia="Times New Roman" w:hAnsi="Times New Roman"/>
          <w:sz w:val="29"/>
          <w:szCs w:val="29"/>
          <w:color w:val="auto"/>
          <w:vertAlign w:val="superscript"/>
        </w:rPr>
        <w:t>35</w:t>
      </w:r>
      <w:r>
        <w:rPr>
          <w:rFonts w:ascii="Times New Roman" w:cs="Times New Roman" w:eastAsia="Times New Roman" w:hAnsi="Times New Roman"/>
          <w:sz w:val="18"/>
          <w:szCs w:val="18"/>
          <w:color w:val="auto"/>
        </w:rPr>
        <w:t xml:space="preserve"> of the Indenture) or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(as such term is used in Section [5.05(A)(iii)(1)]</w:t>
      </w:r>
      <w:r>
        <w:rPr>
          <w:rFonts w:ascii="Times New Roman" w:cs="Times New Roman" w:eastAsia="Times New Roman" w:hAnsi="Times New Roman"/>
          <w:sz w:val="29"/>
          <w:szCs w:val="29"/>
          <w:color w:val="auto"/>
          <w:vertAlign w:val="superscript"/>
        </w:rPr>
        <w:t>36</w:t>
      </w:r>
      <w:r>
        <w:rPr>
          <w:rFonts w:ascii="Times New Roman" w:cs="Times New Roman" w:eastAsia="Times New Roman" w:hAnsi="Times New Roman"/>
          <w:sz w:val="18"/>
          <w:szCs w:val="18"/>
          <w:color w:val="auto"/>
        </w:rPr>
        <w:t xml:space="preserve"> of the Indenture), as the case may be, begins before Counterparty has publicly announced the event or condition giving rise to such Potential Adjustment Event, then the Calculation Agent shall, in good faith and in a commercially reasonable manner, have the right to adjust any variable relevant to the exercise, settlement or payment for the Transaction as appropriate to reflect the costs (including, but not limited to, hedging mismatches and market losses) and expenses incurred by Dealer in connection with its hedging activities, with such adjustments made assuming that Dealer maintains commercially reasonable hedge positions, as a result of such event or condition not having been publicly announced prior to the beginning of such period; and</w:t>
      </w:r>
    </w:p>
    <w:p>
      <w:pPr>
        <w:spacing w:after="0" w:line="206" w:lineRule="exact"/>
        <w:rPr>
          <w:rFonts w:ascii="Times New Roman" w:cs="Times New Roman" w:eastAsia="Times New Roman" w:hAnsi="Times New Roman"/>
          <w:sz w:val="18"/>
          <w:szCs w:val="18"/>
          <w:color w:val="auto"/>
        </w:rPr>
      </w:pPr>
    </w:p>
    <w:p>
      <w:pPr>
        <w:jc w:val="both"/>
        <w:ind w:left="5520" w:hanging="450"/>
        <w:spacing w:after="0" w:line="252" w:lineRule="auto"/>
        <w:tabs>
          <w:tab w:leader="none" w:pos="55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Potential Adjustment Event is declared and (a) the event or condition giving rise to such Potential Adjustment Event is subsequently amended, modified, cancelled or abandoned, (b) the “Conversion Rate” (as defined in the Indenture) is otherwise not adjusted at the time or in the manner contemplated by the relevant Dilution Adjustment Provision based on such declaration or (c) the “Conversion Rate” (as defined in the Indenture) is adjusted as a result of such Potential Adjustment Event and subsequently re-adjusted (each of clauses (a), (b) and (c), a “</w:t>
      </w:r>
      <w:r>
        <w:rPr>
          <w:rFonts w:ascii="Times New Roman" w:cs="Times New Roman" w:eastAsia="Times New Roman" w:hAnsi="Times New Roman"/>
          <w:sz w:val="18"/>
          <w:szCs w:val="18"/>
          <w:b w:val="1"/>
          <w:bCs w:val="1"/>
          <w:color w:val="auto"/>
        </w:rPr>
        <w:t>Potential Adjustment Event Change</w:t>
      </w:r>
      <w:r>
        <w:rPr>
          <w:rFonts w:ascii="Times New Roman" w:cs="Times New Roman" w:eastAsia="Times New Roman" w:hAnsi="Times New Roman"/>
          <w:sz w:val="18"/>
          <w:szCs w:val="18"/>
          <w:color w:val="auto"/>
        </w:rPr>
        <w:t>”) then, in each case, the Calculation Agent shall, in good faith and in a commercially reasonable manner, have the right to adjust any variable relevant to the exercise, settlement or payment for the Transaction as appropriate to reflect the costs (including, but not limited to, hedging mismatches and market losses) and expenses incurred by Dealer in connection with its hedging activities, with such adjustments made assuming that Dealer maintains commercially reasonable hedge positions, as a result of such Potential Adjustment Event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156845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377" w:lineRule="exact"/>
        <w:rPr>
          <w:sz w:val="20"/>
          <w:szCs w:val="20"/>
          <w:color w:val="auto"/>
        </w:rPr>
      </w:pPr>
    </w:p>
    <w:p>
      <w:pPr>
        <w:ind w:right="300" w:firstLine="8"/>
        <w:spacing w:after="0" w:line="208" w:lineRule="auto"/>
        <w:tabs>
          <w:tab w:leader="none" w:pos="195" w:val="left"/>
        </w:tabs>
        <w:numPr>
          <w:ilvl w:val="0"/>
          <w:numId w:val="15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 cross-reference to Indenture section providing for an adjustment to the Conversion Rate in connection with a below-market rights, options or warrants offering.</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80" w:lineRule="auto"/>
        <w:tabs>
          <w:tab w:leader="none" w:pos="200" w:val="left"/>
        </w:tabs>
        <w:numPr>
          <w:ilvl w:val="0"/>
          <w:numId w:val="15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cross-reference to Indenture section providing for an adjustment to the Conversion Rate in connection with distributions of distributed property.</w:t>
      </w:r>
    </w:p>
    <w:p>
      <w:pPr>
        <w:spacing w:after="0" w:line="2" w:lineRule="exact"/>
        <w:rPr>
          <w:rFonts w:ascii="Times New Roman" w:cs="Times New Roman" w:eastAsia="Times New Roman" w:hAnsi="Times New Roman"/>
          <w:sz w:val="25"/>
          <w:szCs w:val="25"/>
          <w:color w:val="auto"/>
          <w:vertAlign w:val="superscript"/>
        </w:rPr>
      </w:pPr>
    </w:p>
    <w:p>
      <w:pPr>
        <w:ind w:right="300" w:firstLine="8"/>
        <w:spacing w:after="0" w:line="199" w:lineRule="auto"/>
        <w:tabs>
          <w:tab w:leader="none" w:pos="195" w:val="left"/>
        </w:tabs>
        <w:numPr>
          <w:ilvl w:val="0"/>
          <w:numId w:val="15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 cross-reference to Indenture section providing for an adjustment to the Conversion Rate in connection with a below-market rights, options or warrants offering.</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80" w:lineRule="auto"/>
        <w:tabs>
          <w:tab w:leader="none" w:pos="200" w:val="left"/>
        </w:tabs>
        <w:numPr>
          <w:ilvl w:val="0"/>
          <w:numId w:val="15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cross-reference to Indenture section providing for an adjustment to the Conversion Rate in connection with distributions of distributed property.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line="10" w:lineRule="exact"/>
        <w:rPr>
          <w:sz w:val="20"/>
          <w:szCs w:val="20"/>
          <w:color w:val="auto"/>
        </w:rPr>
      </w:pPr>
    </w:p>
    <w:p>
      <w:pPr>
        <w:ind w:left="1132"/>
        <w:spacing w:after="0"/>
        <w:rPr>
          <w:sz w:val="20"/>
          <w:szCs w:val="20"/>
          <w:color w:val="auto"/>
        </w:rPr>
      </w:pPr>
      <w:r>
        <w:rPr>
          <w:rFonts w:ascii="Times New Roman" w:cs="Times New Roman" w:eastAsia="Times New Roman" w:hAnsi="Times New Roman"/>
          <w:sz w:val="17"/>
          <w:szCs w:val="17"/>
          <w:color w:val="auto"/>
        </w:rPr>
        <w:t>Dilution Adjustment Provisions:</w:t>
      </w:r>
    </w:p>
    <w:p>
      <w:pPr>
        <w:spacing w:after="0" w:line="20" w:lineRule="exact"/>
        <w:rPr>
          <w:sz w:val="20"/>
          <w:szCs w:val="20"/>
          <w:color w:val="auto"/>
        </w:rPr>
      </w:pPr>
      <w:r>
        <w:rPr>
          <w:sz w:val="20"/>
          <w:szCs w:val="20"/>
          <w:color w:val="auto"/>
        </w:rPr>
        <w:br w:type="column"/>
      </w:r>
    </w:p>
    <w:p>
      <w:pPr>
        <w:spacing w:after="0" w:line="293" w:lineRule="auto"/>
        <w:rPr>
          <w:sz w:val="20"/>
          <w:szCs w:val="20"/>
          <w:color w:val="auto"/>
        </w:rPr>
      </w:pPr>
      <w:r>
        <w:rPr>
          <w:rFonts w:ascii="Times New Roman" w:cs="Times New Roman" w:eastAsia="Times New Roman" w:hAnsi="Times New Roman"/>
          <w:sz w:val="18"/>
          <w:szCs w:val="18"/>
          <w:color w:val="auto"/>
        </w:rPr>
        <w:t>Sections [5.05(A)(i), (ii), (iii), (iv) and (v)]</w:t>
      </w:r>
      <w:r>
        <w:rPr>
          <w:rFonts w:ascii="Times New Roman" w:cs="Times New Roman" w:eastAsia="Times New Roman" w:hAnsi="Times New Roman"/>
          <w:sz w:val="14"/>
          <w:szCs w:val="14"/>
          <w:color w:val="auto"/>
        </w:rPr>
        <w:t>37</w:t>
      </w:r>
      <w:r>
        <w:rPr>
          <w:rFonts w:ascii="Times New Roman" w:cs="Times New Roman" w:eastAsia="Times New Roman" w:hAnsi="Times New Roman"/>
          <w:sz w:val="18"/>
          <w:szCs w:val="18"/>
          <w:color w:val="auto"/>
        </w:rPr>
        <w:t xml:space="preserve"> Indenture.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and Section [5.05(H)]</w:t>
      </w: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of the</w:t>
      </w:r>
    </w:p>
    <w:p>
      <w:pPr>
        <w:spacing w:after="0" w:line="440" w:lineRule="exact"/>
        <w:rPr>
          <w:sz w:val="20"/>
          <w:szCs w:val="20"/>
          <w:color w:val="auto"/>
        </w:rPr>
      </w:pPr>
    </w:p>
    <w:p>
      <w:pPr>
        <w:sectPr>
          <w:pgSz w:w="11900" w:h="16838" w:orient="portrait"/>
          <w:cols w:equalWidth="0" w:num="4">
            <w:col w:w="4352" w:space="720"/>
            <w:col w:w="3600" w:space="120"/>
            <w:col w:w="1840" w:space="120"/>
            <w:col w:w="480"/>
          </w:cols>
          <w:pgMar w:left="328" w:top="111" w:right="339" w:bottom="1440" w:gutter="0" w:footer="0" w:header="0"/>
        </w:sectPr>
      </w:pPr>
    </w:p>
    <w:p>
      <w:pPr>
        <w:ind w:left="632"/>
        <w:spacing w:after="0"/>
        <w:rPr>
          <w:sz w:val="20"/>
          <w:szCs w:val="20"/>
          <w:color w:val="auto"/>
        </w:rPr>
      </w:pPr>
      <w:r>
        <w:rPr>
          <w:rFonts w:ascii="Times New Roman" w:cs="Times New Roman" w:eastAsia="Times New Roman" w:hAnsi="Times New Roman"/>
          <w:sz w:val="17"/>
          <w:szCs w:val="17"/>
          <w:color w:val="auto"/>
        </w:rPr>
        <w:t>Extraordinary Events applicable to the Transaction:</w:t>
      </w:r>
    </w:p>
    <w:p>
      <w:pPr>
        <w:sectPr>
          <w:pgSz w:w="11900" w:h="16838" w:orient="portrait"/>
          <w:cols w:equalWidth="0" w:num="1">
            <w:col w:w="11232"/>
          </w:cols>
          <w:pgMar w:left="328" w:top="111" w:right="339" w:bottom="1440" w:gutter="0" w:footer="0" w:header="0"/>
          <w:type w:val="continuous"/>
        </w:sectPr>
      </w:pPr>
    </w:p>
    <w:p>
      <w:pPr>
        <w:spacing w:after="0" w:line="237" w:lineRule="exact"/>
        <w:rPr>
          <w:sz w:val="20"/>
          <w:szCs w:val="20"/>
          <w:color w:val="auto"/>
        </w:rPr>
      </w:pPr>
    </w:p>
    <w:p>
      <w:pPr>
        <w:ind w:left="1132"/>
        <w:spacing w:after="0"/>
        <w:rPr>
          <w:sz w:val="20"/>
          <w:szCs w:val="20"/>
          <w:color w:val="auto"/>
        </w:rPr>
      </w:pPr>
      <w:r>
        <w:rPr>
          <w:rFonts w:ascii="Times New Roman" w:cs="Times New Roman" w:eastAsia="Times New Roman" w:hAnsi="Times New Roman"/>
          <w:sz w:val="18"/>
          <w:szCs w:val="18"/>
          <w:color w:val="auto"/>
        </w:rPr>
        <w:t>Merger Events: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Section 12.1(b) of the Equity Definitions, a “Merger Event” means the occurrence of any event or condition set forth in the definition of “Common Stock Change Event” in Section [5.09(A)]</w:t>
      </w:r>
      <w:r>
        <w:rPr>
          <w:rFonts w:ascii="Times New Roman" w:cs="Times New Roman" w:eastAsia="Times New Roman" w:hAnsi="Times New Roman"/>
          <w:sz w:val="14"/>
          <w:szCs w:val="14"/>
          <w:color w:val="auto"/>
        </w:rPr>
        <w:t>39</w:t>
      </w:r>
      <w:r>
        <w:rPr>
          <w:rFonts w:ascii="Times New Roman" w:cs="Times New Roman" w:eastAsia="Times New Roman" w:hAnsi="Times New Roman"/>
          <w:sz w:val="18"/>
          <w:szCs w:val="18"/>
          <w:color w:val="auto"/>
        </w:rPr>
        <w:t xml:space="preserve"> of the Indenture.</w:t>
      </w:r>
    </w:p>
    <w:p>
      <w:pPr>
        <w:spacing w:after="0" w:line="180" w:lineRule="exact"/>
        <w:rPr>
          <w:sz w:val="20"/>
          <w:szCs w:val="20"/>
          <w:color w:val="auto"/>
        </w:rPr>
      </w:pPr>
    </w:p>
    <w:p>
      <w:pPr>
        <w:sectPr>
          <w:pgSz w:w="11900" w:h="16838" w:orient="portrait"/>
          <w:cols w:equalWidth="0" w:num="2">
            <w:col w:w="4352" w:space="720"/>
            <w:col w:w="6160"/>
          </w:cols>
          <w:pgMar w:left="328" w:top="111" w:right="339" w:bottom="1440" w:gutter="0" w:footer="0" w:header="0"/>
          <w:type w:val="continuous"/>
        </w:sectPr>
      </w:pPr>
    </w:p>
    <w:p>
      <w:pPr>
        <w:spacing w:after="0" w:line="2" w:lineRule="exact"/>
        <w:rPr>
          <w:sz w:val="20"/>
          <w:szCs w:val="20"/>
          <w:color w:val="auto"/>
        </w:rPr>
      </w:pPr>
    </w:p>
    <w:p>
      <w:pPr>
        <w:ind w:left="1132"/>
        <w:spacing w:after="0"/>
        <w:rPr>
          <w:sz w:val="20"/>
          <w:szCs w:val="20"/>
          <w:color w:val="auto"/>
        </w:rPr>
      </w:pPr>
      <w:r>
        <w:rPr>
          <w:rFonts w:ascii="Times New Roman" w:cs="Times New Roman" w:eastAsia="Times New Roman" w:hAnsi="Times New Roman"/>
          <w:sz w:val="17"/>
          <w:szCs w:val="17"/>
          <w:color w:val="auto"/>
        </w:rPr>
        <w:t>Tender Offers:</w:t>
      </w:r>
    </w:p>
    <w:p>
      <w:pPr>
        <w:spacing w:after="0" w:line="20" w:lineRule="exact"/>
        <w:rPr>
          <w:sz w:val="20"/>
          <w:szCs w:val="20"/>
          <w:color w:val="auto"/>
        </w:rPr>
      </w:pPr>
      <w:r>
        <w:rPr>
          <w:sz w:val="20"/>
          <w:szCs w:val="20"/>
          <w:color w:val="auto"/>
        </w:rPr>
        <w:br w:type="column"/>
      </w: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Section 12.1(d) of the Equity Definitions, a “Tender Offer” means the occurrence of any event or condition set forth in Section [5.05(A)(v)]</w:t>
      </w:r>
      <w:r>
        <w:rPr>
          <w:rFonts w:ascii="Times New Roman" w:cs="Times New Roman" w:eastAsia="Times New Roman" w:hAnsi="Times New Roman"/>
          <w:sz w:val="14"/>
          <w:szCs w:val="14"/>
          <w:color w:val="auto"/>
        </w:rPr>
        <w:t>40</w:t>
      </w:r>
      <w:r>
        <w:rPr>
          <w:rFonts w:ascii="Times New Roman" w:cs="Times New Roman" w:eastAsia="Times New Roman" w:hAnsi="Times New Roman"/>
          <w:sz w:val="18"/>
          <w:szCs w:val="18"/>
          <w:color w:val="auto"/>
        </w:rPr>
        <w:t xml:space="preserve"> of the Indenture.</w:t>
      </w:r>
    </w:p>
    <w:p>
      <w:pPr>
        <w:spacing w:after="0" w:line="175" w:lineRule="exact"/>
        <w:rPr>
          <w:sz w:val="20"/>
          <w:szCs w:val="20"/>
          <w:color w:val="auto"/>
        </w:rPr>
      </w:pPr>
    </w:p>
    <w:p>
      <w:pPr>
        <w:sectPr>
          <w:pgSz w:w="11900" w:h="16838" w:orient="portrait"/>
          <w:cols w:equalWidth="0" w:num="2">
            <w:col w:w="4352" w:space="720"/>
            <w:col w:w="6160"/>
          </w:cols>
          <w:pgMar w:left="328" w:top="111" w:right="339" w:bottom="1440" w:gutter="0" w:footer="0" w:header="0"/>
          <w:type w:val="continuous"/>
        </w:sectPr>
      </w:pPr>
    </w:p>
    <w:p>
      <w:pPr>
        <w:ind w:left="1132"/>
        <w:spacing w:after="0"/>
        <w:rPr>
          <w:sz w:val="20"/>
          <w:szCs w:val="20"/>
          <w:color w:val="auto"/>
        </w:rPr>
      </w:pPr>
      <w:r>
        <w:rPr>
          <w:rFonts w:ascii="Times New Roman" w:cs="Times New Roman" w:eastAsia="Times New Roman" w:hAnsi="Times New Roman"/>
          <w:sz w:val="17"/>
          <w:szCs w:val="17"/>
          <w:color w:val="auto"/>
        </w:rPr>
        <w:t>Consequences of Merger Events/</w:t>
      </w:r>
    </w:p>
    <w:p>
      <w:pPr>
        <w:spacing w:after="0" w:line="39" w:lineRule="exact"/>
        <w:rPr>
          <w:sz w:val="20"/>
          <w:szCs w:val="20"/>
          <w:color w:val="auto"/>
        </w:rPr>
      </w:pPr>
    </w:p>
    <w:p>
      <w:pPr>
        <w:ind w:left="1132"/>
        <w:spacing w:after="0"/>
        <w:rPr>
          <w:sz w:val="20"/>
          <w:szCs w:val="20"/>
          <w:color w:val="auto"/>
        </w:rPr>
      </w:pPr>
      <w:r>
        <w:rPr>
          <w:rFonts w:ascii="Times New Roman" w:cs="Times New Roman" w:eastAsia="Times New Roman" w:hAnsi="Times New Roman"/>
          <w:sz w:val="18"/>
          <w:szCs w:val="18"/>
          <w:color w:val="auto"/>
        </w:rPr>
        <w:t>Tender Offers: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2672080</wp:posOffset>
            </wp:positionV>
            <wp:extent cx="156845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Section 12.2 and Section 12.3 of the Equity Definitions, upon the occurrence of a Merger Event or a Tender Offer, the Calculation Agent shall make a corresponding adjustment in respect of any adjustment under the Indenture to any one or more of the nature of the Shares (in the case of a Merger Event), Strike Price, Number of Options, Option Entitlement and any other variable relevant to the exercise, settlement or payment for the Transaction, subject to the second paragraph under “Method of Adjustment”;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adjustment shall be made without regard to any adjustment to the “Conversion Rate” (as defined in the Indenture) pursuant to any Excluded Provision;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with respect to a Merger Event or a Tender Offer, (i) the consideration for the Shares includes (or, at the option of a holder of Shares, may include) shares of an entity or person that is not a corporation or is not organized under the laws of the United States, any State thereof or the District of Columbia or (ii) the Counterparty to the Transaction following such Merger Event or Tender Offer will not be a corporation organized under the laws of the United States, any State thereof or the District of Columbia, then, in either case, Cancellation and Payment (Calculation Agent Determination) may apply at Dealer’s reasonable election;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for the avoidance of doubt, adjustments shall be made pursuant to the provisions set forth above regardless of whether any Merger Event or Tender Offer gives rise to an Early Conversion.</w:t>
      </w:r>
    </w:p>
    <w:p>
      <w:pPr>
        <w:spacing w:after="0" w:line="200" w:lineRule="exact"/>
        <w:rPr>
          <w:sz w:val="20"/>
          <w:szCs w:val="20"/>
          <w:color w:val="auto"/>
        </w:rPr>
      </w:pPr>
    </w:p>
    <w:p>
      <w:pPr>
        <w:sectPr>
          <w:pgSz w:w="11900" w:h="16838" w:orient="portrait"/>
          <w:cols w:equalWidth="0" w:num="2">
            <w:col w:w="4352" w:space="720"/>
            <w:col w:w="6160"/>
          </w:cols>
          <w:pgMar w:left="328" w:top="111" w:right="339" w:bottom="1440" w:gutter="0" w:footer="0" w:header="0"/>
          <w:type w:val="continuous"/>
        </w:sectPr>
      </w:pPr>
    </w:p>
    <w:p>
      <w:pPr>
        <w:spacing w:after="0" w:line="104" w:lineRule="exact"/>
        <w:rPr>
          <w:sz w:val="20"/>
          <w:szCs w:val="20"/>
          <w:color w:val="auto"/>
        </w:rPr>
      </w:pPr>
    </w:p>
    <w:p>
      <w:pPr>
        <w:ind w:left="192" w:hanging="192"/>
        <w:spacing w:after="0"/>
        <w:tabs>
          <w:tab w:leader="none" w:pos="192" w:val="left"/>
        </w:tabs>
        <w:numPr>
          <w:ilvl w:val="0"/>
          <w:numId w:val="15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 cross-references to Indenture sections containing anti-dilution adjustments to the Conversion Rate.</w:t>
      </w:r>
    </w:p>
    <w:p>
      <w:pPr>
        <w:spacing w:after="0" w:line="1" w:lineRule="exact"/>
        <w:rPr>
          <w:rFonts w:ascii="Times New Roman" w:cs="Times New Roman" w:eastAsia="Times New Roman" w:hAnsi="Times New Roman"/>
          <w:sz w:val="28"/>
          <w:szCs w:val="28"/>
          <w:color w:val="auto"/>
          <w:vertAlign w:val="superscript"/>
        </w:rPr>
      </w:pPr>
    </w:p>
    <w:p>
      <w:pPr>
        <w:ind w:left="-8" w:right="420" w:firstLine="8"/>
        <w:spacing w:after="0" w:line="199" w:lineRule="auto"/>
        <w:tabs>
          <w:tab w:leader="none" w:pos="187" w:val="left"/>
        </w:tabs>
        <w:numPr>
          <w:ilvl w:val="0"/>
          <w:numId w:val="15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 cross-reference to Indenture section providing for adjustments where a Conversion Rate adjustment occurs during a period over which Last Reported Sale Prices, Daily VWAPs, Daily Conversion Values, Daily Cash Amount or Daily Share Amounts are calculated.</w:t>
      </w:r>
    </w:p>
    <w:p>
      <w:pPr>
        <w:spacing w:after="0" w:line="1" w:lineRule="exact"/>
        <w:rPr>
          <w:rFonts w:ascii="Times New Roman" w:cs="Times New Roman" w:eastAsia="Times New Roman" w:hAnsi="Times New Roman"/>
          <w:sz w:val="28"/>
          <w:szCs w:val="28"/>
          <w:color w:val="auto"/>
          <w:vertAlign w:val="superscript"/>
        </w:rPr>
      </w:pPr>
    </w:p>
    <w:p>
      <w:pPr>
        <w:ind w:left="192" w:hanging="192"/>
        <w:spacing w:after="0" w:line="180" w:lineRule="auto"/>
        <w:tabs>
          <w:tab w:leader="none" w:pos="192" w:val="left"/>
        </w:tabs>
        <w:numPr>
          <w:ilvl w:val="0"/>
          <w:numId w:val="15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cross-reference to Indenture section describing consequences of common stock change events.</w:t>
      </w:r>
    </w:p>
    <w:p>
      <w:pPr>
        <w:spacing w:after="0" w:line="2" w:lineRule="exact"/>
        <w:rPr>
          <w:rFonts w:ascii="Times New Roman" w:cs="Times New Roman" w:eastAsia="Times New Roman" w:hAnsi="Times New Roman"/>
          <w:sz w:val="25"/>
          <w:szCs w:val="25"/>
          <w:color w:val="auto"/>
          <w:vertAlign w:val="superscript"/>
        </w:rPr>
      </w:pPr>
    </w:p>
    <w:p>
      <w:pPr>
        <w:ind w:left="192" w:hanging="192"/>
        <w:spacing w:after="0" w:line="194" w:lineRule="auto"/>
        <w:tabs>
          <w:tab w:leader="none" w:pos="192" w:val="left"/>
        </w:tabs>
        <w:numPr>
          <w:ilvl w:val="0"/>
          <w:numId w:val="15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cross-reference to Indenture section describing consequences of tender offers.</w:t>
      </w:r>
    </w:p>
    <w:p>
      <w:pPr>
        <w:spacing w:after="0" w:line="38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1" w:right="339"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214"/>
        </w:trPr>
        <w:tc>
          <w:tcPr>
            <w:tcW w:w="45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Consequences of Announcement Events:</w:t>
            </w: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Modified Calculation Agent Adjustment as set forth in Section 12.3(d) of the Equity</w:t>
            </w:r>
          </w:p>
        </w:tc>
      </w:tr>
      <w:tr>
        <w:trPr>
          <w:trHeight w:val="218"/>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xml:space="preserve">Definitions;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respect of an Announcement Event, (w) references to</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“Tender Offer” shall be replaced by references to “Announcement Event” and</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references to “Tender Offer Date” shall be replaced by references to “date of such</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Announcement Event”, (x) the phrase “exercise, settlement, payment or any other</w:t>
            </w:r>
          </w:p>
        </w:tc>
      </w:tr>
      <w:tr>
        <w:trPr>
          <w:trHeight w:val="214"/>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terms of the Transaction (including, without limitation, the spread)” shall be replaced</w:t>
            </w:r>
          </w:p>
        </w:tc>
      </w:tr>
      <w:tr>
        <w:trPr>
          <w:trHeight w:val="218"/>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with the phrase “Cap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Cap Price be less than</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Strike Price)”, (y) the phrases “whether within a commercially reasonable (as</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determined  by  the  Calculation  Agent)  period  of  time  prior  to  or  after  the</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Announcement Event,” shall be inserted prior to the word “which” in the seventh</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line, and (z) for the avoidance of doubt, the Calculation Agent shall, in good faith</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and  in  a  commercially  reasonable  manner,  determine  whether  the  relevant</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Announcement Event has had an economic effect on the Transaction (and, if so, shall</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adjust the Cap Price accordingly) on one or more occasions on or after the date of the</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Announcement  Event  up  to,  and  including,  the  Expiration  Date,  any  Early</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Termination Date and/or any other date of cancellation, it being understood that (i)</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any adjustment in respect of an Announcement Event shall take into account any</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earlier adjustment relating to the same Announcement Event and (ii) in making any</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adjustment the Calculation Agent shall take into account volatility, liquidity or other</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factors before and after such Announcement Event. An Announcement Event shall</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be an “Extraordinary Event” for purposes of the Equity Definitions, to which Article</w:t>
            </w:r>
          </w:p>
        </w:tc>
      </w:tr>
      <w:tr>
        <w:trPr>
          <w:trHeight w:val="234"/>
        </w:trPr>
        <w:tc>
          <w:tcPr>
            <w:tcW w:w="4580" w:type="dxa"/>
            <w:vAlign w:val="bottom"/>
          </w:tcPr>
          <w:p>
            <w:pPr>
              <w:spacing w:after="0"/>
              <w:rPr>
                <w:sz w:val="20"/>
                <w:szCs w:val="20"/>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12 of the Equity Definitions is applicable.</w:t>
            </w:r>
          </w:p>
        </w:tc>
      </w:tr>
      <w:tr>
        <w:trPr>
          <w:trHeight w:val="557"/>
        </w:trPr>
        <w:tc>
          <w:tcPr>
            <w:tcW w:w="4580" w:type="dxa"/>
            <w:vAlign w:val="bottom"/>
          </w:tcPr>
          <w:p>
            <w:pPr>
              <w:spacing w:after="0"/>
              <w:rPr>
                <w:sz w:val="24"/>
                <w:szCs w:val="24"/>
                <w:color w:val="auto"/>
              </w:rPr>
            </w:pPr>
          </w:p>
        </w:tc>
        <w:tc>
          <w:tcPr>
            <w:tcW w:w="666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15</w:t>
            </w:r>
          </w:p>
        </w:tc>
      </w:tr>
      <w:tr>
        <w:trPr>
          <w:trHeight w:val="44"/>
        </w:trPr>
        <w:tc>
          <w:tcPr>
            <w:tcW w:w="4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Announcement Event:</w:t>
            </w: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 The public announcement by Counterparty, any subsidiary, affiliate or agent of</w:t>
            </w:r>
          </w:p>
        </w:tc>
      </w:tr>
      <w:tr>
        <w:trPr>
          <w:trHeight w:val="212"/>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Counterparty, any Valid Third-Party Entity or any affiliate or agent of such Valid</w:t>
            </w:r>
          </w:p>
        </w:tc>
      </w:tr>
      <w:tr>
        <w:trPr>
          <w:trHeight w:val="220"/>
        </w:trPr>
        <w:tc>
          <w:tcPr>
            <w:tcW w:w="4580" w:type="dxa"/>
            <w:vAlign w:val="bottom"/>
          </w:tcPr>
          <w:p>
            <w:pPr>
              <w:spacing w:after="0"/>
              <w:rPr>
                <w:sz w:val="19"/>
                <w:szCs w:val="19"/>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Third-Party Entity (any such person or entity, a “</w:t>
            </w:r>
            <w:r>
              <w:rPr>
                <w:rFonts w:ascii="Times New Roman" w:cs="Times New Roman" w:eastAsia="Times New Roman" w:hAnsi="Times New Roman"/>
                <w:sz w:val="18"/>
                <w:szCs w:val="18"/>
                <w:b w:val="1"/>
                <w:bCs w:val="1"/>
                <w:color w:val="auto"/>
              </w:rPr>
              <w:t>Relevant Party</w:t>
            </w:r>
            <w:r>
              <w:rPr>
                <w:rFonts w:ascii="Times New Roman" w:cs="Times New Roman" w:eastAsia="Times New Roman" w:hAnsi="Times New Roman"/>
                <w:sz w:val="18"/>
                <w:szCs w:val="18"/>
                <w:color w:val="auto"/>
              </w:rPr>
              <w:t>”) of (x) any</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transaction or event that, if completed, would constitute a Merger Event or Tender</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Offer, (y) any potential acquisition or disposition by Issuer and/or its subsidiaries</w:t>
            </w:r>
          </w:p>
        </w:tc>
      </w:tr>
      <w:tr>
        <w:trPr>
          <w:trHeight w:val="212"/>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where the aggregate consideration exceeds 35% of the market capitalization of Issuer</w:t>
            </w:r>
          </w:p>
        </w:tc>
      </w:tr>
      <w:tr>
        <w:trPr>
          <w:trHeight w:val="220"/>
        </w:trPr>
        <w:tc>
          <w:tcPr>
            <w:tcW w:w="4580" w:type="dxa"/>
            <w:vAlign w:val="bottom"/>
          </w:tcPr>
          <w:p>
            <w:pPr>
              <w:spacing w:after="0"/>
              <w:rPr>
                <w:sz w:val="19"/>
                <w:szCs w:val="19"/>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 of the date of such announcement (an “</w:t>
            </w:r>
            <w:r>
              <w:rPr>
                <w:rFonts w:ascii="Times New Roman" w:cs="Times New Roman" w:eastAsia="Times New Roman" w:hAnsi="Times New Roman"/>
                <w:sz w:val="18"/>
                <w:szCs w:val="18"/>
                <w:b w:val="1"/>
                <w:bCs w:val="1"/>
                <w:color w:val="auto"/>
              </w:rPr>
              <w:t>Acquisition Transaction</w:t>
            </w:r>
            <w:r>
              <w:rPr>
                <w:rFonts w:ascii="Times New Roman" w:cs="Times New Roman" w:eastAsia="Times New Roman" w:hAnsi="Times New Roman"/>
                <w:sz w:val="18"/>
                <w:szCs w:val="18"/>
                <w:color w:val="auto"/>
              </w:rPr>
              <w:t>”) or (z) the</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intention to enter into a Merger Event or Tender Offer or an Acquisition Transaction,</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(ii) the public announcement by Issuer of an intention to solicit or enter into, or to</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explore strategic alternatives or other similar undertaking that may include, a Merger</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Event or Tender Offer or an Acquisition Transaction or (iii) any subsequent public</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announcement by a Relevant Party of a change to a transaction or intention that is the</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subject of an announcement of the type described in clause (i) or (ii) of this sentence</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(including, without limitation, a new announcement, whether or not by the same</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party, relating to such a transaction or intention or the announcement of a withdrawal</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from, or the abandonment or discontinuation of, such a transaction or intention), as</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determined by the Calculation Agent. For the avoidance of doubt, the occurrence of</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 Announcement Event with respect to any transaction or intention shall not</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preclude the occurrence of a later Announcement Event with respect to such</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transaction or intention. For purposes of this definition of “Announcement Event,”</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 “Merger Event” shall mean such term as defined under Section 12.1(b) of the</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Equity Definitions (but, for the avoidance of doubt, the remainder of the definition of</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“Merger Event” in Section 12.1(b) of the Equity Definitions following the definition</w:t>
            </w:r>
          </w:p>
        </w:tc>
      </w:tr>
      <w:tr>
        <w:trPr>
          <w:trHeight w:val="214"/>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of “Reverse Merger” therein shall be disregarded) and (B) “Tender Offer” shall mean</w:t>
            </w:r>
          </w:p>
        </w:tc>
      </w:tr>
      <w:tr>
        <w:trPr>
          <w:trHeight w:val="218"/>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xml:space="preserve">such term as defined under Section 12.1(d) of the Equity Definitions;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 Section 12.1(d) of the Equity Definitions is hereby amended by (x) replacing</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 with “25%” in the third line thereof and (y) replacing the words “voting</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shares of the Issuer” in the fourth line thereof with the word “Shares” and (2) Section</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12.1(e) of the Equity Definitions is hereby amended by replacing the words “voting</w:t>
            </w:r>
          </w:p>
        </w:tc>
      </w:tr>
      <w:tr>
        <w:trPr>
          <w:trHeight w:val="234"/>
        </w:trPr>
        <w:tc>
          <w:tcPr>
            <w:tcW w:w="4580" w:type="dxa"/>
            <w:vAlign w:val="bottom"/>
          </w:tcPr>
          <w:p>
            <w:pPr>
              <w:spacing w:after="0"/>
              <w:rPr>
                <w:sz w:val="20"/>
                <w:szCs w:val="20"/>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shares” in the first line thereof with the word “Shares”.</w:t>
            </w:r>
          </w:p>
        </w:tc>
      </w:tr>
      <w:tr>
        <w:trPr>
          <w:trHeight w:val="414"/>
        </w:trPr>
        <w:tc>
          <w:tcPr>
            <w:tcW w:w="45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Valid Third Party Entity:</w:t>
            </w: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 respect of any transaction or event, any third party that has a bona fide intent to</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enter into or consummate such transaction (it being understood and agreed that in</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determining, in a commercially reasonable manner, whether such third party has such</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 bona fide intent, the Calculation Agent shall take into consideration whether the</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relevant announcement by such party has had a material economic effect on the</w:t>
            </w:r>
          </w:p>
        </w:tc>
      </w:tr>
      <w:tr>
        <w:trPr>
          <w:trHeight w:val="234"/>
        </w:trPr>
        <w:tc>
          <w:tcPr>
            <w:tcW w:w="4580" w:type="dxa"/>
            <w:vAlign w:val="bottom"/>
          </w:tcPr>
          <w:p>
            <w:pPr>
              <w:spacing w:after="0"/>
              <w:rPr>
                <w:sz w:val="20"/>
                <w:szCs w:val="20"/>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Shares and/or Options on the Shares).</w:t>
            </w:r>
          </w:p>
        </w:tc>
      </w:tr>
      <w:tr>
        <w:trPr>
          <w:trHeight w:val="414"/>
        </w:trPr>
        <w:tc>
          <w:tcPr>
            <w:tcW w:w="45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Nationalization, Insolvency or Delisting:</w:t>
            </w: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xml:space="preserve">Cancellation and Payment (Calculation Agent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addition to the provisions of Section 12.6(a)(iii) of the Equity Definitions, it will also</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constitute a Delisting if the Exchange is located in the United States and the Shares</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are not immediately re-listed, re-traded or re-quoted on any of the New York Stock</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Exchange, The Nasdaq Global Select Market or The Nasdaq Global Market (or their</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respective successors); if the Shares are immediately re-listed, re-traded or re-quoted</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on any of the New York Stock Exchange, The Nasdaq Global Select Market or The</w:t>
            </w:r>
          </w:p>
        </w:tc>
      </w:tr>
      <w:tr>
        <w:trPr>
          <w:trHeight w:val="216"/>
        </w:trPr>
        <w:tc>
          <w:tcPr>
            <w:tcW w:w="458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Nasdaq Global Market (or their respective successors), such exchange or quotation</w:t>
            </w:r>
          </w:p>
        </w:tc>
      </w:tr>
      <w:tr>
        <w:trPr>
          <w:trHeight w:val="234"/>
        </w:trPr>
        <w:tc>
          <w:tcPr>
            <w:tcW w:w="4580" w:type="dxa"/>
            <w:vAlign w:val="bottom"/>
          </w:tcPr>
          <w:p>
            <w:pPr>
              <w:spacing w:after="0"/>
              <w:rPr>
                <w:sz w:val="20"/>
                <w:szCs w:val="20"/>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system shall thereafter be deemed to be the Exchange.</w:t>
            </w:r>
          </w:p>
        </w:tc>
      </w:tr>
      <w:tr>
        <w:trPr>
          <w:trHeight w:val="773"/>
        </w:trPr>
        <w:tc>
          <w:tcPr>
            <w:tcW w:w="4580" w:type="dxa"/>
            <w:vAlign w:val="bottom"/>
          </w:tcPr>
          <w:p>
            <w:pPr>
              <w:spacing w:after="0"/>
              <w:rPr>
                <w:sz w:val="24"/>
                <w:szCs w:val="24"/>
                <w:color w:val="auto"/>
              </w:rPr>
            </w:pPr>
          </w:p>
        </w:tc>
        <w:tc>
          <w:tcPr>
            <w:tcW w:w="666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16</w:t>
            </w:r>
          </w:p>
        </w:tc>
      </w:tr>
      <w:tr>
        <w:trPr>
          <w:trHeight w:val="44"/>
        </w:trPr>
        <w:tc>
          <w:tcPr>
            <w:tcW w:w="458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119" w:name="page120"/>
    <w:bookmarkEnd w:id="119"/>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Additional Disruption Events:</w:t>
            </w:r>
          </w:p>
        </w:tc>
        <w:tc>
          <w:tcPr>
            <w:tcW w:w="98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41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Change in Law:</w:t>
            </w:r>
          </w:p>
        </w:tc>
        <w:tc>
          <w:tcPr>
            <w:tcW w:w="6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12.9(a)(ii) of the Equity Definitions is hereby</w:t>
            </w:r>
          </w:p>
        </w:tc>
      </w:tr>
      <w:tr>
        <w:trPr>
          <w:trHeight w:val="216"/>
        </w:trPr>
        <w:tc>
          <w:tcPr>
            <w:tcW w:w="3260" w:type="dxa"/>
            <w:vAlign w:val="bottom"/>
          </w:tcPr>
          <w:p>
            <w:pPr>
              <w:spacing w:after="0"/>
              <w:rPr>
                <w:sz w:val="18"/>
                <w:szCs w:val="18"/>
                <w:color w:val="auto"/>
              </w:rPr>
            </w:pPr>
          </w:p>
        </w:tc>
        <w:tc>
          <w:tcPr>
            <w:tcW w:w="6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amended by (i) replacing the phrase “the interpretation” in the third line thereof with</w:t>
            </w:r>
          </w:p>
        </w:tc>
      </w:tr>
      <w:tr>
        <w:trPr>
          <w:trHeight w:val="216"/>
        </w:trPr>
        <w:tc>
          <w:tcPr>
            <w:tcW w:w="3260" w:type="dxa"/>
            <w:vAlign w:val="bottom"/>
          </w:tcPr>
          <w:p>
            <w:pPr>
              <w:spacing w:after="0"/>
              <w:rPr>
                <w:sz w:val="18"/>
                <w:szCs w:val="18"/>
                <w:color w:val="auto"/>
              </w:rPr>
            </w:pPr>
          </w:p>
        </w:tc>
        <w:tc>
          <w:tcPr>
            <w:tcW w:w="6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the phrase “, or public announcement of, the formal or informal interpretation”, (ii)</w:t>
            </w:r>
          </w:p>
        </w:tc>
      </w:tr>
      <w:tr>
        <w:trPr>
          <w:trHeight w:val="216"/>
        </w:trPr>
        <w:tc>
          <w:tcPr>
            <w:tcW w:w="3260" w:type="dxa"/>
            <w:vAlign w:val="bottom"/>
          </w:tcPr>
          <w:p>
            <w:pPr>
              <w:spacing w:after="0"/>
              <w:rPr>
                <w:sz w:val="18"/>
                <w:szCs w:val="18"/>
                <w:color w:val="auto"/>
              </w:rPr>
            </w:pPr>
          </w:p>
        </w:tc>
        <w:tc>
          <w:tcPr>
            <w:tcW w:w="6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replacing the word “Shares” where it appears in clause (X) thereof with the words</w:t>
            </w:r>
          </w:p>
        </w:tc>
      </w:tr>
      <w:tr>
        <w:trPr>
          <w:trHeight w:val="216"/>
        </w:trPr>
        <w:tc>
          <w:tcPr>
            <w:tcW w:w="3260" w:type="dxa"/>
            <w:vAlign w:val="bottom"/>
          </w:tcPr>
          <w:p>
            <w:pPr>
              <w:spacing w:after="0"/>
              <w:rPr>
                <w:sz w:val="18"/>
                <w:szCs w:val="18"/>
                <w:color w:val="auto"/>
              </w:rPr>
            </w:pPr>
          </w:p>
        </w:tc>
        <w:tc>
          <w:tcPr>
            <w:tcW w:w="6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“Hedge Position” and (iii) replacing the parenthetical beginning after the word</w:t>
            </w:r>
          </w:p>
        </w:tc>
      </w:tr>
      <w:tr>
        <w:trPr>
          <w:trHeight w:val="216"/>
        </w:trPr>
        <w:tc>
          <w:tcPr>
            <w:tcW w:w="3260" w:type="dxa"/>
            <w:vAlign w:val="bottom"/>
          </w:tcPr>
          <w:p>
            <w:pPr>
              <w:spacing w:after="0"/>
              <w:rPr>
                <w:sz w:val="18"/>
                <w:szCs w:val="18"/>
                <w:color w:val="auto"/>
              </w:rPr>
            </w:pPr>
          </w:p>
        </w:tc>
        <w:tc>
          <w:tcPr>
            <w:tcW w:w="6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“regulation” in the second line thereof with the words “(including, for the avoidance</w:t>
            </w:r>
          </w:p>
        </w:tc>
      </w:tr>
      <w:tr>
        <w:trPr>
          <w:trHeight w:val="216"/>
        </w:trPr>
        <w:tc>
          <w:tcPr>
            <w:tcW w:w="3260" w:type="dxa"/>
            <w:vAlign w:val="bottom"/>
          </w:tcPr>
          <w:p>
            <w:pPr>
              <w:spacing w:after="0"/>
              <w:rPr>
                <w:sz w:val="18"/>
                <w:szCs w:val="18"/>
                <w:color w:val="auto"/>
              </w:rPr>
            </w:pPr>
          </w:p>
        </w:tc>
        <w:tc>
          <w:tcPr>
            <w:tcW w:w="6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of doubt and without limitation, (x) any tax law or (y) adoption, effectiveness or</w:t>
            </w:r>
          </w:p>
        </w:tc>
      </w:tr>
      <w:tr>
        <w:trPr>
          <w:trHeight w:val="234"/>
        </w:trPr>
        <w:tc>
          <w:tcPr>
            <w:tcW w:w="3260" w:type="dxa"/>
            <w:vAlign w:val="bottom"/>
          </w:tcPr>
          <w:p>
            <w:pPr>
              <w:spacing w:after="0"/>
              <w:rPr>
                <w:sz w:val="20"/>
                <w:szCs w:val="20"/>
                <w:color w:val="auto"/>
              </w:rPr>
            </w:pPr>
          </w:p>
        </w:tc>
        <w:tc>
          <w:tcPr>
            <w:tcW w:w="6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promulgation of new regulations authorized or mandated by existing statute)”.</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Failure to Deliver:</w:t>
            </w:r>
          </w:p>
        </w:tc>
        <w:tc>
          <w:tcPr>
            <w:tcW w:w="6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Applicable</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Hedging Disruption:</w:t>
            </w:r>
          </w:p>
        </w:tc>
        <w:tc>
          <w:tcPr>
            <w:tcW w:w="6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tc>
      </w:tr>
      <w:tr>
        <w:trPr>
          <w:trHeight w:val="414"/>
        </w:trPr>
        <w:tc>
          <w:tcPr>
            <w:tcW w:w="3260" w:type="dxa"/>
            <w:vAlign w:val="bottom"/>
          </w:tcPr>
          <w:p>
            <w:pPr>
              <w:spacing w:after="0"/>
              <w:rPr>
                <w:sz w:val="24"/>
                <w:szCs w:val="24"/>
                <w:color w:val="auto"/>
              </w:rPr>
            </w:pPr>
          </w:p>
        </w:tc>
        <w:tc>
          <w:tcPr>
            <w:tcW w:w="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w:t>
            </w:r>
          </w:p>
        </w:tc>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Section 12.9(a)(v) of the Equity Definitions is hereby amended by inserting the</w:t>
            </w:r>
          </w:p>
        </w:tc>
      </w:tr>
      <w:tr>
        <w:trPr>
          <w:trHeight w:val="234"/>
        </w:trPr>
        <w:tc>
          <w:tcPr>
            <w:tcW w:w="3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following two phrases at the end of such Section:</w:t>
            </w:r>
          </w:p>
        </w:tc>
      </w:tr>
      <w:tr>
        <w:trPr>
          <w:trHeight w:val="414"/>
        </w:trPr>
        <w:tc>
          <w:tcPr>
            <w:tcW w:w="3260" w:type="dxa"/>
            <w:vAlign w:val="bottom"/>
          </w:tcPr>
          <w:p>
            <w:pPr>
              <w:spacing w:after="0"/>
              <w:rPr>
                <w:sz w:val="24"/>
                <w:szCs w:val="24"/>
                <w:color w:val="auto"/>
              </w:rPr>
            </w:pPr>
          </w:p>
        </w:tc>
        <w:tc>
          <w:tcPr>
            <w:tcW w:w="6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“For the avoidance of doubt, the term “equity price risk” shall be deemed to include,</w:t>
            </w:r>
          </w:p>
        </w:tc>
      </w:tr>
      <w:tr>
        <w:trPr>
          <w:trHeight w:val="216"/>
        </w:trPr>
        <w:tc>
          <w:tcPr>
            <w:tcW w:w="3260" w:type="dxa"/>
            <w:vAlign w:val="bottom"/>
          </w:tcPr>
          <w:p>
            <w:pPr>
              <w:spacing w:after="0"/>
              <w:rPr>
                <w:sz w:val="18"/>
                <w:szCs w:val="18"/>
                <w:color w:val="auto"/>
              </w:rPr>
            </w:pPr>
          </w:p>
        </w:tc>
        <w:tc>
          <w:tcPr>
            <w:tcW w:w="6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but shall not be limited to, stock price and volatility risk. And, for the further</w:t>
            </w:r>
          </w:p>
        </w:tc>
      </w:tr>
      <w:tr>
        <w:trPr>
          <w:trHeight w:val="216"/>
        </w:trPr>
        <w:tc>
          <w:tcPr>
            <w:tcW w:w="3260" w:type="dxa"/>
            <w:vAlign w:val="bottom"/>
          </w:tcPr>
          <w:p>
            <w:pPr>
              <w:spacing w:after="0"/>
              <w:rPr>
                <w:sz w:val="18"/>
                <w:szCs w:val="18"/>
                <w:color w:val="auto"/>
              </w:rPr>
            </w:pPr>
          </w:p>
        </w:tc>
        <w:tc>
          <w:tcPr>
            <w:tcW w:w="6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avoidance of doubt, any such transactions or assets referred to in phrases (A) or (B)</w:t>
            </w:r>
          </w:p>
        </w:tc>
      </w:tr>
      <w:tr>
        <w:trPr>
          <w:trHeight w:val="234"/>
        </w:trPr>
        <w:tc>
          <w:tcPr>
            <w:tcW w:w="3260" w:type="dxa"/>
            <w:vAlign w:val="bottom"/>
          </w:tcPr>
          <w:p>
            <w:pPr>
              <w:spacing w:after="0"/>
              <w:rPr>
                <w:sz w:val="20"/>
                <w:szCs w:val="20"/>
                <w:color w:val="auto"/>
              </w:rPr>
            </w:pPr>
          </w:p>
        </w:tc>
        <w:tc>
          <w:tcPr>
            <w:tcW w:w="6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above must be available on commercially reasonable pricing terms.”; and</w:t>
            </w:r>
          </w:p>
        </w:tc>
      </w:tr>
      <w:tr>
        <w:trPr>
          <w:trHeight w:val="414"/>
        </w:trPr>
        <w:tc>
          <w:tcPr>
            <w:tcW w:w="3260" w:type="dxa"/>
            <w:vAlign w:val="bottom"/>
          </w:tcPr>
          <w:p>
            <w:pPr>
              <w:spacing w:after="0"/>
              <w:rPr>
                <w:sz w:val="24"/>
                <w:szCs w:val="24"/>
                <w:color w:val="auto"/>
              </w:rPr>
            </w:pPr>
          </w:p>
        </w:tc>
        <w:tc>
          <w:tcPr>
            <w:tcW w:w="6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(ii)   Section 12.9(b)(iii) of the Equity Definitions is hereby amended by inserting in</w:t>
            </w:r>
          </w:p>
        </w:tc>
      </w:tr>
      <w:tr>
        <w:trPr>
          <w:trHeight w:val="216"/>
        </w:trPr>
        <w:tc>
          <w:tcPr>
            <w:tcW w:w="3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third line thereof, after the words “to terminate the Transaction”, the words</w:t>
            </w:r>
          </w:p>
        </w:tc>
      </w:tr>
      <w:tr>
        <w:trPr>
          <w:trHeight w:val="234"/>
        </w:trPr>
        <w:tc>
          <w:tcPr>
            <w:tcW w:w="3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 a portion of the Transaction affected by such Hedging Disruption”.</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Increased Cost of Hedging:</w:t>
            </w:r>
          </w:p>
        </w:tc>
        <w:tc>
          <w:tcPr>
            <w:tcW w:w="6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Hedging Party:</w:t>
            </w:r>
          </w:p>
        </w:tc>
        <w:tc>
          <w:tcPr>
            <w:tcW w:w="6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For all applicable Additional Disruption Events, Dealer.</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Determining Party:</w:t>
            </w:r>
          </w:p>
        </w:tc>
        <w:tc>
          <w:tcPr>
            <w:tcW w:w="6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For all applicable Extraordinary Events, Dealer.</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Non-Reliance:</w:t>
            </w:r>
          </w:p>
        </w:tc>
        <w:tc>
          <w:tcPr>
            <w:tcW w:w="6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Applicable</w:t>
            </w:r>
          </w:p>
        </w:tc>
      </w:tr>
      <w:tr>
        <w:trPr>
          <w:trHeight w:val="41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Agreements and Acknowledgments</w:t>
            </w:r>
          </w:p>
        </w:tc>
        <w:tc>
          <w:tcPr>
            <w:tcW w:w="98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Regarding Hedging Activities:</w:t>
            </w:r>
          </w:p>
        </w:tc>
        <w:tc>
          <w:tcPr>
            <w:tcW w:w="6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Applicable</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Additional Acknowledgments:</w:t>
            </w:r>
          </w:p>
        </w:tc>
        <w:tc>
          <w:tcPr>
            <w:tcW w:w="6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Applicable</w:t>
            </w:r>
          </w:p>
        </w:tc>
      </w:tr>
      <w:tr>
        <w:trPr>
          <w:trHeight w:val="41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Hedging Adjustment:</w:t>
            </w:r>
          </w:p>
        </w:tc>
        <w:tc>
          <w:tcPr>
            <w:tcW w:w="6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For the avoidance of doubt, whenever Hedging Party, Determining Party or the</w:t>
            </w:r>
          </w:p>
        </w:tc>
      </w:tr>
      <w:tr>
        <w:trPr>
          <w:trHeight w:val="234"/>
        </w:trPr>
        <w:tc>
          <w:tcPr>
            <w:tcW w:w="3260" w:type="dxa"/>
            <w:vAlign w:val="bottom"/>
          </w:tcPr>
          <w:p>
            <w:pPr>
              <w:spacing w:after="0"/>
              <w:rPr>
                <w:sz w:val="20"/>
                <w:szCs w:val="20"/>
                <w:color w:val="auto"/>
              </w:rPr>
            </w:pPr>
          </w:p>
        </w:tc>
        <w:tc>
          <w:tcPr>
            <w:tcW w:w="6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Calculation Agent makes an adjustment, calculation or determination permitted or</w:t>
            </w:r>
          </w:p>
        </w:tc>
      </w:tr>
    </w:tbl>
    <w:p>
      <w:pPr>
        <w:jc w:val="both"/>
        <w:ind w:left="3960"/>
        <w:spacing w:after="0" w:line="252" w:lineRule="auto"/>
        <w:rPr>
          <w:sz w:val="20"/>
          <w:szCs w:val="20"/>
          <w:color w:val="auto"/>
        </w:rPr>
      </w:pPr>
      <w:r>
        <w:rPr>
          <w:rFonts w:ascii="Times New Roman" w:cs="Times New Roman" w:eastAsia="Times New Roman" w:hAnsi="Times New Roman"/>
          <w:sz w:val="18"/>
          <w:szCs w:val="18"/>
          <w:color w:val="auto"/>
        </w:rPr>
        <w:t>required to be made pursuant to the terms of this Confirmation or the Equity Definitions to take into account the effect of any event (other than an adjustment, calculation or determination made by reference to the Indenture), the Calculation Agent, Determining Party or Hedging Party, as the case may be, shall make such adjustment, calculation or determination in a commercially reasonable manner and by reference to the effect of such event on Dealer assuming that Dealer maintains a commercially reasonable hedge position.</w:t>
      </w:r>
    </w:p>
    <w:p>
      <w:pPr>
        <w:spacing w:after="0" w:line="35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20" w:name="page121"/>
    <w:bookmarkEnd w:id="120"/>
    <w:p>
      <w:pPr>
        <w:ind w:left="572" w:hanging="572"/>
        <w:spacing w:after="0"/>
        <w:tabs>
          <w:tab w:leader="none" w:pos="572"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52" w:hanging="652"/>
        <w:spacing w:after="0"/>
        <w:tabs>
          <w:tab w:leader="none" w:pos="652"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 Details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1292" w:right="620" w:hanging="644"/>
        <w:spacing w:after="0" w:line="500" w:lineRule="auto"/>
        <w:tabs>
          <w:tab w:leader="none" w:pos="1292"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payments to Counterparty: To be provided by Counterparty.</w:t>
      </w:r>
    </w:p>
    <w:p>
      <w:pPr>
        <w:spacing w:after="0" w:line="1" w:lineRule="exact"/>
        <w:rPr>
          <w:rFonts w:ascii="Times New Roman" w:cs="Times New Roman" w:eastAsia="Times New Roman" w:hAnsi="Times New Roman"/>
          <w:sz w:val="18"/>
          <w:szCs w:val="18"/>
          <w:color w:val="auto"/>
        </w:rPr>
      </w:pPr>
    </w:p>
    <w:p>
      <w:pPr>
        <w:ind w:left="1292"/>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delivery of Shares to Counterparty: To be provided by Counterparty.</w:t>
      </w:r>
    </w:p>
    <w:p>
      <w:pPr>
        <w:spacing w:after="0" w:line="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payments to Dealer:</w:t>
      </w:r>
    </w:p>
    <w:p>
      <w:pPr>
        <w:spacing w:after="0" w:line="128" w:lineRule="exact"/>
        <w:rPr>
          <w:sz w:val="20"/>
          <w:szCs w:val="20"/>
          <w:color w:val="auto"/>
        </w:rPr>
      </w:pPr>
    </w:p>
    <w:p>
      <w:pPr>
        <w:ind w:left="1252"/>
        <w:spacing w:after="0"/>
        <w:tabs>
          <w:tab w:leader="none" w:pos="2912" w:val="left"/>
        </w:tabs>
        <w:rPr>
          <w:sz w:val="20"/>
          <w:szCs w:val="20"/>
          <w:color w:val="auto"/>
        </w:rPr>
      </w:pPr>
      <w:r>
        <w:rPr>
          <w:rFonts w:ascii="Times New Roman" w:cs="Times New Roman" w:eastAsia="Times New Roman" w:hAnsi="Times New Roman"/>
          <w:sz w:val="18"/>
          <w:szCs w:val="18"/>
          <w:color w:val="auto"/>
        </w:rPr>
        <w:t>[Bank:]</w:t>
      </w:r>
      <w:r>
        <w:rPr>
          <w:sz w:val="20"/>
          <w:szCs w:val="20"/>
          <w:color w:val="auto"/>
        </w:rPr>
        <w:tab/>
      </w:r>
      <w:r>
        <w:rPr>
          <w:rFonts w:ascii="Times New Roman" w:cs="Times New Roman" w:eastAsia="Times New Roman" w:hAnsi="Times New Roman"/>
          <w:sz w:val="18"/>
          <w:szCs w:val="18"/>
          <w:color w:val="auto"/>
        </w:rPr>
        <w:t>[______ ___]</w:t>
      </w:r>
      <w:r>
        <w:rPr>
          <w:rFonts w:ascii="Times New Roman" w:cs="Times New Roman" w:eastAsia="Times New Roman" w:hAnsi="Times New Roman"/>
          <w:sz w:val="29"/>
          <w:szCs w:val="29"/>
          <w:color w:val="auto"/>
          <w:vertAlign w:val="superscript"/>
        </w:rPr>
        <w:t>41</w:t>
      </w:r>
    </w:p>
    <w:p>
      <w:pPr>
        <w:ind w:left="1252"/>
        <w:spacing w:after="0"/>
        <w:tabs>
          <w:tab w:leader="none" w:pos="2912" w:val="left"/>
        </w:tabs>
        <w:rPr>
          <w:sz w:val="20"/>
          <w:szCs w:val="20"/>
          <w:color w:val="auto"/>
        </w:rPr>
      </w:pPr>
      <w:r>
        <w:rPr>
          <w:rFonts w:ascii="Times New Roman" w:cs="Times New Roman" w:eastAsia="Times New Roman" w:hAnsi="Times New Roman"/>
          <w:sz w:val="18"/>
          <w:szCs w:val="18"/>
          <w:color w:val="auto"/>
        </w:rPr>
        <w:t>[SWIFT:]</w:t>
      </w:r>
      <w:r>
        <w:rPr>
          <w:sz w:val="20"/>
          <w:szCs w:val="20"/>
          <w:color w:val="auto"/>
        </w:rPr>
        <w:tab/>
      </w:r>
      <w:r>
        <w:rPr>
          <w:rFonts w:ascii="Times New Roman" w:cs="Times New Roman" w:eastAsia="Times New Roman" w:hAnsi="Times New Roman"/>
          <w:sz w:val="18"/>
          <w:szCs w:val="18"/>
          <w:color w:val="auto"/>
        </w:rPr>
        <w:t>[__________]</w:t>
      </w:r>
    </w:p>
    <w:p>
      <w:pPr>
        <w:spacing w:after="0" w:line="7" w:lineRule="exact"/>
        <w:rPr>
          <w:sz w:val="20"/>
          <w:szCs w:val="20"/>
          <w:color w:val="auto"/>
        </w:rPr>
      </w:pPr>
    </w:p>
    <w:p>
      <w:pPr>
        <w:ind w:left="1252"/>
        <w:spacing w:after="0"/>
        <w:tabs>
          <w:tab w:leader="none" w:pos="2912" w:val="left"/>
        </w:tabs>
        <w:rPr>
          <w:sz w:val="20"/>
          <w:szCs w:val="20"/>
          <w:color w:val="auto"/>
        </w:rPr>
      </w:pPr>
      <w:r>
        <w:rPr>
          <w:rFonts w:ascii="Times New Roman" w:cs="Times New Roman" w:eastAsia="Times New Roman" w:hAnsi="Times New Roman"/>
          <w:sz w:val="18"/>
          <w:szCs w:val="18"/>
          <w:color w:val="auto"/>
        </w:rPr>
        <w:t>[Bank Routing:]</w:t>
      </w:r>
      <w:r>
        <w:rPr>
          <w:sz w:val="20"/>
          <w:szCs w:val="20"/>
          <w:color w:val="auto"/>
        </w:rPr>
        <w:tab/>
      </w: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ind w:left="1252"/>
        <w:spacing w:after="0"/>
        <w:tabs>
          <w:tab w:leader="none" w:pos="2912" w:val="left"/>
        </w:tabs>
        <w:rPr>
          <w:sz w:val="20"/>
          <w:szCs w:val="20"/>
          <w:color w:val="auto"/>
        </w:rPr>
      </w:pPr>
      <w:r>
        <w:rPr>
          <w:rFonts w:ascii="Times New Roman" w:cs="Times New Roman" w:eastAsia="Times New Roman" w:hAnsi="Times New Roman"/>
          <w:sz w:val="18"/>
          <w:szCs w:val="18"/>
          <w:color w:val="auto"/>
        </w:rPr>
        <w:t>[Acct Name:]</w:t>
      </w:r>
      <w:r>
        <w:rPr>
          <w:sz w:val="20"/>
          <w:szCs w:val="20"/>
          <w:color w:val="auto"/>
        </w:rPr>
        <w:tab/>
      </w: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ind w:left="1252"/>
        <w:spacing w:after="0"/>
        <w:tabs>
          <w:tab w:leader="none" w:pos="2912" w:val="left"/>
        </w:tabs>
        <w:rPr>
          <w:sz w:val="20"/>
          <w:szCs w:val="20"/>
          <w:color w:val="auto"/>
        </w:rPr>
      </w:pPr>
      <w:r>
        <w:rPr>
          <w:rFonts w:ascii="Times New Roman" w:cs="Times New Roman" w:eastAsia="Times New Roman" w:hAnsi="Times New Roman"/>
          <w:sz w:val="18"/>
          <w:szCs w:val="18"/>
          <w:color w:val="auto"/>
        </w:rPr>
        <w:t>[Acct No.:]</w:t>
      </w:r>
      <w:r>
        <w:rPr>
          <w:sz w:val="20"/>
          <w:szCs w:val="20"/>
          <w:color w:val="auto"/>
        </w:rPr>
        <w:tab/>
      </w:r>
      <w:r>
        <w:rPr>
          <w:rFonts w:ascii="Times New Roman" w:cs="Times New Roman" w:eastAsia="Times New Roman" w:hAnsi="Times New Roman"/>
          <w:sz w:val="18"/>
          <w:szCs w:val="18"/>
          <w:color w:val="auto"/>
        </w:rPr>
        <w:t>[__________]</w:t>
      </w:r>
    </w:p>
    <w:p>
      <w:pPr>
        <w:spacing w:after="0" w:line="207" w:lineRule="exact"/>
        <w:rPr>
          <w:sz w:val="20"/>
          <w:szCs w:val="20"/>
          <w:color w:val="auto"/>
        </w:rPr>
      </w:pPr>
    </w:p>
    <w:p>
      <w:pPr>
        <w:ind w:left="1252"/>
        <w:spacing w:after="0"/>
        <w:rPr>
          <w:sz w:val="20"/>
          <w:szCs w:val="20"/>
          <w:color w:val="auto"/>
        </w:rPr>
      </w:pPr>
      <w:r>
        <w:rPr>
          <w:rFonts w:ascii="Times New Roman" w:cs="Times New Roman" w:eastAsia="Times New Roman" w:hAnsi="Times New Roman"/>
          <w:sz w:val="18"/>
          <w:szCs w:val="18"/>
          <w:color w:val="auto"/>
        </w:rPr>
        <w:t>Account for delivery of Shares from Dealer:</w:t>
      </w:r>
    </w:p>
    <w:p>
      <w:pPr>
        <w:spacing w:after="0" w:line="27" w:lineRule="exact"/>
        <w:rPr>
          <w:sz w:val="20"/>
          <w:szCs w:val="20"/>
          <w:color w:val="auto"/>
        </w:rPr>
      </w:pPr>
    </w:p>
    <w:p>
      <w:pPr>
        <w:ind w:left="1252"/>
        <w:spacing w:after="0"/>
        <w:rPr>
          <w:sz w:val="20"/>
          <w:szCs w:val="20"/>
          <w:color w:val="auto"/>
        </w:rPr>
      </w:pPr>
      <w:r>
        <w:rPr>
          <w:rFonts w:ascii="Times New Roman" w:cs="Times New Roman" w:eastAsia="Times New Roman" w:hAnsi="Times New Roman"/>
          <w:sz w:val="18"/>
          <w:szCs w:val="18"/>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203200</wp:posOffset>
            </wp:positionV>
            <wp:extent cx="156845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302" w:lineRule="exact"/>
        <w:rPr>
          <w:sz w:val="20"/>
          <w:szCs w:val="20"/>
          <w:color w:val="auto"/>
        </w:rPr>
      </w:pPr>
    </w:p>
    <w:p>
      <w:pPr>
        <w:ind w:left="192" w:hanging="192"/>
        <w:spacing w:after="0"/>
        <w:tabs>
          <w:tab w:leader="none" w:pos="192" w:val="left"/>
        </w:tabs>
        <w:numPr>
          <w:ilvl w:val="0"/>
          <w:numId w:val="16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Dealer’s account information.</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calculations and determinations by the Calculation Agent (other than calculations or determinations made by reference to the Indenture) shall be made in good faith and in a commercially reasonable manner and assuming for such purposes that Dealer is maintaining, establishing and/or unwinding, as applicable, a commercially reasonable hedge position;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an Event of Default of the type described in Section 5(a)(vii) of the Agreement with respect to which Dealer is the sole Defaulting Party occurs, Counterparty shall have the right to appoint a successor calculation agent which shall be a nationally recognized third-party dealer in over-the-counter corporate equity derivatives. The Calculation Agent agrees that it will promptly (but in any event within five (5) Exchange Business Days), upon written notice from Counterparty, provide a statement displaying in reasonable detail the basis for such determination, adjustment or calculation, as the case may be (including any quotations, market data or information from internal or external sources used in making such determination, adjustment or calculation, it being understood that the Calculation Agent shall not be required to disclose any confidential information or proprietary models used by it in connection with such determination, adjustment or calculation,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40640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752" w:space="320"/>
            <w:col w:w="6160"/>
          </w:cols>
          <w:pgMar w:left="328" w:top="117" w:right="339" w:bottom="1440" w:gutter="0" w:footer="0" w:header="0"/>
        </w:sectPr>
      </w:pPr>
    </w:p>
    <w:bookmarkStart w:id="121" w:name="page122"/>
    <w:bookmarkEnd w:id="121"/>
    <w:p>
      <w:pPr>
        <w:ind w:left="652" w:hanging="652"/>
        <w:spacing w:after="0"/>
        <w:tabs>
          <w:tab w:leader="none" w:pos="652"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Offices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1292" w:hanging="644"/>
        <w:spacing w:after="0"/>
        <w:tabs>
          <w:tab w:leader="none" w:pos="1292"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Counterparty for the Transaction is: Inapplicable, Counterparty is not a Multibranch Party.</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Office of Dealer for the Transaction is: [____________][Inapplicable; Dealer is not a Multibranch Party]</w:t>
      </w:r>
    </w:p>
    <w:p>
      <w:pPr>
        <w:spacing w:after="0" w:line="232" w:lineRule="exact"/>
        <w:rPr>
          <w:rFonts w:ascii="Times New Roman" w:cs="Times New Roman" w:eastAsia="Times New Roman" w:hAnsi="Times New Roman"/>
          <w:sz w:val="17"/>
          <w:szCs w:val="17"/>
          <w:color w:val="auto"/>
        </w:rPr>
      </w:pPr>
    </w:p>
    <w:p>
      <w:pPr>
        <w:ind w:left="652" w:hanging="652"/>
        <w:spacing w:after="0"/>
        <w:tabs>
          <w:tab w:leader="none" w:pos="652"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1292" w:hanging="644"/>
        <w:spacing w:after="0"/>
        <w:tabs>
          <w:tab w:leader="none" w:pos="1292"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Counterparty:</w:t>
      </w:r>
    </w:p>
    <w:p>
      <w:pPr>
        <w:spacing w:after="0" w:line="225" w:lineRule="exact"/>
        <w:rPr>
          <w:rFonts w:ascii="Times New Roman" w:cs="Times New Roman" w:eastAsia="Times New Roman" w:hAnsi="Times New Roman"/>
          <w:sz w:val="18"/>
          <w:szCs w:val="18"/>
          <w:color w:val="auto"/>
        </w:rPr>
      </w:pPr>
    </w:p>
    <w:p>
      <w:pPr>
        <w:ind w:left="12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Life360, Inc.</w:t>
      </w:r>
    </w:p>
    <w:p>
      <w:pPr>
        <w:spacing w:after="0" w:line="27" w:lineRule="exact"/>
        <w:rPr>
          <w:rFonts w:ascii="Times New Roman" w:cs="Times New Roman" w:eastAsia="Times New Roman" w:hAnsi="Times New Roman"/>
          <w:sz w:val="18"/>
          <w:szCs w:val="18"/>
          <w:color w:val="auto"/>
        </w:rPr>
      </w:pPr>
    </w:p>
    <w:p>
      <w:pPr>
        <w:ind w:left="1292" w:right="72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1900 South Norfolk Street, Suite 310 San Mateo, CA</w:t>
      </w:r>
    </w:p>
    <w:p>
      <w:pPr>
        <w:spacing w:after="0" w:line="181" w:lineRule="exact"/>
        <w:rPr>
          <w:rFonts w:ascii="Times New Roman" w:cs="Times New Roman" w:eastAsia="Times New Roman" w:hAnsi="Times New Roman"/>
          <w:sz w:val="18"/>
          <w:szCs w:val="18"/>
          <w:color w:val="auto"/>
        </w:rPr>
      </w:pPr>
    </w:p>
    <w:p>
      <w:pPr>
        <w:ind w:left="12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[____________]</w:t>
      </w:r>
    </w:p>
    <w:p>
      <w:pPr>
        <w:spacing w:after="0" w:line="27" w:lineRule="exact"/>
        <w:rPr>
          <w:rFonts w:ascii="Times New Roman" w:cs="Times New Roman" w:eastAsia="Times New Roman" w:hAnsi="Times New Roman"/>
          <w:sz w:val="18"/>
          <w:szCs w:val="18"/>
          <w:color w:val="auto"/>
        </w:rPr>
      </w:pPr>
    </w:p>
    <w:p>
      <w:pPr>
        <w:ind w:left="12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[____________]</w:t>
      </w:r>
    </w:p>
    <w:p>
      <w:pPr>
        <w:spacing w:after="0" w:line="9" w:lineRule="exact"/>
        <w:rPr>
          <w:rFonts w:ascii="Times New Roman" w:cs="Times New Roman" w:eastAsia="Times New Roman" w:hAnsi="Times New Roman"/>
          <w:sz w:val="18"/>
          <w:szCs w:val="18"/>
          <w:color w:val="auto"/>
        </w:rPr>
      </w:pPr>
    </w:p>
    <w:p>
      <w:pPr>
        <w:ind w:left="1292" w:right="8220"/>
        <w:spacing w:after="0" w:line="5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Email: [____________] With a copy to:</w:t>
      </w:r>
    </w:p>
    <w:p>
      <w:pPr>
        <w:ind w:left="12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Sidley Austin LLP</w:t>
      </w:r>
    </w:p>
    <w:p>
      <w:pPr>
        <w:spacing w:after="0" w:line="27" w:lineRule="exact"/>
        <w:rPr>
          <w:rFonts w:ascii="Times New Roman" w:cs="Times New Roman" w:eastAsia="Times New Roman" w:hAnsi="Times New Roman"/>
          <w:sz w:val="18"/>
          <w:szCs w:val="18"/>
          <w:color w:val="auto"/>
        </w:rPr>
      </w:pPr>
    </w:p>
    <w:p>
      <w:pPr>
        <w:ind w:left="1292" w:right="7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Avenue of the Stars, 17th Floor Los Angeles, CA 90067</w:t>
      </w:r>
    </w:p>
    <w:p>
      <w:pPr>
        <w:spacing w:after="0" w:line="181" w:lineRule="exact"/>
        <w:rPr>
          <w:rFonts w:ascii="Times New Roman" w:cs="Times New Roman" w:eastAsia="Times New Roman" w:hAnsi="Times New Roman"/>
          <w:sz w:val="18"/>
          <w:szCs w:val="18"/>
          <w:color w:val="auto"/>
        </w:rPr>
      </w:pPr>
    </w:p>
    <w:p>
      <w:pPr>
        <w:ind w:left="12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Natalie Karam</w:t>
      </w:r>
    </w:p>
    <w:p>
      <w:pPr>
        <w:spacing w:after="0" w:line="27" w:lineRule="exact"/>
        <w:rPr>
          <w:rFonts w:ascii="Times New Roman" w:cs="Times New Roman" w:eastAsia="Times New Roman" w:hAnsi="Times New Roman"/>
          <w:sz w:val="18"/>
          <w:szCs w:val="18"/>
          <w:color w:val="auto"/>
        </w:rPr>
      </w:pPr>
    </w:p>
    <w:p>
      <w:pPr>
        <w:ind w:left="12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(310) 595-9595</w:t>
      </w:r>
    </w:p>
    <w:p>
      <w:pPr>
        <w:spacing w:after="0" w:line="9" w:lineRule="exact"/>
        <w:rPr>
          <w:rFonts w:ascii="Times New Roman" w:cs="Times New Roman" w:eastAsia="Times New Roman" w:hAnsi="Times New Roman"/>
          <w:sz w:val="18"/>
          <w:szCs w:val="18"/>
          <w:color w:val="auto"/>
        </w:rPr>
      </w:pPr>
    </w:p>
    <w:p>
      <w:pPr>
        <w:ind w:left="12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natalie.karam@sidley.com</w:t>
      </w:r>
    </w:p>
    <w:p>
      <w:pPr>
        <w:spacing w:after="0" w:line="206" w:lineRule="exact"/>
        <w:rPr>
          <w:rFonts w:ascii="Times New Roman" w:cs="Times New Roman" w:eastAsia="Times New Roman" w:hAnsi="Times New Roman"/>
          <w:sz w:val="18"/>
          <w:szCs w:val="18"/>
          <w:color w:val="auto"/>
        </w:rPr>
      </w:pPr>
    </w:p>
    <w:p>
      <w:pPr>
        <w:ind w:left="1292" w:right="6340" w:hanging="644"/>
        <w:spacing w:after="0" w:line="383" w:lineRule="auto"/>
        <w:tabs>
          <w:tab w:leader="none" w:pos="1292"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Dealer: [____________]</w:t>
      </w:r>
      <w:r>
        <w:rPr>
          <w:rFonts w:ascii="Times New Roman" w:cs="Times New Roman" w:eastAsia="Times New Roman" w:hAnsi="Times New Roman"/>
          <w:sz w:val="29"/>
          <w:szCs w:val="29"/>
          <w:color w:val="auto"/>
          <w:vertAlign w:val="superscript"/>
        </w:rPr>
        <w:t>42</w:t>
      </w:r>
    </w:p>
    <w:p>
      <w:pPr>
        <w:sectPr>
          <w:pgSz w:w="11900" w:h="16838" w:orient="portrait"/>
          <w:cols w:equalWidth="0" w:num="1">
            <w:col w:w="11232"/>
          </w:cols>
          <w:pgMar w:left="328" w:top="117" w:right="339" w:bottom="1440" w:gutter="0" w:footer="0" w:header="0"/>
        </w:sectPr>
      </w:pPr>
    </w:p>
    <w:p>
      <w:pPr>
        <w:spacing w:after="0" w:line="2" w:lineRule="exact"/>
        <w:rPr>
          <w:sz w:val="20"/>
          <w:szCs w:val="20"/>
          <w:color w:val="auto"/>
        </w:rPr>
      </w:pPr>
    </w:p>
    <w:p>
      <w:pPr>
        <w:ind w:left="1132"/>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1132"/>
        <w:spacing w:after="0"/>
        <w:rPr>
          <w:sz w:val="20"/>
          <w:szCs w:val="20"/>
          <w:color w:val="auto"/>
        </w:rPr>
      </w:pPr>
      <w:r>
        <w:rPr>
          <w:rFonts w:ascii="Times New Roman" w:cs="Times New Roman" w:eastAsia="Times New Roman" w:hAnsi="Times New Roman"/>
          <w:sz w:val="17"/>
          <w:szCs w:val="17"/>
          <w:color w:val="auto"/>
        </w:rPr>
        <w:t>Telephone:</w:t>
      </w:r>
    </w:p>
    <w:p>
      <w:pPr>
        <w:spacing w:after="0" w:line="21" w:lineRule="exact"/>
        <w:rPr>
          <w:sz w:val="20"/>
          <w:szCs w:val="20"/>
          <w:color w:val="auto"/>
        </w:rPr>
      </w:pPr>
    </w:p>
    <w:p>
      <w:pPr>
        <w:ind w:left="1132"/>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00" w:lineRule="exact"/>
        <w:rPr>
          <w:sz w:val="20"/>
          <w:szCs w:val="20"/>
          <w:color w:val="auto"/>
        </w:rPr>
      </w:pPr>
    </w:p>
    <w:p>
      <w:pPr>
        <w:sectPr>
          <w:pgSz w:w="11900" w:h="16838" w:orient="portrait"/>
          <w:cols w:equalWidth="0" w:num="2">
            <w:col w:w="2092" w:space="720"/>
            <w:col w:w="8420"/>
          </w:cols>
          <w:pgMar w:left="328" w:top="117" w:right="339" w:bottom="1440" w:gutter="0" w:footer="0" w:header="0"/>
          <w:type w:val="continuous"/>
        </w:sectPr>
      </w:pPr>
    </w:p>
    <w:p>
      <w:pPr>
        <w:spacing w:after="0" w:line="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[____________]</w:t>
      </w:r>
    </w:p>
    <w:p>
      <w:pPr>
        <w:sectPr>
          <w:pgSz w:w="11900" w:h="16838" w:orient="portrait"/>
          <w:cols w:equalWidth="0" w:num="1">
            <w:col w:w="11232"/>
          </w:cols>
          <w:pgMar w:left="328" w:top="117" w:right="339" w:bottom="1440" w:gutter="0" w:footer="0" w:header="0"/>
          <w:type w:val="continuous"/>
        </w:sectPr>
      </w:pPr>
    </w:p>
    <w:p>
      <w:pPr>
        <w:spacing w:after="0" w:line="225" w:lineRule="exact"/>
        <w:rPr>
          <w:sz w:val="20"/>
          <w:szCs w:val="20"/>
          <w:color w:val="auto"/>
        </w:rPr>
      </w:pPr>
    </w:p>
    <w:p>
      <w:pPr>
        <w:ind w:left="1132"/>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1132"/>
        <w:spacing w:after="0"/>
        <w:rPr>
          <w:sz w:val="20"/>
          <w:szCs w:val="20"/>
          <w:color w:val="auto"/>
        </w:rPr>
      </w:pPr>
      <w:r>
        <w:rPr>
          <w:rFonts w:ascii="Times New Roman" w:cs="Times New Roman" w:eastAsia="Times New Roman" w:hAnsi="Times New Roman"/>
          <w:sz w:val="17"/>
          <w:szCs w:val="17"/>
          <w:color w:val="auto"/>
        </w:rPr>
        <w:t>Telephone:</w:t>
      </w:r>
    </w:p>
    <w:p>
      <w:pPr>
        <w:spacing w:after="0" w:line="21" w:lineRule="exact"/>
        <w:rPr>
          <w:sz w:val="20"/>
          <w:szCs w:val="20"/>
          <w:color w:val="auto"/>
        </w:rPr>
      </w:pPr>
    </w:p>
    <w:p>
      <w:pPr>
        <w:ind w:left="1132"/>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00" w:lineRule="exact"/>
        <w:rPr>
          <w:sz w:val="20"/>
          <w:szCs w:val="20"/>
          <w:color w:val="auto"/>
        </w:rPr>
      </w:pPr>
    </w:p>
    <w:p>
      <w:pPr>
        <w:sectPr>
          <w:pgSz w:w="11900" w:h="16838" w:orient="portrait"/>
          <w:cols w:equalWidth="0" w:num="2">
            <w:col w:w="2092" w:space="720"/>
            <w:col w:w="8420"/>
          </w:cols>
          <w:pgMar w:left="328" w:top="117" w:right="339" w:bottom="1440" w:gutter="0" w:footer="0" w:header="0"/>
          <w:type w:val="continuous"/>
        </w:sectPr>
      </w:pPr>
    </w:p>
    <w:p>
      <w:pPr>
        <w:spacing w:after="0" w:line="3" w:lineRule="exact"/>
        <w:rPr>
          <w:sz w:val="20"/>
          <w:szCs w:val="20"/>
          <w:color w:val="auto"/>
        </w:rPr>
      </w:pPr>
    </w:p>
    <w:p>
      <w:pPr>
        <w:ind w:left="652" w:hanging="652"/>
        <w:spacing w:after="0"/>
        <w:tabs>
          <w:tab w:leader="none" w:pos="652"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of Counterparty</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632"/>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representations and warranties of Counterparty set forth in Section 3 of the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dated as of June [__], 2025, among Counterparty and [____________], as representatives of the Initial Purchasers party thereto (the “</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are true and correct and are hereby deemed to be repeated to Dealer as if set forth herein. Counterparty hereby further represents and warrants to Dealer on the date hereof and on and as of the Premium Payment Date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186055</wp:posOffset>
            </wp:positionV>
            <wp:extent cx="156845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75" w:lineRule="exact"/>
        <w:rPr>
          <w:sz w:val="20"/>
          <w:szCs w:val="20"/>
          <w:color w:val="auto"/>
        </w:rPr>
      </w:pPr>
    </w:p>
    <w:p>
      <w:pPr>
        <w:ind w:left="192" w:hanging="192"/>
        <w:spacing w:after="0"/>
        <w:tabs>
          <w:tab w:leader="none" w:pos="192" w:val="left"/>
        </w:tabs>
        <w:numPr>
          <w:ilvl w:val="0"/>
          <w:numId w:val="16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Dealer’s notice contact information.</w:t>
      </w:r>
    </w:p>
    <w:p>
      <w:pPr>
        <w:spacing w:after="0" w:line="38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type w:val="continuous"/>
        </w:sectPr>
      </w:pPr>
    </w:p>
    <w:bookmarkStart w:id="122" w:name="page123"/>
    <w:bookmarkEnd w:id="122"/>
    <w:p>
      <w:pPr>
        <w:jc w:val="both"/>
        <w:ind w:left="644" w:hanging="644"/>
        <w:spacing w:after="0" w:line="254" w:lineRule="auto"/>
        <w:tabs>
          <w:tab w:leader="none" w:pos="64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has all necessary corporate power and authority to execute, deliver and perform its obligations in respect of the Transaction; such execution, delivery and performance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191" w:lineRule="exact"/>
        <w:rPr>
          <w:rFonts w:ascii="Times New Roman" w:cs="Times New Roman" w:eastAsia="Times New Roman" w:hAnsi="Times New Roman"/>
          <w:sz w:val="18"/>
          <w:szCs w:val="18"/>
          <w:color w:val="auto"/>
        </w:rPr>
      </w:pPr>
    </w:p>
    <w:p>
      <w:pPr>
        <w:jc w:val="both"/>
        <w:ind w:left="644" w:hanging="644"/>
        <w:spacing w:after="0" w:line="219" w:lineRule="exact"/>
        <w:tabs>
          <w:tab w:leader="none" w:pos="64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Confirmation nor the incurrence or performance of obligations of Counterparty hereunder will conflict with or result in a breach of the certificate of incorporation or 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laws (or any equivalent documents) of Counterparty, or any applicable law or regulation, or any order, writ, injunction or decree of any court or governmental authority or agency, or any agreement or instrument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202"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Counterparty, 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state securities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Counterparty makes no representation or warranty regarding any such requirement that is applicable generally to the ownership of equity securities by Dealer or any of its affiliates solely as a result of it or any of such affiliate being financial institutions or broker-dealers.</w:t>
      </w:r>
    </w:p>
    <w:p>
      <w:pPr>
        <w:spacing w:after="0" w:line="183"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and, after consummation of the transactions contemplated hereby, will not be required to register as an “investment company” as such term is defined in the Investment Company Act of 1940, as amended.</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an “eligible contract participant” (as such term is defined in Section 1a(18) of the Commodity Exchange Act, as amended, other than a person that is an eligible contract participant under Section 1a(18)(C) of the Commodity Exchange Act).</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it and its affiliates is not, on the date hereof, in possession of any material non-public information with respect to Counterparty or the Shares.</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state or local (including any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 million.</w:t>
      </w:r>
    </w:p>
    <w:p>
      <w:pPr>
        <w:spacing w:after="0" w:line="179"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of Counterparty do not constitute “plan assets” within the meaning of 29 C.F.R. § 2510.3-101 under the Employee Retirement Income Security Act of 1974, as amended.</w:t>
      </w:r>
    </w:p>
    <w:p>
      <w:pPr>
        <w:spacing w:after="0" w:line="333"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23" w:name="page124"/>
    <w:bookmarkEnd w:id="123"/>
    <w:p>
      <w:pPr>
        <w:jc w:val="both"/>
        <w:ind w:left="644" w:hanging="644"/>
        <w:spacing w:after="0" w:line="253" w:lineRule="auto"/>
        <w:tabs>
          <w:tab w:leader="none" w:pos="64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immediately after the Trade Date and the Premium Payment Date, (A) the value of the total assets of Counterparty is greater than the sum of the total liabilities (including contingent liabilities) and the capital (as such terms are defined in Section 154 and Section 244 of the General Corporation Law of the State of Delaware) of Counterparty, (B) the capital of Counterparty is adequate to conduct the business of Counterparty, and Counterparty’s entry into the Transaction will not impair its capital, (C) Counterparty has the ability to pay its debts and obligations as such debts mature and does not intend to, or does not believe that it will, incur debt beyond its ability to pay as such debts mature, (D) Counterparty will be able to continue as a going concern; (E) Counterparty is not “insolvent” (as such term is defined under Section 101(32) of the U.S. Bankruptcy Code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and (F) Counterparty would be able to purchase the number of Shares with respect to the Transaction in compliance with the laws of the jurisdiction of Counterparty’s incorporation (including the adequate surplus and capital requirements of Sections 154 and 160 of the General Corporation Law of the State of Delaware).</w:t>
      </w:r>
    </w:p>
    <w:p>
      <w:pPr>
        <w:spacing w:after="0" w:line="194"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represents and warrants that it has not applied, and shall not, without the consent of Dealer, until after the first date on which no portion of the Transaction remains outstanding following any final exercise and settlement, cancellation or early termination of the Transaction, apply, for a loan, loan guarantee, direct loan (as that term is defined in the Coronavirus Aid, Relief and Economic Security Act (the “</w:t>
      </w:r>
      <w:r>
        <w:rPr>
          <w:rFonts w:ascii="Times New Roman" w:cs="Times New Roman" w:eastAsia="Times New Roman" w:hAnsi="Times New Roman"/>
          <w:sz w:val="18"/>
          <w:szCs w:val="18"/>
          <w:b w:val="1"/>
          <w:bCs w:val="1"/>
          <w:color w:val="auto"/>
        </w:rPr>
        <w:t>CARES Act</w:t>
      </w:r>
      <w:r>
        <w:rPr>
          <w:rFonts w:ascii="Times New Roman" w:cs="Times New Roman" w:eastAsia="Times New Roman" w:hAnsi="Times New Roman"/>
          <w:sz w:val="18"/>
          <w:szCs w:val="18"/>
          <w:color w:val="auto"/>
        </w:rPr>
        <w:t>”)) or other investment, or to receive any financial assistance or relief under any program or facility (collectively “</w:t>
      </w:r>
      <w:r>
        <w:rPr>
          <w:rFonts w:ascii="Times New Roman" w:cs="Times New Roman" w:eastAsia="Times New Roman" w:hAnsi="Times New Roman"/>
          <w:sz w:val="18"/>
          <w:szCs w:val="18"/>
          <w:b w:val="1"/>
          <w:bCs w:val="1"/>
          <w:color w:val="auto"/>
        </w:rPr>
        <w:t>Financial Assistance</w:t>
      </w:r>
      <w:r>
        <w:rPr>
          <w:rFonts w:ascii="Times New Roman" w:cs="Times New Roman" w:eastAsia="Times New Roman" w:hAnsi="Times New Roman"/>
          <w:sz w:val="18"/>
          <w:szCs w:val="18"/>
          <w:color w:val="auto"/>
        </w:rPr>
        <w:t>”) that (a) is established under applicable law (whether in existence as of the Trade Date or subsequently enacted, adopted or amended), including without limitation the CARES Act and the Federal Reserve Act, as amended, and</w:t>
      </w:r>
    </w:p>
    <w:p>
      <w:pPr>
        <w:spacing w:after="0" w:line="5" w:lineRule="exact"/>
        <w:rPr>
          <w:rFonts w:ascii="Times New Roman" w:cs="Times New Roman" w:eastAsia="Times New Roman" w:hAnsi="Times New Roman"/>
          <w:sz w:val="18"/>
          <w:szCs w:val="18"/>
          <w:color w:val="auto"/>
        </w:rPr>
      </w:pPr>
    </w:p>
    <w:p>
      <w:pPr>
        <w:jc w:val="both"/>
        <w:ind w:left="644" w:firstLine="4"/>
        <w:spacing w:after="0" w:line="251" w:lineRule="auto"/>
        <w:tabs>
          <w:tab w:leader="none" w:pos="899"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requires under applicable law (or any regulation, guidance, interpretation or other pronouncement of a governmental authority with jurisdiction for such program or facility) as a condition of such Financial Assistance, that the Counterparty agree, attest, certify or warrant that it has not, as of the date specified in such condition, repurchased, or will not repurchase, any equity security of Counterparty, and that it has not, as of the date specified in the condition, made a capital distribution or will make a capital distribution, or (ii) where the terms of the Transaction would cause Counterparty under any circumstances to fail to satisfy any condition for application for or receipt or retention of the Financial Assistance (collectively “</w:t>
      </w:r>
      <w:r>
        <w:rPr>
          <w:rFonts w:ascii="Times New Roman" w:cs="Times New Roman" w:eastAsia="Times New Roman" w:hAnsi="Times New Roman"/>
          <w:sz w:val="18"/>
          <w:szCs w:val="18"/>
          <w:b w:val="1"/>
          <w:bCs w:val="1"/>
          <w:color w:val="auto"/>
        </w:rPr>
        <w:t>Restricted Financial Assistance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Counterparty may apply for Restricted Financial Assistance if (x) Counterparty either (a) determines based on advice of outside counsel reasonably satisfactory to the Dealer that the terms of the Transaction would not cause Counterparty to fail to satisfy any condition for application for or receipt or retention of such Financial Assistance based on the terms of the program or facility as of the date of such advice or (b) delivers to Dealer evidence or other guidance from a governmental authority with jurisdiction for such program or facility that the Transaction is permitted under such program or facility (either by specific reference to the Transaction or by general reference to transactions with the attributes of the Transaction in all relevant respects) and (y) on the basis of which Dealer consents to Counterparty’s application for such Restricted Financial Assistance (such consent not to be unreasonably withheld or delayed). Counterparty further represents and warrants that the Premium is not being paid, in whole or in part, directly or indirectly, with funds received under or pursuant to any program or facility, including the U.S. Small Business Administration’s “Paycheck Protection Program”, that (a) is established under applicable law (whether in existence as of the Trade Date or subsequently enacted, adopted or amended), including without limitation the CARES Act and the Federal Reserve Act, as amended, and (b) requires under such applicable law (or any regulation, guidance, interpretation or other pronouncement of a governmental authority with jurisdiction for such program or facility) that such funds be used for specified or enumerated purposes that do not include the purchase of the Transaction (either by specific reference to the Transaction or by general reference to transactions with the attributes of the Transaction in all relevant respects).</w:t>
      </w:r>
    </w:p>
    <w:p>
      <w:pPr>
        <w:spacing w:after="0" w:line="359"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24" w:name="page125"/>
    <w:bookmarkEnd w:id="124"/>
    <w:p>
      <w:pPr>
        <w:ind w:left="1300" w:hanging="644"/>
        <w:spacing w:after="0" w:line="283" w:lineRule="auto"/>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has received, read and understands the OTC Options Risk Disclosure Statement and a copy of the most recent disclosure pamphlet prepared by The Options Clearing Corporation entitled “Characteristics and Risks of Standardized Options”.]</w:t>
      </w:r>
      <w:r>
        <w:rPr>
          <w:rFonts w:ascii="Times New Roman" w:cs="Times New Roman" w:eastAsia="Times New Roman" w:hAnsi="Times New Roman"/>
          <w:sz w:val="29"/>
          <w:szCs w:val="29"/>
          <w:color w:val="auto"/>
          <w:vertAlign w:val="superscript"/>
        </w:rPr>
        <w:t>42</w:t>
      </w:r>
    </w:p>
    <w:p>
      <w:pPr>
        <w:spacing w:after="0" w:line="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Provisions</w:t>
      </w:r>
      <w:r>
        <w:rPr>
          <w:rFonts w:ascii="Times New Roman" w:cs="Times New Roman" w:eastAsia="Times New Roman" w:hAnsi="Times New Roman"/>
          <w:sz w:val="18"/>
          <w:szCs w:val="18"/>
          <w:b w:val="1"/>
          <w:bCs w:val="1"/>
          <w:color w:val="auto"/>
        </w:rPr>
        <w:t>.</w:t>
      </w:r>
    </w:p>
    <w:p>
      <w:pPr>
        <w:spacing w:after="0" w:line="227" w:lineRule="exact"/>
        <w:rPr>
          <w:rFonts w:ascii="Times New Roman" w:cs="Times New Roman" w:eastAsia="Times New Roman" w:hAnsi="Times New Roman"/>
          <w:sz w:val="18"/>
          <w:szCs w:val="18"/>
          <w:b w:val="1"/>
          <w:bCs w:val="1"/>
          <w:color w:val="auto"/>
        </w:rPr>
      </w:pPr>
    </w:p>
    <w:p>
      <w:pPr>
        <w:jc w:val="both"/>
        <w:ind w:left="1300" w:hanging="644"/>
        <w:spacing w:after="0" w:line="261" w:lineRule="auto"/>
        <w:tabs>
          <w:tab w:leader="none" w:pos="13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Opinions</w:t>
      </w:r>
      <w:r>
        <w:rPr>
          <w:rFonts w:ascii="Times New Roman" w:cs="Times New Roman" w:eastAsia="Times New Roman" w:hAnsi="Times New Roman"/>
          <w:sz w:val="18"/>
          <w:szCs w:val="18"/>
          <w:color w:val="auto"/>
        </w:rPr>
        <w:t>. Counterparty shall deliver to Dealer (i) an opinion of United States counsel, dated as of the Effective Date,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matters set forth in Sections 8(a) through (d) of this Confirmation and (ii) an opinion of Australian counsel, dated as of the Effective Date, in the form previously provided to Dealer. Delivery of such opinions to Dealer shall be a condition precedent for the purpose of Section 2(a)(iii) of the Agreement with respect to each obligation of Dealer under Section 2(a)(i) of the Agreement.</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41" w:lineRule="auto"/>
        <w:tabs>
          <w:tab w:leader="none" w:pos="13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Repurchase Notices</w:t>
      </w:r>
      <w:r>
        <w:rPr>
          <w:rFonts w:ascii="Times New Roman" w:cs="Times New Roman" w:eastAsia="Times New Roman" w:hAnsi="Times New Roman"/>
          <w:sz w:val="18"/>
          <w:szCs w:val="18"/>
          <w:color w:val="auto"/>
        </w:rPr>
        <w:t>. Counterparty shall, on any day on which Counterparty effects any repurchase of Shares, promptly give Dealer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notice (which, for the avoidance of doubt may be by email) of such repurchase (a “</w:t>
      </w:r>
      <w:r>
        <w:rPr>
          <w:rFonts w:ascii="Times New Roman" w:cs="Times New Roman" w:eastAsia="Times New Roman" w:hAnsi="Times New Roman"/>
          <w:sz w:val="18"/>
          <w:szCs w:val="18"/>
          <w:b w:val="1"/>
          <w:bCs w:val="1"/>
          <w:color w:val="auto"/>
        </w:rPr>
        <w:t>Repurchase Notice</w:t>
      </w:r>
      <w:r>
        <w:rPr>
          <w:rFonts w:ascii="Times New Roman" w:cs="Times New Roman" w:eastAsia="Times New Roman" w:hAnsi="Times New Roman"/>
          <w:sz w:val="18"/>
          <w:szCs w:val="18"/>
          <w:color w:val="auto"/>
        </w:rPr>
        <w:t>”) on such day if following such repurchase, the number of outstanding Shares as determined on such day is (i) less than [__]</w:t>
      </w:r>
      <w:r>
        <w:rPr>
          <w:rFonts w:ascii="Times New Roman" w:cs="Times New Roman" w:eastAsia="Times New Roman" w:hAnsi="Times New Roman"/>
          <w:sz w:val="29"/>
          <w:szCs w:val="29"/>
          <w:color w:val="auto"/>
          <w:vertAlign w:val="superscript"/>
        </w:rPr>
        <w:t>43</w:t>
      </w:r>
      <w:r>
        <w:rPr>
          <w:rFonts w:ascii="Times New Roman" w:cs="Times New Roman" w:eastAsia="Times New Roman" w:hAnsi="Times New Roman"/>
          <w:sz w:val="18"/>
          <w:szCs w:val="18"/>
          <w:color w:val="auto"/>
        </w:rPr>
        <w:t xml:space="preserve"> million (in the case of the first such notice) or (ii) thereafter more than [__]</w:t>
      </w:r>
      <w:r>
        <w:rPr>
          <w:rFonts w:ascii="Times New Roman" w:cs="Times New Roman" w:eastAsia="Times New Roman" w:hAnsi="Times New Roman"/>
          <w:sz w:val="29"/>
          <w:szCs w:val="29"/>
          <w:color w:val="auto"/>
          <w:vertAlign w:val="superscript"/>
        </w:rPr>
        <w:t>44</w:t>
      </w:r>
      <w:r>
        <w:rPr>
          <w:rFonts w:ascii="Times New Roman" w:cs="Times New Roman" w:eastAsia="Times New Roman" w:hAnsi="Times New Roman"/>
          <w:sz w:val="18"/>
          <w:szCs w:val="18"/>
          <w:color w:val="auto"/>
        </w:rPr>
        <w:t xml:space="preserve"> million less than the number of Shares included in the immediately preceding Repurchase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repurchase of Shares pursuant to a plan under Rule 10b5-1 under the Exchange Act (as defined below), Counterparty may elect to satisfy such requirement by promptly giving Dealer written notice of entry into such plan, the maximum number of Shares that may be purchased thereunder and the approximate dates or periods during which such repurchases may occur (with such maximum number of Shares deemed repurchased on the date of such notice for purposes of this Section 9(b)). Counterparty agrees to indemnify and hold harmless Dealer and its affiliates and their respective officers, directors, employees, affiliates, advisors, agents and controlling persons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from and against any and all losses (including losses relating to Dealer’s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judgments, liabilities and reasonable and documented out-of-pocket expenses (including reasonable attorney’s fees), joint or several, which an Indemnified Person may become subject to, as a result of Counterparty’s failure to provide Dealer with a Repurchase Notice on the day and in the manner specified in this paragraph, and to reimburse, within 30 days, upon written request, each of such Indemnified Persons for any reasonable legal or other out-of-pocket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reasonable fees and expenses of such counsel related to such proceeding. Counterparty shall not be liable for any settlement of any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that is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w:t>
      </w:r>
    </w:p>
    <w:p>
      <w:pPr>
        <w:spacing w:after="0" w:line="27" w:lineRule="exact"/>
        <w:rPr>
          <w:rFonts w:ascii="Times New Roman" w:cs="Times New Roman" w:eastAsia="Times New Roman" w:hAnsi="Times New Roman"/>
          <w:sz w:val="18"/>
          <w:szCs w:val="18"/>
          <w:color w:val="auto"/>
        </w:rPr>
      </w:pPr>
    </w:p>
    <w:p>
      <w:pPr>
        <w:jc w:val="both"/>
        <w:ind w:left="1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156845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81" w:lineRule="exact"/>
        <w:rPr>
          <w:sz w:val="20"/>
          <w:szCs w:val="20"/>
          <w:color w:val="auto"/>
        </w:rPr>
      </w:pPr>
    </w:p>
    <w:p>
      <w:pPr>
        <w:ind w:left="200" w:hanging="192"/>
        <w:spacing w:after="0"/>
        <w:tabs>
          <w:tab w:leader="none" w:pos="200" w:val="left"/>
        </w:tabs>
        <w:numPr>
          <w:ilvl w:val="0"/>
          <w:numId w:val="16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 for applicable Dealers.</w:t>
      </w:r>
    </w:p>
    <w:p>
      <w:pPr>
        <w:spacing w:after="0" w:line="1" w:lineRule="exact"/>
        <w:rPr>
          <w:rFonts w:ascii="Times New Roman" w:cs="Times New Roman" w:eastAsia="Times New Roman" w:hAnsi="Times New Roman"/>
          <w:sz w:val="28"/>
          <w:szCs w:val="28"/>
          <w:color w:val="auto"/>
          <w:vertAlign w:val="superscript"/>
        </w:rPr>
      </w:pPr>
    </w:p>
    <w:p>
      <w:pPr>
        <w:jc w:val="both"/>
        <w:ind w:left="180" w:hanging="172"/>
        <w:spacing w:after="0" w:line="204" w:lineRule="auto"/>
        <w:tabs>
          <w:tab w:leader="none" w:pos="226" w:val="left"/>
        </w:tabs>
        <w:numPr>
          <w:ilvl w:val="0"/>
          <w:numId w:val="1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the number of Shares outstanding that would cause Dealer’s current position in the Shares underlying the Transaction (including the number of Shares underlying any additional transaction if the greenshoe is exercised in full, and any Shares under pre-existing call option transactions with Counterparty) to increase by [0.5]%. To be based on Dealer with highest Applicable Percentage.</w:t>
      </w:r>
    </w:p>
    <w:p>
      <w:pPr>
        <w:spacing w:after="0" w:line="1" w:lineRule="exact"/>
        <w:rPr>
          <w:rFonts w:ascii="Times New Roman" w:cs="Times New Roman" w:eastAsia="Times New Roman" w:hAnsi="Times New Roman"/>
          <w:sz w:val="30"/>
          <w:szCs w:val="30"/>
          <w:color w:val="auto"/>
          <w:vertAlign w:val="superscript"/>
        </w:rPr>
      </w:pPr>
    </w:p>
    <w:p>
      <w:pPr>
        <w:jc w:val="both"/>
        <w:ind w:left="180" w:hanging="172"/>
        <w:spacing w:after="0" w:line="214" w:lineRule="auto"/>
        <w:tabs>
          <w:tab w:leader="none" w:pos="213" w:val="left"/>
        </w:tabs>
        <w:numPr>
          <w:ilvl w:val="0"/>
          <w:numId w:val="1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the number of Shares that, if repurchased, would cause Dealer’s current position in the Shares underlying the Transaction (including the number of Shares underlying any additional transaction if the greenshoe is exercised in full, and any Shares under pre-existing call option transactions with Counterparty) to increase by a further [0.5]% from the threshold for the first Repurchase Notice. To be based on Dealer with highest Applicable Percentage.</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jc w:val="both"/>
        <w:ind w:left="644" w:hanging="644"/>
        <w:spacing w:after="0" w:line="261" w:lineRule="auto"/>
        <w:tabs>
          <w:tab w:leader="none" w:pos="64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Regulation M</w:t>
      </w:r>
      <w:r>
        <w:rPr>
          <w:rFonts w:ascii="Times New Roman" w:cs="Times New Roman" w:eastAsia="Times New Roman" w:hAnsi="Times New Roman"/>
          <w:sz w:val="18"/>
          <w:szCs w:val="18"/>
          <w:color w:val="auto"/>
        </w:rPr>
        <w:t>. Counterparty is not on the Trade Date engaged in a distribution, as such term is used in Regulation M under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of any securities of Counterparty, other than a distribution meeting the requirements of the exception set forth in Rules 101(b)(10) and 102(b)(7) of Regulation M. Counterparty shall not, until the second Scheduled Trading Day immediately following the Trade Date, engage in any such distribution.</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7" w:lineRule="auto"/>
        <w:tabs>
          <w:tab w:leader="none" w:pos="64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Manipulation</w:t>
      </w:r>
      <w:r>
        <w:rPr>
          <w:rFonts w:ascii="Times New Roman" w:cs="Times New Roman" w:eastAsia="Times New Roman" w:hAnsi="Times New Roman"/>
          <w:sz w:val="18"/>
          <w:szCs w:val="18"/>
          <w:color w:val="auto"/>
        </w:rPr>
        <w:t>. Counterparty is not entering into the Transaction to create actual or apparent trading activity in the Shares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convertible into or exchangeable for the Shares) or to raise or depress or otherwise manipulate the price of the Shares (or any security convertible into or exchangeable for the Shares) or otherwise in violation of the Exchange Act.</w:t>
      </w:r>
    </w:p>
    <w:p>
      <w:pPr>
        <w:spacing w:after="0" w:line="173"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Transfer or Assignment</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have the right to transfer or assign its rights and obligations hereunder with respect to all, but not less than all, of the Options hereunder (such Options, the “</w:t>
      </w:r>
      <w:r>
        <w:rPr>
          <w:rFonts w:ascii="Times New Roman" w:cs="Times New Roman" w:eastAsia="Times New Roman" w:hAnsi="Times New Roman"/>
          <w:sz w:val="18"/>
          <w:szCs w:val="18"/>
          <w:b w:val="1"/>
          <w:bCs w:val="1"/>
          <w:color w:val="auto"/>
        </w:rPr>
        <w:t>Transfer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transfer or assignment shall be subject to reasonable conditions that Dealer may impose, including but not limited, to the following conditions:</w:t>
      </w:r>
    </w:p>
    <w:p>
      <w:pPr>
        <w:spacing w:after="0" w:line="175" w:lineRule="exact"/>
        <w:rPr>
          <w:rFonts w:ascii="Times New Roman" w:cs="Times New Roman" w:eastAsia="Times New Roman" w:hAnsi="Times New Roman"/>
          <w:sz w:val="18"/>
          <w:szCs w:val="18"/>
          <w:color w:val="auto"/>
        </w:rPr>
      </w:pPr>
    </w:p>
    <w:p>
      <w:pPr>
        <w:ind w:left="1944" w:hanging="648"/>
        <w:spacing w:after="0" w:line="282" w:lineRule="auto"/>
        <w:tabs>
          <w:tab w:leader="none" w:pos="1944" w:val="left"/>
        </w:tabs>
        <w:numPr>
          <w:ilvl w:val="2"/>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Transfer Options, Counterparty shall not be released from its notice and indemnification obligations pursuant to Section 9(b) or any obligations under Section 9(n) or 9(s) of this Confirmation;</w:t>
      </w:r>
    </w:p>
    <w:p>
      <w:pPr>
        <w:spacing w:after="0" w:line="161" w:lineRule="exact"/>
        <w:rPr>
          <w:rFonts w:ascii="Times New Roman" w:cs="Times New Roman" w:eastAsia="Times New Roman" w:hAnsi="Times New Roman"/>
          <w:sz w:val="18"/>
          <w:szCs w:val="18"/>
          <w:color w:val="auto"/>
        </w:rPr>
      </w:pPr>
    </w:p>
    <w:p>
      <w:pPr>
        <w:ind w:left="1944" w:right="20" w:hanging="648"/>
        <w:spacing w:after="0" w:line="282" w:lineRule="auto"/>
        <w:tabs>
          <w:tab w:leader="none" w:pos="1944" w:val="left"/>
        </w:tabs>
        <w:numPr>
          <w:ilvl w:val="2"/>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Options shall only be transferred or assigned to a third party that is a United States person (as defined in Section 7701(a)(30)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944" w:hanging="648"/>
        <w:spacing w:after="0" w:line="258" w:lineRule="auto"/>
        <w:tabs>
          <w:tab w:leader="none" w:pos="1944" w:val="left"/>
        </w:tabs>
        <w:numPr>
          <w:ilvl w:val="2"/>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requested and reasonably satisfactory to Dealer;</w:t>
      </w:r>
    </w:p>
    <w:p>
      <w:pPr>
        <w:spacing w:after="0" w:line="183" w:lineRule="exact"/>
        <w:rPr>
          <w:rFonts w:ascii="Times New Roman" w:cs="Times New Roman" w:eastAsia="Times New Roman" w:hAnsi="Times New Roman"/>
          <w:sz w:val="18"/>
          <w:szCs w:val="18"/>
          <w:color w:val="auto"/>
        </w:rPr>
      </w:pPr>
    </w:p>
    <w:p>
      <w:pPr>
        <w:jc w:val="both"/>
        <w:ind w:left="1944" w:hanging="648"/>
        <w:spacing w:after="0" w:line="266" w:lineRule="auto"/>
        <w:tabs>
          <w:tab w:leader="none" w:pos="1944" w:val="left"/>
        </w:tabs>
        <w:numPr>
          <w:ilvl w:val="2"/>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will not, as a result of such transfer or assignment, be required to pay the transferee or assignee on any payment date an amount under Section 2(d)(i)(4) of the Agreement greater than an amount that Dealer would have been required to pay to Counterparty in the absence of such transfer or assignment;</w:t>
      </w:r>
    </w:p>
    <w:p>
      <w:pPr>
        <w:spacing w:after="0" w:line="347"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9" w:right="339" w:bottom="1440" w:gutter="0" w:footer="0" w:header="0"/>
        </w:sectPr>
      </w:pPr>
    </w:p>
    <w:bookmarkStart w:id="126" w:name="page127"/>
    <w:bookmarkEnd w:id="126"/>
    <w:p>
      <w:pPr>
        <w:jc w:val="both"/>
        <w:ind w:left="1480" w:hanging="648"/>
        <w:spacing w:after="0" w:line="261" w:lineRule="auto"/>
        <w:tabs>
          <w:tab w:leader="none" w:pos="14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will not, as a result of such transfer or assignment, receive from the transferee or assignee on any payment date (after accounting for amounts paid by the transferee or assignee under Section 2(d)(i)(4) of the Agreement as well as any withholding or deduction of Tax from the payment) an amount less than the amount it would have been entitled to receive from Counterparty in the absence of such transfer and assignment;</w:t>
      </w:r>
    </w:p>
    <w:p>
      <w:pPr>
        <w:spacing w:after="0" w:line="179" w:lineRule="exact"/>
        <w:rPr>
          <w:rFonts w:ascii="Times New Roman" w:cs="Times New Roman" w:eastAsia="Times New Roman" w:hAnsi="Times New Roman"/>
          <w:sz w:val="18"/>
          <w:szCs w:val="18"/>
          <w:color w:val="auto"/>
        </w:rPr>
      </w:pPr>
    </w:p>
    <w:p>
      <w:pPr>
        <w:ind w:left="1480" w:hanging="648"/>
        <w:spacing w:after="0" w:line="282" w:lineRule="auto"/>
        <w:tabs>
          <w:tab w:leader="none" w:pos="14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Potential Event of Default or Termination Event will not occur as a result of such transfer or assignment;</w:t>
      </w:r>
    </w:p>
    <w:p>
      <w:pPr>
        <w:spacing w:after="0" w:line="161" w:lineRule="exact"/>
        <w:rPr>
          <w:rFonts w:ascii="Times New Roman" w:cs="Times New Roman" w:eastAsia="Times New Roman" w:hAnsi="Times New Roman"/>
          <w:sz w:val="18"/>
          <w:szCs w:val="18"/>
          <w:color w:val="auto"/>
        </w:rPr>
      </w:pPr>
    </w:p>
    <w:p>
      <w:pPr>
        <w:jc w:val="both"/>
        <w:ind w:left="1480" w:hanging="648"/>
        <w:spacing w:after="0" w:line="261" w:lineRule="auto"/>
        <w:tabs>
          <w:tab w:leader="none" w:pos="14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clause (B), the transferee or assignee shall make such Payee Tax Representations and provide a properly executed IRS Form W-9 and any such other tax documentation as may be reasonably requested by Dealer to permit Dealer to determine that results described in clauses (D) and (E) will not occur upon or after such transfer or assignment; and</w:t>
      </w:r>
    </w:p>
    <w:p>
      <w:pPr>
        <w:spacing w:after="0" w:line="179" w:lineRule="exact"/>
        <w:rPr>
          <w:rFonts w:ascii="Times New Roman" w:cs="Times New Roman" w:eastAsia="Times New Roman" w:hAnsi="Times New Roman"/>
          <w:sz w:val="18"/>
          <w:szCs w:val="18"/>
          <w:color w:val="auto"/>
        </w:rPr>
      </w:pPr>
    </w:p>
    <w:p>
      <w:pPr>
        <w:ind w:left="1480" w:hanging="648"/>
        <w:spacing w:after="0" w:line="282" w:lineRule="auto"/>
        <w:tabs>
          <w:tab w:leader="none" w:pos="14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be responsible for all reasonable costs and expenses, including reasonable counsel fees, incurred by Dealer in connection with such transfer or assignment.</w:t>
      </w:r>
    </w:p>
    <w:p>
      <w:pPr>
        <w:spacing w:after="0" w:line="33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27" w:name="page128"/>
    <w:bookmarkEnd w:id="127"/>
    <w:p>
      <w:pPr>
        <w:jc w:val="both"/>
        <w:ind w:left="840" w:hanging="656"/>
        <w:spacing w:after="0" w:line="266" w:lineRule="auto"/>
        <w:tabs>
          <w:tab w:leader="none" w:pos="84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Dealer may transfer or assign all or any part of its rights or obligations under the Transaction (A) without Counterparty’s consent (but with prompt subsequent (but in no event more than two Exchange Business Days) written notice to Counterparty), to any affiliate of Dealer (1) that has a long-term issuer rating that is equal to or better than Dealer’s credit rating at the time of such transfer or assignment, or (2) whose obligations hereunder will be guaranteed, pursuant to the terms of a customary guarantee in a form used by Dealer generally for similar transactions, by Dealer or Dealer’s ultimate parent, as applicable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connection with any assignment or transfer pursuant to clause (A)(2) hereof, the guarantee of any guarantor of the relevant transferee’s obligations under the Transaction shall constitute a Credit Support Document under the Agreement), or (B) with Counterparty’s consent (such consent not to be unreasonably withheld or delayed), to any other third party financial institution that is a recognized dealer in the market for U.S. corporate equity derivatives and that has a long-term issuer rating equal to or better than the lesser of (1) the credit rating of Dealer at the time of the transfer or assignment and (2) A- by Standard and Poor’s Financial Services LLC or its successor (“</w:t>
      </w:r>
      <w:r>
        <w:rPr>
          <w:rFonts w:ascii="Times New Roman" w:cs="Times New Roman" w:eastAsia="Times New Roman" w:hAnsi="Times New Roman"/>
          <w:sz w:val="17"/>
          <w:szCs w:val="17"/>
          <w:b w:val="1"/>
          <w:bCs w:val="1"/>
          <w:color w:val="auto"/>
        </w:rPr>
        <w:t>S&amp;P</w:t>
      </w:r>
      <w:r>
        <w:rPr>
          <w:rFonts w:ascii="Times New Roman" w:cs="Times New Roman" w:eastAsia="Times New Roman" w:hAnsi="Times New Roman"/>
          <w:sz w:val="17"/>
          <w:szCs w:val="17"/>
          <w:color w:val="auto"/>
        </w:rPr>
        <w:t>”), or A3 by Moody’s Investor Service, Inc. or its successor (“</w:t>
      </w:r>
      <w:r>
        <w:rPr>
          <w:rFonts w:ascii="Times New Roman" w:cs="Times New Roman" w:eastAsia="Times New Roman" w:hAnsi="Times New Roman"/>
          <w:sz w:val="17"/>
          <w:szCs w:val="17"/>
          <w:b w:val="1"/>
          <w:bCs w:val="1"/>
          <w:color w:val="auto"/>
        </w:rPr>
        <w:t>Moody’s</w:t>
      </w:r>
      <w:r>
        <w:rPr>
          <w:rFonts w:ascii="Times New Roman" w:cs="Times New Roman" w:eastAsia="Times New Roman" w:hAnsi="Times New Roman"/>
          <w:sz w:val="17"/>
          <w:szCs w:val="17"/>
          <w:color w:val="auto"/>
        </w:rPr>
        <w:t xml:space="preserve">”) or, if either S&amp;P or Moody’s ceases to rate such debt, at least an equivalent rating or better by a substitute rating agency mutually agreed by Counterparty and Dealer;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case of any transfer or assignment described in clause (A) or (B) above,</w:t>
      </w:r>
    </w:p>
    <w:p>
      <w:pPr>
        <w:spacing w:after="0" w:line="9" w:lineRule="exact"/>
        <w:rPr>
          <w:rFonts w:ascii="Times New Roman" w:cs="Times New Roman" w:eastAsia="Times New Roman" w:hAnsi="Times New Roman"/>
          <w:sz w:val="17"/>
          <w:szCs w:val="17"/>
          <w:color w:val="auto"/>
        </w:rPr>
      </w:pPr>
    </w:p>
    <w:p>
      <w:pPr>
        <w:jc w:val="both"/>
        <w:ind w:left="840" w:hanging="8"/>
        <w:spacing w:after="0" w:line="250" w:lineRule="auto"/>
        <w:tabs>
          <w:tab w:leader="none" w:pos="1066"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 transfer or assignment shall not occur unless an Event of Default, Potential Event of Default or Termination Event will not occur as a result of such transfer and assignment; and (II) at the time of such transfer or assignment the transfer or assignment does not result in a deemed exchange by Counterparty within the meaning of Section 1001 of the Code. In addition,</w:t>
      </w:r>
    </w:p>
    <w:p>
      <w:pPr>
        <w:spacing w:after="0" w:line="1" w:lineRule="exact"/>
        <w:rPr>
          <w:rFonts w:ascii="Times New Roman" w:cs="Times New Roman" w:eastAsia="Times New Roman" w:hAnsi="Times New Roman"/>
          <w:sz w:val="18"/>
          <w:szCs w:val="18"/>
          <w:color w:val="auto"/>
        </w:rPr>
      </w:pPr>
    </w:p>
    <w:p>
      <w:pPr>
        <w:jc w:val="both"/>
        <w:ind w:left="840" w:hanging="8"/>
        <w:spacing w:after="0" w:line="250" w:lineRule="auto"/>
        <w:tabs>
          <w:tab w:leader="none" w:pos="1142"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transferee or assignee shall agree that following such transfer or assignment, Counterparty will not (x) receive from the transferee or assignee on any payment date or delivery date (after accounting for amounts paid by the transferee or assignee under Section 2(d)(i)(4) of the Agreement as well as any withholding or deduction of Tax from the payment or delivery) an amount or a number of Shares, as applicable, lower than the amount or the number of Shares, as applicable, that Counterparty would have been entitled to receive from Dealer in the absence of such transfer or assignment or (y) be required to pay such assignee or transferee on any payment date (taking into account any additional amount required to be paid by Counterparty under Section 2(d)(i)(4) of the Agreement) an amount greater than the amount that Counterparty would have been required to pay to Dealer in the absence of such transfer or assignment and (B) the transferee or assignee shall make such Payee Tax Representations and shall provide such tax documentation as may be reasonably requested by Counterparty including in order to permit Counterparty to make any necessary determinations pursuant to clause (A) of this sentence. If at any time at which (A) the Section 16 Percentage exceeds [8.0]%, (B) the Option Equity Percentage exceeds [14.5]%, or (C) the Share Amount exceeds the Applicable Share Limit (if any applies) (any such condition described in clauses (A), (B) or (C), an “</w:t>
      </w:r>
      <w:r>
        <w:rPr>
          <w:rFonts w:ascii="Times New Roman" w:cs="Times New Roman" w:eastAsia="Times New Roman" w:hAnsi="Times New Roman"/>
          <w:sz w:val="18"/>
          <w:szCs w:val="18"/>
          <w:b w:val="1"/>
          <w:bCs w:val="1"/>
          <w:color w:val="auto"/>
        </w:rPr>
        <w:t>Excess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Position</w:t>
      </w:r>
      <w:r>
        <w:rPr>
          <w:rFonts w:ascii="Times New Roman" w:cs="Times New Roman" w:eastAsia="Times New Roman" w:hAnsi="Times New Roman"/>
          <w:sz w:val="18"/>
          <w:szCs w:val="18"/>
          <w:color w:val="auto"/>
        </w:rPr>
        <w:t>”), Dealer is unable after using its commercially reasonable efforts to effect a transfer or assignment of Options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party on pricing terms reasonably acceptable to Dealer and within a time period reasonably acceptable to Dealer such that no Excess Ownership Position exists (after giving effect to such transfer or assignment and any resulting change in Dealer’s commercially reasonable Hedge Positions), then Dealer may designate any Exchange Business Day as an Early Termination Date with respect to a portion of the Transaction (the “</w:t>
      </w:r>
      <w:r>
        <w:rPr>
          <w:rFonts w:ascii="Times New Roman" w:cs="Times New Roman" w:eastAsia="Times New Roman" w:hAnsi="Times New Roman"/>
          <w:sz w:val="18"/>
          <w:szCs w:val="18"/>
          <w:b w:val="1"/>
          <w:bCs w:val="1"/>
          <w:color w:val="auto"/>
        </w:rPr>
        <w:t>Terminated Portion</w:t>
      </w:r>
      <w:r>
        <w:rPr>
          <w:rFonts w:ascii="Times New Roman" w:cs="Times New Roman" w:eastAsia="Times New Roman" w:hAnsi="Times New Roman"/>
          <w:sz w:val="18"/>
          <w:szCs w:val="18"/>
          <w:color w:val="auto"/>
        </w:rPr>
        <w:t>”), such that following such partial termination no Excess Ownership Position exists (after giving effect to such transfer or assignment and any resulting change in Dealer’s commercially reasonable Hedge Positions).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(and, for the avoidance of doubt, the provisions of Section 9(l) shall apply to any amount that is payable by Dealer to Counterparty pursuant to this sentence as if Counterparty was not the Affected Party). The “</w:t>
      </w:r>
      <w:r>
        <w:rPr>
          <w:rFonts w:ascii="Times New Roman" w:cs="Times New Roman" w:eastAsia="Times New Roman" w:hAnsi="Times New Roman"/>
          <w:sz w:val="18"/>
          <w:szCs w:val="18"/>
          <w:b w:val="1"/>
          <w:bCs w:val="1"/>
          <w:color w:val="auto"/>
        </w:rPr>
        <w:t>Section 16 Percentage</w:t>
      </w:r>
      <w:r>
        <w:rPr>
          <w:rFonts w:ascii="Times New Roman" w:cs="Times New Roman" w:eastAsia="Times New Roman" w:hAnsi="Times New Roman"/>
          <w:sz w:val="18"/>
          <w:szCs w:val="18"/>
          <w:color w:val="auto"/>
        </w:rPr>
        <w:t>” as of any day is the fraction, expressed as a percentage, (A) the numerator of which is the number of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The “</w:t>
      </w:r>
      <w:r>
        <w:rPr>
          <w:rFonts w:ascii="Times New Roman" w:cs="Times New Roman" w:eastAsia="Times New Roman" w:hAnsi="Times New Roman"/>
          <w:sz w:val="18"/>
          <w:szCs w:val="18"/>
          <w:b w:val="1"/>
          <w:bCs w:val="1"/>
          <w:color w:val="auto"/>
        </w:rPr>
        <w:t>Option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Percentage</w:t>
      </w:r>
      <w:r>
        <w:rPr>
          <w:rFonts w:ascii="Times New Roman" w:cs="Times New Roman" w:eastAsia="Times New Roman" w:hAnsi="Times New Roman"/>
          <w:sz w:val="18"/>
          <w:szCs w:val="18"/>
          <w:color w:val="auto"/>
        </w:rPr>
        <w:t>” as of any day is the fraction, expressed as a percentage, (A) the numerator of which is the sum of (1) the product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Number of Options and the Option Entitlement and (2) the aggregate number of Shares underlying any other call option transaction sold by Dealer to Counterparty, and (B) the denominator of which is the number of Shares outstanding. The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as of any day is the number of Shares that Dealer and any person whose ownership position would be aggregated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of Dealer (Dealer or any such person, a “</w:t>
      </w:r>
      <w:r>
        <w:rPr>
          <w:rFonts w:ascii="Times New Roman" w:cs="Times New Roman" w:eastAsia="Times New Roman" w:hAnsi="Times New Roman"/>
          <w:sz w:val="18"/>
          <w:szCs w:val="18"/>
          <w:b w:val="1"/>
          <w:bCs w:val="1"/>
          <w:color w:val="auto"/>
        </w:rPr>
        <w:t>Dealer Person</w:t>
      </w:r>
      <w:r>
        <w:rPr>
          <w:rFonts w:ascii="Times New Roman" w:cs="Times New Roman" w:eastAsia="Times New Roman" w:hAnsi="Times New Roman"/>
          <w:sz w:val="18"/>
          <w:szCs w:val="18"/>
          <w:color w:val="auto"/>
        </w:rPr>
        <w:t>”) under any law, rule, regulation, regulatory order or organizational documents or contracts of Counterparty that are, in each case, applicable to ownership of Shares (“</w:t>
      </w:r>
      <w:r>
        <w:rPr>
          <w:rFonts w:ascii="Times New Roman" w:cs="Times New Roman" w:eastAsia="Times New Roman" w:hAnsi="Times New Roman"/>
          <w:sz w:val="18"/>
          <w:szCs w:val="18"/>
          <w:b w:val="1"/>
          <w:bCs w:val="1"/>
          <w:color w:val="auto"/>
        </w:rPr>
        <w:t>Applicable Restrictions</w:t>
      </w:r>
      <w:r>
        <w:rPr>
          <w:rFonts w:ascii="Times New Roman" w:cs="Times New Roman" w:eastAsia="Times New Roman" w:hAnsi="Times New Roman"/>
          <w:sz w:val="18"/>
          <w:szCs w:val="18"/>
          <w:color w:val="auto"/>
        </w:rPr>
        <w:t>”), owns, beneficially owns, constructively owns, controls, holds the power to vote or otherwise meets a relevant definition of ownership under any Applicable Restriction, as determined by Dealer in its reasonable discretion. The “</w:t>
      </w:r>
      <w:r>
        <w:rPr>
          <w:rFonts w:ascii="Times New Roman" w:cs="Times New Roman" w:eastAsia="Times New Roman" w:hAnsi="Times New Roman"/>
          <w:sz w:val="18"/>
          <w:szCs w:val="18"/>
          <w:b w:val="1"/>
          <w:bCs w:val="1"/>
          <w:color w:val="auto"/>
        </w:rPr>
        <w:t>Applicable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Limit</w:t>
      </w:r>
      <w:r>
        <w:rPr>
          <w:rFonts w:ascii="Times New Roman" w:cs="Times New Roman" w:eastAsia="Times New Roman" w:hAnsi="Times New Roman"/>
          <w:sz w:val="18"/>
          <w:szCs w:val="18"/>
          <w:color w:val="auto"/>
        </w:rPr>
        <w:t>” means a number of Shares equal to (A) the minimum number of Shares that could give rise to reporting or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(except for any filing requirements on Form 13F, Schedule 13D or Schedule 13G under the Exchange Act, in each case, as in effect on the Trade Date) or other requirements (including obtaining prior approval from any person or entity) of a Dealer Person, or could result in an adverse effect on a Dealer Person, under any Applicable Restriction, as determined by Dealer in its reasonable discretion,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1% of the number of Shares outstanding.</w:t>
      </w:r>
    </w:p>
    <w:p>
      <w:pPr>
        <w:sectPr>
          <w:pgSz w:w="11900" w:h="16838" w:orient="portrait"/>
          <w:cols w:equalWidth="0" w:num="1">
            <w:col w:w="10120"/>
          </w:cols>
          <w:pgMar w:left="1440" w:top="121" w:right="339" w:bottom="1440" w:gutter="0" w:footer="0" w:header="0"/>
        </w:sectPr>
      </w:pPr>
    </w:p>
    <w:p>
      <w:pPr>
        <w:spacing w:after="0" w:line="38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type w:val="continuous"/>
        </w:sectPr>
      </w:pPr>
    </w:p>
    <w:bookmarkStart w:id="128" w:name="page129"/>
    <w:bookmarkEnd w:id="128"/>
    <w:p>
      <w:pPr>
        <w:jc w:val="both"/>
        <w:ind w:left="1960" w:hanging="656"/>
        <w:spacing w:after="0" w:line="254" w:lineRule="auto"/>
        <w:tabs>
          <w:tab w:leader="none" w:pos="196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(each, a “</w:t>
      </w:r>
      <w:r>
        <w:rPr>
          <w:rFonts w:ascii="Times New Roman" w:cs="Times New Roman" w:eastAsia="Times New Roman" w:hAnsi="Times New Roman"/>
          <w:sz w:val="18"/>
          <w:szCs w:val="18"/>
          <w:b w:val="1"/>
          <w:bCs w:val="1"/>
          <w:color w:val="auto"/>
        </w:rPr>
        <w:t>Dealer Designated Affiliate</w:t>
      </w:r>
      <w:r>
        <w:rPr>
          <w:rFonts w:ascii="Times New Roman" w:cs="Times New Roman" w:eastAsia="Times New Roman" w:hAnsi="Times New Roman"/>
          <w:sz w:val="18"/>
          <w:szCs w:val="18"/>
          <w:color w:val="auto"/>
        </w:rPr>
        <w:t xml:space="preserve">”) to purchase, sell, receive or deliver such Shares or other securities, or to make or receive such payment in cash, and otherwise to perform Dealer’s obligations in respect of the Transaction and any such designee may assume such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Dealer Designated Affiliate shall comply with the provisions of the Transaction in the same manner as Dealer would have been required to comply. For the avoidance of doubt, the representations and covenants with respect to Sections 9(z)(i) and 9(z)(ii) shall remain unaffected by such designation. Dealer shall be discharged of its obligations to Counterparty to the extent of any such performance.</w:t>
      </w:r>
    </w:p>
    <w:p>
      <w:pPr>
        <w:spacing w:after="0" w:line="18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Staggered Settlement</w:t>
      </w:r>
      <w:r>
        <w:rPr>
          <w:rFonts w:ascii="Times New Roman" w:cs="Times New Roman" w:eastAsia="Times New Roman" w:hAnsi="Times New Roman"/>
          <w:sz w:val="18"/>
          <w:szCs w:val="18"/>
          <w:color w:val="auto"/>
        </w:rPr>
        <w:t>. If upon advice of counsel with respect to applicable legal and regulatory requirements, including any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Dealer’s commercially reasonable hedging activities hereunder, Dealer reasonably determines that it would not be practicable or advisable to deliver, or to acquire Shares to deliver, any or all of the Shares to be delivered by Dealer on any Settlement Date for the Transaction, Dealer may, by notice to Counterparty on or prior to any Settlement Date (a “</w:t>
      </w:r>
      <w:r>
        <w:rPr>
          <w:rFonts w:ascii="Times New Roman" w:cs="Times New Roman" w:eastAsia="Times New Roman" w:hAnsi="Times New Roman"/>
          <w:sz w:val="18"/>
          <w:szCs w:val="18"/>
          <w:b w:val="1"/>
          <w:bCs w:val="1"/>
          <w:color w:val="auto"/>
        </w:rPr>
        <w:t>Nominal Settlement Date</w:t>
      </w:r>
      <w:r>
        <w:rPr>
          <w:rFonts w:ascii="Times New Roman" w:cs="Times New Roman" w:eastAsia="Times New Roman" w:hAnsi="Times New Roman"/>
          <w:sz w:val="18"/>
          <w:szCs w:val="18"/>
          <w:color w:val="auto"/>
        </w:rPr>
        <w:t>”), elect to deliver the Shares on two or more dates (each, a “</w:t>
      </w:r>
      <w:r>
        <w:rPr>
          <w:rFonts w:ascii="Times New Roman" w:cs="Times New Roman" w:eastAsia="Times New Roman" w:hAnsi="Times New Roman"/>
          <w:sz w:val="18"/>
          <w:szCs w:val="18"/>
          <w:b w:val="1"/>
          <w:bCs w:val="1"/>
          <w:color w:val="auto"/>
        </w:rPr>
        <w:t>Staggered Settlement Date</w:t>
      </w:r>
      <w:r>
        <w:rPr>
          <w:rFonts w:ascii="Times New Roman" w:cs="Times New Roman" w:eastAsia="Times New Roman" w:hAnsi="Times New Roman"/>
          <w:sz w:val="18"/>
          <w:szCs w:val="18"/>
          <w:color w:val="auto"/>
        </w:rPr>
        <w:t>”) as follows:</w:t>
      </w:r>
    </w:p>
    <w:p>
      <w:pPr>
        <w:spacing w:after="0" w:line="18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notice, Dealer will specify to Counterparty the related Staggered Settlement Dates (each of which shall occur on or prior to such Nominal Settlement Date) and the number of Shares that it will deliver on each Staggered Settlement Date;</w:t>
      </w:r>
    </w:p>
    <w:p>
      <w:pPr>
        <w:spacing w:after="0" w:line="162" w:lineRule="exact"/>
        <w:rPr>
          <w:sz w:val="20"/>
          <w:szCs w:val="20"/>
          <w:color w:val="auto"/>
        </w:rPr>
      </w:pPr>
    </w:p>
    <w:p>
      <w:pPr>
        <w:ind w:left="1960" w:right="20" w:hanging="656"/>
        <w:spacing w:after="0" w:line="282" w:lineRule="auto"/>
        <w:tabs>
          <w:tab w:leader="none" w:pos="196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that Dealer will deliver to Counterparty hereunder on all such Staggered Settlement Dates will equal the number of Shares that Dealer would otherwise be required to deliver on such Nominal Settlement Date;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Net Share Settlement terms or the Combination Settlement terms set forth above were to apply on the Nominal Settlement Date, then the Net Share Settlement terms or the Combination Settlement terms, as the case may be, will apply on each Staggered Settlement Date, except that the Shares otherwise deliverable on such Nominal Settlement Date will be allocated among such Staggered Settlement Dates as specified by Dealer in the notice referred to in clause (i) above.</w:t>
      </w:r>
    </w:p>
    <w:p>
      <w:pPr>
        <w:spacing w:after="0" w:line="17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Insert any relevant agency provisions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Reserved</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Conduct Rules</w:t>
      </w:r>
      <w:r>
        <w:rPr>
          <w:rFonts w:ascii="Times New Roman" w:cs="Times New Roman" w:eastAsia="Times New Roman" w:hAnsi="Times New Roman"/>
          <w:sz w:val="18"/>
          <w:szCs w:val="18"/>
          <w:color w:val="auto"/>
        </w:rPr>
        <w:t>. Each party acknowledges and agrees to be bound by the Conduct Rules of the Financial Industry Regulatory Authority applicable to transactions in options, and further agrees not to violate the position and exercise limits set forth therein.][</w:t>
      </w:r>
      <w:r>
        <w:rPr>
          <w:rFonts w:ascii="Times New Roman" w:cs="Times New Roman" w:eastAsia="Times New Roman" w:hAnsi="Times New Roman"/>
          <w:sz w:val="18"/>
          <w:szCs w:val="18"/>
          <w:i w:val="1"/>
          <w:iCs w:val="1"/>
          <w:u w:val="single" w:color="auto"/>
          <w:color w:val="auto"/>
        </w:rPr>
        <w:t>Reserved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45</w:t>
      </w:r>
    </w:p>
    <w:p>
      <w:pPr>
        <w:spacing w:after="0" w:line="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Additional Termination Events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Confirmation, upon any Early Conversion in respect of which a Notice of Conversion (as such term is defined in the Indenture) that is effective as to Counterparty has been delivered by the relevant converting Holder (as such term is defined in the Indenture):</w:t>
      </w:r>
    </w:p>
    <w:p>
      <w:pPr>
        <w:spacing w:after="0" w:line="175" w:lineRule="exact"/>
        <w:rPr>
          <w:rFonts w:ascii="Times New Roman" w:cs="Times New Roman" w:eastAsia="Times New Roman" w:hAnsi="Times New Roman"/>
          <w:sz w:val="18"/>
          <w:szCs w:val="18"/>
          <w:color w:val="auto"/>
        </w:rPr>
      </w:pPr>
    </w:p>
    <w:p>
      <w:pPr>
        <w:jc w:val="both"/>
        <w:ind w:left="2600" w:hanging="648"/>
        <w:spacing w:after="0" w:line="261" w:lineRule="auto"/>
        <w:tabs>
          <w:tab w:leader="none" w:pos="2600" w:val="left"/>
        </w:tabs>
        <w:numPr>
          <w:ilvl w:val="2"/>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within five Scheduled Trading Days of the Conversion Date for such Early Conversion, provide written notice (an “</w:t>
      </w:r>
      <w:r>
        <w:rPr>
          <w:rFonts w:ascii="Times New Roman" w:cs="Times New Roman" w:eastAsia="Times New Roman" w:hAnsi="Times New Roman"/>
          <w:sz w:val="18"/>
          <w:szCs w:val="18"/>
          <w:b w:val="1"/>
          <w:bCs w:val="1"/>
          <w:color w:val="auto"/>
        </w:rPr>
        <w:t>Early Conversion Notice</w:t>
      </w:r>
      <w:r>
        <w:rPr>
          <w:rFonts w:ascii="Times New Roman" w:cs="Times New Roman" w:eastAsia="Times New Roman" w:hAnsi="Times New Roman"/>
          <w:sz w:val="18"/>
          <w:szCs w:val="18"/>
          <w:color w:val="auto"/>
        </w:rPr>
        <w:t>”) to Dealer specifying the number of Convertible Notes surrendered for conversion on such Conversion Date (such Convertible Notes, the “</w:t>
      </w:r>
      <w:r>
        <w:rPr>
          <w:rFonts w:ascii="Times New Roman" w:cs="Times New Roman" w:eastAsia="Times New Roman" w:hAnsi="Times New Roman"/>
          <w:sz w:val="18"/>
          <w:szCs w:val="18"/>
          <w:b w:val="1"/>
          <w:bCs w:val="1"/>
          <w:color w:val="auto"/>
        </w:rPr>
        <w:t>Affected Convertible Notes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and the giving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such Early Conversion Notice </w:t>
      </w:r>
      <w:r>
        <w:rPr>
          <w:rFonts w:ascii="Times New Roman" w:cs="Times New Roman" w:eastAsia="Times New Roman" w:hAnsi="Times New Roman"/>
          <w:sz w:val="18"/>
          <w:szCs w:val="18"/>
          <w:color w:val="auto"/>
        </w:rPr>
        <w:t>shall constitute an Additional Termination Event as provided in this clause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156845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74" w:lineRule="exact"/>
        <w:rPr>
          <w:sz w:val="20"/>
          <w:szCs w:val="20"/>
          <w:color w:val="auto"/>
        </w:rPr>
      </w:pPr>
    </w:p>
    <w:p>
      <w:pPr>
        <w:ind w:left="200" w:hanging="192"/>
        <w:spacing w:after="0"/>
        <w:tabs>
          <w:tab w:leader="none" w:pos="200" w:val="left"/>
        </w:tabs>
        <w:numPr>
          <w:ilvl w:val="0"/>
          <w:numId w:val="17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 for applicable Dealers.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jc w:val="both"/>
        <w:ind w:left="2600" w:hanging="648"/>
        <w:spacing w:after="0" w:line="259" w:lineRule="auto"/>
        <w:tabs>
          <w:tab w:leader="none" w:pos="26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any such Early Conversion Notice, Dealer shall designate an Exchange Business Day as an Early Termination Date (which Exchange Business Day shall be no earlier than one Scheduled Valid Day following the Conversion Date for such Early Conversion) with respect to the portion of the Transaction corresponding to a number of Options (the “</w:t>
      </w:r>
      <w:r>
        <w:rPr>
          <w:rFonts w:ascii="Times New Roman" w:cs="Times New Roman" w:eastAsia="Times New Roman" w:hAnsi="Times New Roman"/>
          <w:sz w:val="18"/>
          <w:szCs w:val="18"/>
          <w:b w:val="1"/>
          <w:bCs w:val="1"/>
          <w:color w:val="auto"/>
        </w:rPr>
        <w:t>Affected Number of Options</w:t>
      </w:r>
      <w:r>
        <w:rPr>
          <w:rFonts w:ascii="Times New Roman" w:cs="Times New Roman" w:eastAsia="Times New Roman" w:hAnsi="Times New Roman"/>
          <w:sz w:val="18"/>
          <w:szCs w:val="18"/>
          <w:color w:val="auto"/>
        </w:rPr>
        <w:t>”) equal to the lesser of (x) the number of Affected Convertible Notes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“Affected Number of Options” (as defined in the Base Call Option Confirmation), if any, that relate to such Affected Convertible Notes]</w:t>
      </w:r>
      <w:r>
        <w:rPr>
          <w:rFonts w:ascii="Times New Roman" w:cs="Times New Roman" w:eastAsia="Times New Roman" w:hAnsi="Times New Roman"/>
          <w:sz w:val="29"/>
          <w:szCs w:val="29"/>
          <w:color w:val="auto"/>
          <w:vertAlign w:val="superscript"/>
        </w:rPr>
        <w:t>46</w:t>
      </w:r>
      <w:r>
        <w:rPr>
          <w:rFonts w:ascii="Times New Roman" w:cs="Times New Roman" w:eastAsia="Times New Roman" w:hAnsi="Times New Roman"/>
          <w:sz w:val="18"/>
          <w:szCs w:val="18"/>
          <w:color w:val="auto"/>
        </w:rPr>
        <w:t xml:space="preserve"> and (y) the Number of Options as of the Conversion Date for such Early Conversion;</w:t>
      </w:r>
    </w:p>
    <w:p>
      <w:pPr>
        <w:spacing w:after="0" w:line="3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payment hereunder with respect to such termination shall be calculated pursuant to Section 6 of the Agreement as if</w:t>
      </w:r>
    </w:p>
    <w:p>
      <w:pPr>
        <w:spacing w:after="0" w:line="38" w:lineRule="exact"/>
        <w:rPr>
          <w:rFonts w:ascii="Times New Roman" w:cs="Times New Roman" w:eastAsia="Times New Roman" w:hAnsi="Times New Roman"/>
          <w:sz w:val="17"/>
          <w:szCs w:val="17"/>
          <w:color w:val="auto"/>
        </w:rPr>
      </w:pPr>
    </w:p>
    <w:p>
      <w:pPr>
        <w:jc w:val="both"/>
        <w:ind w:left="2600"/>
        <w:spacing w:after="0" w:line="22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(x) an Early Termination Date had been designated in respect of a Transaction having terms identical to the Transaction and a Number of Options equal to the Affected Number of Options, (y) Counterparty were the sole Affected Party with respect to such Additional Termination Event and (z) the terminated portion of the Transaction were the sole Affected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payable with respect to such termination shall not be greater than (1) the Applicable Percentage,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(2) the Affected Number of Options,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(3) (x) the sum of (i) the amount of cash paid (if any) to the Holder (as such term is defined in the Indenture) of an Affected Convertible Note upon conversion of such Affected Convertible Note (including any cash payable as the result of an adjustment to the “Conversion Rate” (as defined in the Indenture) pursuant to Section [5.07]</w:t>
      </w:r>
      <w:r>
        <w:rPr>
          <w:rFonts w:ascii="Times New Roman" w:cs="Times New Roman" w:eastAsia="Times New Roman" w:hAnsi="Times New Roman"/>
          <w:sz w:val="29"/>
          <w:szCs w:val="29"/>
          <w:color w:val="auto"/>
          <w:vertAlign w:val="superscript"/>
        </w:rPr>
        <w:t>47</w:t>
      </w:r>
      <w:r>
        <w:rPr>
          <w:rFonts w:ascii="Times New Roman" w:cs="Times New Roman" w:eastAsia="Times New Roman" w:hAnsi="Times New Roman"/>
          <w:sz w:val="18"/>
          <w:szCs w:val="18"/>
          <w:color w:val="auto"/>
        </w:rPr>
        <w:t xml:space="preserve"> of the Indenture) and (ii) the number of Shares delivered (if any) to the Holder (as such term is defined in the Indenture) of an Affected Convertible Note upon conversion of such Affected Convertible Note (including any Shares deliverable as the result of an adjustment to the “Conversion Rate” (as defined in the Indenture) pursuant to Section [5.07]</w:t>
      </w:r>
      <w:r>
        <w:rPr>
          <w:rFonts w:ascii="Times New Roman" w:cs="Times New Roman" w:eastAsia="Times New Roman" w:hAnsi="Times New Roman"/>
          <w:sz w:val="29"/>
          <w:szCs w:val="29"/>
          <w:color w:val="auto"/>
          <w:vertAlign w:val="superscript"/>
        </w:rPr>
        <w:t>48</w:t>
      </w:r>
      <w:r>
        <w:rPr>
          <w:rFonts w:ascii="Times New Roman" w:cs="Times New Roman" w:eastAsia="Times New Roman" w:hAnsi="Times New Roman"/>
          <w:sz w:val="18"/>
          <w:szCs w:val="18"/>
          <w:color w:val="auto"/>
        </w:rPr>
        <w:t xml:space="preserve"> of the Indenture),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Applicable Limit Price on the settlement date for the conversion of such Affected Convertible Note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 the Synthetic Instrument Adjusted Issue Price per Affected Convertible Note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Settlement Date, as determined by the Calculation Agent in good faith and in a commercially reasonable manner. “</w:t>
      </w:r>
      <w:r>
        <w:rPr>
          <w:rFonts w:ascii="Times New Roman" w:cs="Times New Roman" w:eastAsia="Times New Roman" w:hAnsi="Times New Roman"/>
          <w:sz w:val="18"/>
          <w:szCs w:val="18"/>
          <w:b w:val="1"/>
          <w:bCs w:val="1"/>
          <w:color w:val="auto"/>
        </w:rPr>
        <w:t>Synthetic Instrument Adjusted Issue Price</w:t>
      </w:r>
      <w:r>
        <w:rPr>
          <w:rFonts w:ascii="Times New Roman" w:cs="Times New Roman" w:eastAsia="Times New Roman" w:hAnsi="Times New Roman"/>
          <w:sz w:val="18"/>
          <w:szCs w:val="18"/>
          <w:color w:val="auto"/>
        </w:rPr>
        <w:t>” shall mean the amount determined by the Calculation Agent by reference to the table set forth below based on the relevant Conversion Settlement Date (the “</w:t>
      </w:r>
      <w:r>
        <w:rPr>
          <w:rFonts w:ascii="Times New Roman" w:cs="Times New Roman" w:eastAsia="Times New Roman" w:hAnsi="Times New Roman"/>
          <w:sz w:val="18"/>
          <w:szCs w:val="18"/>
          <w:b w:val="1"/>
          <w:bCs w:val="1"/>
          <w:color w:val="auto"/>
        </w:rPr>
        <w:t>Synthetic Instrument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AIP Table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9"/>
          <w:szCs w:val="29"/>
          <w:color w:val="auto"/>
          <w:vertAlign w:val="superscript"/>
        </w:rPr>
        <w:t>49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relevant Conversion Settlement Date is not listed below, the amount in the preceding sentence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determined by the Calculation Agent by reference to the Synthetic Instrument AIP Table using a linear interpolation between the lower and higher Synthetic Instrument Adjusted Issue Prices for the dates immediately preceding and immediately following the relevant Conversion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156845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300" w:lineRule="exact"/>
        <w:rPr>
          <w:sz w:val="20"/>
          <w:szCs w:val="20"/>
          <w:color w:val="auto"/>
        </w:rPr>
      </w:pPr>
    </w:p>
    <w:p>
      <w:pPr>
        <w:ind w:left="200" w:hanging="192"/>
        <w:spacing w:after="0"/>
        <w:tabs>
          <w:tab w:leader="none" w:pos="200" w:val="left"/>
        </w:tabs>
        <w:numPr>
          <w:ilvl w:val="0"/>
          <w:numId w:val="18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 in Additional Call Option Confirmation only.</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8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cross-reference to Indenture section(s) governing make-whole adjustments to the Conversion Rate.</w:t>
      </w:r>
    </w:p>
    <w:p>
      <w:pPr>
        <w:spacing w:after="0" w:line="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8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cross-reference to Indenture section(s) governing make-whole adjustments to the Conversion Rate.</w:t>
      </w:r>
    </w:p>
    <w:p>
      <w:pPr>
        <w:spacing w:after="0" w:line="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8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Table to be filled out by calculating the synthetic adjusted issue price of a Convertible Note after giving effect to the integration pursuant to Section</w:t>
      </w:r>
    </w:p>
    <w:p>
      <w:pPr>
        <w:spacing w:after="0" w:line="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1.1275-6 of the United States Treasury Regulations of the Transaction (and other call option transactions with respect to such Convertible Note entered into by the Counterparty) and the Convertible Note.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tbl>
      <w:tblPr>
        <w:tblLayout w:type="fixed"/>
        <w:tblInd w:w="2490" w:type="dxa"/>
        <w:tblCellMar>
          <w:top w:w="0" w:type="dxa"/>
          <w:left w:w="0" w:type="dxa"/>
          <w:bottom w:w="0" w:type="dxa"/>
          <w:right w:w="0" w:type="dxa"/>
        </w:tblCellMar>
      </w:tblPr>
      <w:tr>
        <w:trPr>
          <w:trHeight w:val="225"/>
        </w:trPr>
        <w:tc>
          <w:tcPr>
            <w:tcW w:w="2940" w:type="dxa"/>
            <w:vAlign w:val="bottom"/>
            <w:tcBorders>
              <w:top w:val="single" w:sz="8" w:color="auto"/>
              <w:left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Conversion Settlement</w:t>
            </w:r>
          </w:p>
        </w:tc>
        <w:tc>
          <w:tcPr>
            <w:tcW w:w="3360" w:type="dxa"/>
            <w:vAlign w:val="bottom"/>
            <w:tcBorders>
              <w:top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Synthetic Instrument Adjusted</w:t>
            </w:r>
          </w:p>
        </w:tc>
      </w:tr>
      <w:tr>
        <w:trPr>
          <w:trHeight w:val="241"/>
        </w:trPr>
        <w:tc>
          <w:tcPr>
            <w:tcW w:w="2940" w:type="dxa"/>
            <w:vAlign w:val="bottom"/>
            <w:tcBorders>
              <w:left w:val="single" w:sz="8" w:color="auto"/>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Date/Repayment Date</w:t>
            </w:r>
          </w:p>
        </w:tc>
        <w:tc>
          <w:tcPr>
            <w:tcW w:w="33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Issue Price</w:t>
            </w:r>
          </w:p>
        </w:tc>
      </w:tr>
      <w:tr>
        <w:trPr>
          <w:trHeight w:val="223"/>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Notes closing date</w:t>
            </w:r>
            <w:r>
              <w:rPr>
                <w:rFonts w:ascii="Times New Roman" w:cs="Times New Roman" w:eastAsia="Times New Roman" w:hAnsi="Times New Roman"/>
                <w:sz w:val="18"/>
                <w:szCs w:val="18"/>
                <w:color w:val="auto"/>
              </w:rPr>
              <w:t>]</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USD[_______]</w:t>
            </w:r>
          </w:p>
        </w:tc>
      </w:tr>
      <w:tr>
        <w:trPr>
          <w:trHeight w:val="223"/>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1, 2025</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USD [_______]</w:t>
            </w:r>
          </w:p>
        </w:tc>
      </w:tr>
      <w:tr>
        <w:trPr>
          <w:trHeight w:val="223"/>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June 1, 2026</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USD [_______]</w:t>
            </w:r>
          </w:p>
        </w:tc>
      </w:tr>
      <w:tr>
        <w:trPr>
          <w:trHeight w:val="223"/>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1, 2026</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USD [_______]</w:t>
            </w:r>
          </w:p>
        </w:tc>
      </w:tr>
      <w:tr>
        <w:trPr>
          <w:trHeight w:val="223"/>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June 1, 2027</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USD [_______]</w:t>
            </w:r>
          </w:p>
        </w:tc>
      </w:tr>
      <w:tr>
        <w:trPr>
          <w:trHeight w:val="223"/>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1, 2027</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USD [_______]</w:t>
            </w:r>
          </w:p>
        </w:tc>
      </w:tr>
      <w:tr>
        <w:trPr>
          <w:trHeight w:val="223"/>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June 1, 2028</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USD [_______]</w:t>
            </w:r>
          </w:p>
        </w:tc>
      </w:tr>
      <w:tr>
        <w:trPr>
          <w:trHeight w:val="223"/>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1, 2028</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USD [_______]</w:t>
            </w:r>
          </w:p>
        </w:tc>
      </w:tr>
      <w:tr>
        <w:trPr>
          <w:trHeight w:val="223"/>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June 1, 2029</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USD [_______]</w:t>
            </w:r>
          </w:p>
        </w:tc>
      </w:tr>
      <w:tr>
        <w:trPr>
          <w:trHeight w:val="223"/>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1, 2029</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USD [_______]</w:t>
            </w:r>
          </w:p>
        </w:tc>
      </w:tr>
      <w:tr>
        <w:trPr>
          <w:trHeight w:val="223"/>
        </w:trPr>
        <w:tc>
          <w:tcPr>
            <w:tcW w:w="2940" w:type="dxa"/>
            <w:vAlign w:val="bottom"/>
            <w:tcBorders>
              <w:left w:val="single" w:sz="8" w:color="auto"/>
              <w:bottom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rPr>
              <w:t>June 1, 2030</w:t>
            </w:r>
            <w:r>
              <w:rPr>
                <w:rFonts w:ascii="Times New Roman" w:cs="Times New Roman" w:eastAsia="Times New Roman" w:hAnsi="Times New Roman"/>
                <w:sz w:val="25"/>
                <w:szCs w:val="25"/>
                <w:color w:val="auto"/>
                <w:vertAlign w:val="superscript"/>
              </w:rPr>
              <w:t>50</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USD 1,000.00</w:t>
            </w:r>
          </w:p>
        </w:tc>
      </w:tr>
    </w:tbl>
    <w:p>
      <w:pPr>
        <w:spacing w:after="0" w:line="198" w:lineRule="exact"/>
        <w:rPr>
          <w:sz w:val="20"/>
          <w:szCs w:val="20"/>
          <w:color w:val="auto"/>
        </w:rPr>
      </w:pPr>
    </w:p>
    <w:p>
      <w:pPr>
        <w:jc w:val="both"/>
        <w:ind w:left="2600" w:hanging="648"/>
        <w:spacing w:after="0" w:line="256" w:lineRule="auto"/>
        <w:tabs>
          <w:tab w:leader="none" w:pos="260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in determining the amount payable in respect of such Affected Transaction pursuant to Section 6 of the Agreement, the Calculation Agent shall assume that (x) the relevant Early Conversion and any conversions, adjustments, agreements, payments, deliveries or acquisitions by or on behalf of Counterparty leading thereto had not occurred, (y) no adjustments to the “Conversion Rate” (as defined in the Indenture) have occurred pursuant to any Excluded Provision and (z) the corresponding Convertible Notes remain outstanding as if the circumstances related to such Early Conversion had not occurred; and</w:t>
      </w:r>
    </w:p>
    <w:p>
      <w:pPr>
        <w:spacing w:after="0" w:line="187"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shall remain in full force and effect, except that, as of the Conversion Date for such Early Conversion, the Number of Options shall be reduced by the Affected Number of Options</w:t>
      </w:r>
      <w:r>
        <w:rPr>
          <w:rFonts w:ascii="Times New Roman" w:cs="Times New Roman" w:eastAsia="Times New Roman" w:hAnsi="Times New Roman"/>
          <w:sz w:val="18"/>
          <w:szCs w:val="18"/>
          <w:b w:val="1"/>
          <w:bCs w:val="1"/>
          <w:color w:val="auto"/>
        </w:rPr>
        <w:t>.</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30" w:lineRule="auto"/>
        <w:tabs>
          <w:tab w:leader="none" w:pos="19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Confirmation if an event of default with respect to Counterparty occurs under the terms of the Convertible Notes as set forth in Section [7.01]</w:t>
      </w:r>
      <w:r>
        <w:rPr>
          <w:rFonts w:ascii="Times New Roman" w:cs="Times New Roman" w:eastAsia="Times New Roman" w:hAnsi="Times New Roman"/>
          <w:sz w:val="29"/>
          <w:szCs w:val="29"/>
          <w:color w:val="auto"/>
          <w:vertAlign w:val="superscript"/>
        </w:rPr>
        <w:t>51</w:t>
      </w:r>
      <w:r>
        <w:rPr>
          <w:rFonts w:ascii="Times New Roman" w:cs="Times New Roman" w:eastAsia="Times New Roman" w:hAnsi="Times New Roman"/>
          <w:sz w:val="18"/>
          <w:szCs w:val="18"/>
          <w:color w:val="auto"/>
        </w:rPr>
        <w:t xml:space="preserve"> of the Indenture, which event of default has resulted in the Convertible Notes becoming due and payable under the terms thereof, then such event of default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w:t>
      </w:r>
    </w:p>
    <w:p>
      <w:pPr>
        <w:spacing w:after="0" w:line="200" w:lineRule="exact"/>
        <w:rPr>
          <w:rFonts w:ascii="Times New Roman" w:cs="Times New Roman" w:eastAsia="Times New Roman" w:hAnsi="Times New Roman"/>
          <w:sz w:val="18"/>
          <w:szCs w:val="18"/>
          <w:color w:val="auto"/>
        </w:rPr>
      </w:pPr>
    </w:p>
    <w:p>
      <w:pPr>
        <w:jc w:val="both"/>
        <w:ind w:left="1960" w:hanging="656"/>
        <w:spacing w:after="0" w:line="216" w:lineRule="auto"/>
        <w:tabs>
          <w:tab w:leader="none" w:pos="19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Confirmation, the occurrence of an Amendment Event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w:t>
      </w:r>
      <w:r>
        <w:rPr>
          <w:rFonts w:ascii="Times New Roman" w:cs="Times New Roman" w:eastAsia="Times New Roman" w:hAnsi="Times New Roman"/>
          <w:sz w:val="18"/>
          <w:szCs w:val="18"/>
          <w:b w:val="1"/>
          <w:bCs w:val="1"/>
          <w:color w:val="auto"/>
        </w:rPr>
        <w:t>Amendment Event</w:t>
      </w:r>
      <w:r>
        <w:rPr>
          <w:rFonts w:ascii="Times New Roman" w:cs="Times New Roman" w:eastAsia="Times New Roman" w:hAnsi="Times New Roman"/>
          <w:sz w:val="18"/>
          <w:szCs w:val="18"/>
          <w:color w:val="auto"/>
        </w:rPr>
        <w:t>” means that Counterparty amends, modifies, supplements, waives or obtains a waiver in respect of any term of the Indenture or the Convertible Notes governing the principal amount, coupon, maturity, repurchase obligation of Counterparty, redemption right of Counterparty, any term relating to conversion of the Convertible Notes (including changes to the conversion rate, conversion rate adjustment provisions, conversion settlement dates or conversion conditions), or any term that would require consent of the holders of not less than 100% of the principal amount of the Convertible Notes to amend (other than, in each case, any amendment or supplement (v) pursuant to Section [8.01(B)]</w:t>
      </w:r>
      <w:r>
        <w:rPr>
          <w:rFonts w:ascii="Times New Roman" w:cs="Times New Roman" w:eastAsia="Times New Roman" w:hAnsi="Times New Roman"/>
          <w:sz w:val="29"/>
          <w:szCs w:val="29"/>
          <w:color w:val="auto"/>
          <w:vertAlign w:val="superscript"/>
        </w:rPr>
        <w:t>52</w:t>
      </w:r>
      <w:r>
        <w:rPr>
          <w:rFonts w:ascii="Times New Roman" w:cs="Times New Roman" w:eastAsia="Times New Roman" w:hAnsi="Times New Roman"/>
          <w:sz w:val="18"/>
          <w:szCs w:val="18"/>
          <w:color w:val="auto"/>
        </w:rPr>
        <w:t xml:space="preserve"> of the Indenture, (w) pursuant to Section [8.01(I)]</w:t>
      </w:r>
      <w:r>
        <w:rPr>
          <w:rFonts w:ascii="Times New Roman" w:cs="Times New Roman" w:eastAsia="Times New Roman" w:hAnsi="Times New Roman"/>
          <w:sz w:val="29"/>
          <w:szCs w:val="29"/>
          <w:color w:val="auto"/>
          <w:vertAlign w:val="superscript"/>
        </w:rPr>
        <w:t>53</w:t>
      </w:r>
      <w:r>
        <w:rPr>
          <w:rFonts w:ascii="Times New Roman" w:cs="Times New Roman" w:eastAsia="Times New Roman" w:hAnsi="Times New Roman"/>
          <w:sz w:val="18"/>
          <w:szCs w:val="18"/>
          <w:color w:val="auto"/>
        </w:rPr>
        <w:t xml:space="preserve"> of the Indenture that, as determined by the Calculation Agent, conforms the Indenture to the description of Convertible Notes in the Offering Memorandum, (x) pursuant to Section [8.01(G)]</w:t>
      </w:r>
      <w:r>
        <w:rPr>
          <w:rFonts w:ascii="Times New Roman" w:cs="Times New Roman" w:eastAsia="Times New Roman" w:hAnsi="Times New Roman"/>
          <w:sz w:val="29"/>
          <w:szCs w:val="29"/>
          <w:color w:val="auto"/>
          <w:vertAlign w:val="superscript"/>
        </w:rPr>
        <w:t>54</w:t>
      </w:r>
      <w:r>
        <w:rPr>
          <w:rFonts w:ascii="Times New Roman" w:cs="Times New Roman" w:eastAsia="Times New Roman" w:hAnsi="Times New Roman"/>
          <w:sz w:val="18"/>
          <w:szCs w:val="18"/>
          <w:color w:val="auto"/>
        </w:rPr>
        <w:t xml:space="preserve"> of the Indenture, (y) pursuant to Section [5.09]</w:t>
      </w:r>
      <w:r>
        <w:rPr>
          <w:rFonts w:ascii="Times New Roman" w:cs="Times New Roman" w:eastAsia="Times New Roman" w:hAnsi="Times New Roman"/>
          <w:sz w:val="29"/>
          <w:szCs w:val="29"/>
          <w:color w:val="auto"/>
          <w:vertAlign w:val="superscript"/>
        </w:rPr>
        <w:t>55</w:t>
      </w:r>
      <w:r>
        <w:rPr>
          <w:rFonts w:ascii="Times New Roman" w:cs="Times New Roman" w:eastAsia="Times New Roman" w:hAnsi="Times New Roman"/>
          <w:sz w:val="18"/>
          <w:szCs w:val="18"/>
          <w:color w:val="auto"/>
        </w:rPr>
        <w:t xml:space="preserve"> of the Indenture, or (z) pursuant to Section [8.01(A)] of the Indenture that, as determined by Calculation Agent, cures any ambiguity, omission, defect or inconsistency in the Indenture or in the Convertible Notes), in each case, without the consent of Dealer.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156845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301" w:lineRule="exact"/>
        <w:rPr>
          <w:sz w:val="20"/>
          <w:szCs w:val="20"/>
          <w:color w:val="auto"/>
        </w:rPr>
      </w:pPr>
    </w:p>
    <w:p>
      <w:pPr>
        <w:ind w:left="200" w:hanging="192"/>
        <w:spacing w:after="0"/>
        <w:tabs>
          <w:tab w:leader="none" w:pos="200" w:val="left"/>
        </w:tabs>
        <w:numPr>
          <w:ilvl w:val="0"/>
          <w:numId w:val="18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To be the maturity date for the Convertible Notes.</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8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cross-reference to the Indenture section containing events of default.</w:t>
      </w:r>
    </w:p>
    <w:p>
      <w:pPr>
        <w:spacing w:after="0" w:line="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8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cross-reference for Indenture section regarding adding guarantees with respect to the Notes.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1" w:name="page132"/>
    <w:bookmarkEnd w:id="131"/>
    <w:p>
      <w:pPr>
        <w:jc w:val="both"/>
        <w:ind w:left="1960" w:hanging="656"/>
        <w:spacing w:after="0" w:line="254" w:lineRule="auto"/>
        <w:tabs>
          <w:tab w:leader="none" w:pos="1960"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five Scheduled Trading Days promptly following any Repayment Event (as defined below), Counterparty (x) in the case of a Repayment Event resulting from the redemption of any Convertible Notes by Counterparty or from the repurchase of any Convertible Notes by Counterparty upon the occurrence of a “Fundamental Change” (as defined in the Indenture), shall notify Dealer in writing of such Repayment Event and (y) in the case of a Repayment Event not described in clause (x) above, may notify Dealer of such Repayment Event, in each case, including the number of Convertible Notes subject to such Repayment Event (any such notice, a “</w:t>
      </w:r>
      <w:r>
        <w:rPr>
          <w:rFonts w:ascii="Times New Roman" w:cs="Times New Roman" w:eastAsia="Times New Roman" w:hAnsi="Times New Roman"/>
          <w:sz w:val="17"/>
          <w:szCs w:val="17"/>
          <w:b w:val="1"/>
          <w:bCs w:val="1"/>
          <w:color w:val="auto"/>
        </w:rPr>
        <w:t>Repayment Notice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such Repayment Notice described in clause (y) above shall be effective unless it contains the representation by Counterparty set forth in Section 8(f) hereunder as of the date of such Repayment Notice [;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any “Repayment Notice” delivered to Dealer pursuant to the Base Call Option Confirmation shall be deemed to be a Repayment Notice pursuant to this Confirmation and the terms of such Repayment Notice shall apply,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to this Confirmation]</w:t>
      </w:r>
      <w:r>
        <w:rPr>
          <w:rFonts w:ascii="Times New Roman" w:cs="Times New Roman" w:eastAsia="Times New Roman" w:hAnsi="Times New Roman"/>
          <w:sz w:val="28"/>
          <w:szCs w:val="28"/>
          <w:color w:val="auto"/>
          <w:vertAlign w:val="superscript"/>
        </w:rPr>
        <w:t>56</w:t>
      </w:r>
      <w:r>
        <w:rPr>
          <w:rFonts w:ascii="Times New Roman" w:cs="Times New Roman" w:eastAsia="Times New Roman" w:hAnsi="Times New Roman"/>
          <w:sz w:val="17"/>
          <w:szCs w:val="17"/>
          <w:color w:val="auto"/>
        </w:rPr>
        <w:t>. Notwithstanding anything to the contrary in this Confirmation, the receipt by Dealer from Counterparty of any Repayment Notice shall constitute an Additional Termination Event as provided in this Section 9(i)(iv). Upon receipt of any such Repayment Notice, Dealer shall promptly designate an Exchange Business Day following receipt of such Repayment Notice (which in no event shall be earlier than the related settlement date for the relevant Repayment Event) as an Early Termination Date with respect to the portion of the Transaction corresponding to a number of Options (the “</w:t>
      </w:r>
      <w:r>
        <w:rPr>
          <w:rFonts w:ascii="Times New Roman" w:cs="Times New Roman" w:eastAsia="Times New Roman" w:hAnsi="Times New Roman"/>
          <w:sz w:val="17"/>
          <w:szCs w:val="17"/>
          <w:b w:val="1"/>
          <w:bCs w:val="1"/>
          <w:color w:val="auto"/>
        </w:rPr>
        <w:t>Repayment Options</w:t>
      </w:r>
      <w:r>
        <w:rPr>
          <w:rFonts w:ascii="Times New Roman" w:cs="Times New Roman" w:eastAsia="Times New Roman" w:hAnsi="Times New Roman"/>
          <w:sz w:val="17"/>
          <w:szCs w:val="17"/>
          <w:color w:val="auto"/>
        </w:rPr>
        <w:t>”) equal to the lesser of (A) the number of such Convertible Notes specified in such Repayment Notice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the number of Repayment Options (as defined in the Base Call Option Confirmation), if any, that relate to such Convertible Notes (and for purposes of determining whether any Options under this Confirmation or under the Base Call Option Confirmation will be among the Repayment Options hereunder or under, and as defined in, the Base Call Option Confirmation, the Convertible Notes specified in such Repayment Notice shall be allocated first to the Base Call Option Confirmation until all Options thereunder are exercised or terminated)]</w:t>
      </w:r>
      <w:r>
        <w:rPr>
          <w:rFonts w:ascii="Times New Roman" w:cs="Times New Roman" w:eastAsia="Times New Roman" w:hAnsi="Times New Roman"/>
          <w:sz w:val="28"/>
          <w:szCs w:val="28"/>
          <w:color w:val="auto"/>
          <w:vertAlign w:val="superscript"/>
        </w:rPr>
        <w:t>57</w:t>
      </w:r>
      <w:r>
        <w:rPr>
          <w:rFonts w:ascii="Times New Roman" w:cs="Times New Roman" w:eastAsia="Times New Roman" w:hAnsi="Times New Roman"/>
          <w:sz w:val="17"/>
          <w:szCs w:val="17"/>
          <w:color w:val="auto"/>
        </w:rPr>
        <w:t xml:space="preserve"> and (B) the Number of Options as of the date Dealer designates such Early Termination Date and, as of such date, the Number of Options shall be reduced by the number of Repayment Options. Any payment hereunder with respect to such termination (the “</w:t>
      </w:r>
      <w:r>
        <w:rPr>
          <w:rFonts w:ascii="Times New Roman" w:cs="Times New Roman" w:eastAsia="Times New Roman" w:hAnsi="Times New Roman"/>
          <w:sz w:val="17"/>
          <w:szCs w:val="17"/>
          <w:b w:val="1"/>
          <w:bCs w:val="1"/>
          <w:color w:val="auto"/>
        </w:rPr>
        <w:t>Repayment Unwind Payment</w:t>
      </w:r>
      <w:r>
        <w:rPr>
          <w:rFonts w:ascii="Times New Roman" w:cs="Times New Roman" w:eastAsia="Times New Roman" w:hAnsi="Times New Roman"/>
          <w:sz w:val="17"/>
          <w:szCs w:val="17"/>
          <w:color w:val="auto"/>
        </w:rPr>
        <w:t xml:space="preserve">”) shall be calculated pursuant to Section 6 of the Agreement as if (1) an Early Termination Date had been designated in respect of a Transaction having terms identical to the Transaction and a Number of Options equal to the number of Repayment Options, (2) Counterparty were the sole Affected Party with respect to such Additional Termination Event, (3) the terminated portion of the Transaction were the sole Affected Transaction, (4) the relevant Repayment Event and any conversions, adjustments, agreements, payments, deliveries or acquisitions by or on behalf of Counterparty leading thereto had not occurred, (5) no </w:t>
      </w:r>
      <w:r>
        <w:rPr>
          <w:rFonts w:ascii="Times New Roman" w:cs="Times New Roman" w:eastAsia="Times New Roman" w:hAnsi="Times New Roman"/>
          <w:sz w:val="17"/>
          <w:szCs w:val="17"/>
          <w:b w:val="1"/>
          <w:bCs w:val="1"/>
          <w:color w:val="auto"/>
        </w:rPr>
        <w:t xml:space="preserve">adjustments to the “Conversion Rate” </w:t>
      </w:r>
      <w:r>
        <w:rPr>
          <w:rFonts w:ascii="Times New Roman" w:cs="Times New Roman" w:eastAsia="Times New Roman" w:hAnsi="Times New Roman"/>
          <w:sz w:val="17"/>
          <w:szCs w:val="17"/>
          <w:color w:val="auto"/>
        </w:rPr>
        <w:t>(as defined in the Indenture)</w:t>
      </w:r>
      <w:r>
        <w:rPr>
          <w:rFonts w:ascii="Times New Roman" w:cs="Times New Roman" w:eastAsia="Times New Roman" w:hAnsi="Times New Roman"/>
          <w:sz w:val="17"/>
          <w:szCs w:val="17"/>
          <w:b w:val="1"/>
          <w:bCs w:val="1"/>
          <w:color w:val="auto"/>
        </w:rPr>
        <w:t xml:space="preserve"> have occurred pursuant to any Excluded Provision and</w:t>
      </w:r>
    </w:p>
    <w:p>
      <w:pPr>
        <w:spacing w:after="0" w:line="212" w:lineRule="exact"/>
        <w:rPr>
          <w:rFonts w:ascii="Times New Roman" w:cs="Times New Roman" w:eastAsia="Times New Roman" w:hAnsi="Times New Roman"/>
          <w:sz w:val="17"/>
          <w:szCs w:val="17"/>
          <w:color w:val="auto"/>
        </w:rPr>
      </w:pPr>
    </w:p>
    <w:p>
      <w:pPr>
        <w:jc w:val="both"/>
        <w:ind w:left="1960" w:hanging="8"/>
        <w:spacing w:after="0" w:line="227" w:lineRule="auto"/>
        <w:tabs>
          <w:tab w:leader="none" w:pos="2233" w:val="left"/>
        </w:tabs>
        <w:numPr>
          <w:ilvl w:val="1"/>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corresponding Convertible Notes remain outstanding as if the circumstances related to such Repayment Event had not occurred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in the event of a Repayment Event pursuant to Section [4.02]</w:t>
      </w:r>
      <w:r>
        <w:rPr>
          <w:rFonts w:ascii="Times New Roman" w:cs="Times New Roman" w:eastAsia="Times New Roman" w:hAnsi="Times New Roman"/>
          <w:sz w:val="29"/>
          <w:szCs w:val="29"/>
          <w:color w:val="auto"/>
          <w:vertAlign w:val="superscript"/>
        </w:rPr>
        <w:t>58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Indenture or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[4.03]</w:t>
      </w:r>
      <w:r>
        <w:rPr>
          <w:rFonts w:ascii="Times New Roman" w:cs="Times New Roman" w:eastAsia="Times New Roman" w:hAnsi="Times New Roman"/>
          <w:sz w:val="29"/>
          <w:szCs w:val="29"/>
          <w:color w:val="auto"/>
          <w:vertAlign w:val="superscript"/>
        </w:rPr>
        <w:t>59</w:t>
      </w:r>
      <w:r>
        <w:rPr>
          <w:rFonts w:ascii="Times New Roman" w:cs="Times New Roman" w:eastAsia="Times New Roman" w:hAnsi="Times New Roman"/>
          <w:sz w:val="18"/>
          <w:szCs w:val="18"/>
          <w:color w:val="auto"/>
        </w:rPr>
        <w:t xml:space="preserve"> of the Indenture, the Repayment Unwind Payment shall not be greater than (x) the number of Repayment Options multiplied by (y) the product of (A) the Applicable Percentage and (B) the excess of (I) the amount paid by the Counterparty per Convertible Note pursuant to the relevant sections of the Indenture over (II) the Synthetic Instrument Adjusted Issue Price determined by the Calculation Agent based on the date of payment of the relevant amounts to holders of the Convertible Note (the “</w:t>
      </w:r>
      <w:r>
        <w:rPr>
          <w:rFonts w:ascii="Times New Roman" w:cs="Times New Roman" w:eastAsia="Times New Roman" w:hAnsi="Times New Roman"/>
          <w:sz w:val="18"/>
          <w:szCs w:val="18"/>
          <w:b w:val="1"/>
          <w:bCs w:val="1"/>
          <w:color w:val="auto"/>
        </w:rPr>
        <w:t>Repayment Date</w:t>
      </w:r>
      <w:r>
        <w:rPr>
          <w:rFonts w:ascii="Times New Roman" w:cs="Times New Roman" w:eastAsia="Times New Roman" w:hAnsi="Times New Roman"/>
          <w:sz w:val="18"/>
          <w:szCs w:val="18"/>
          <w:color w:val="auto"/>
        </w:rPr>
        <w:t>”), as determined by the Calculation Agent in good faith and in a commercially reasonable manner. If the relevant Repayment Date is not listed in the Synthetic Instrument AIP Table, the amount in the preceding sentence shall be determined by the Calculation Agent by reference to the Synthetic Instrument AIP Table, using a linear interpolation between the lower and higher Synthetic Instrument Adjusted Issue Prices for the Repayment Dates immediately preceding and immediately following the relevant Repayment Date. “</w:t>
      </w:r>
      <w:r>
        <w:rPr>
          <w:rFonts w:ascii="Times New Roman" w:cs="Times New Roman" w:eastAsia="Times New Roman" w:hAnsi="Times New Roman"/>
          <w:sz w:val="18"/>
          <w:szCs w:val="18"/>
          <w:b w:val="1"/>
          <w:bCs w:val="1"/>
          <w:color w:val="auto"/>
        </w:rPr>
        <w:t>Repayment Event</w:t>
      </w:r>
      <w:r>
        <w:rPr>
          <w:rFonts w:ascii="Times New Roman" w:cs="Times New Roman" w:eastAsia="Times New Roman" w:hAnsi="Times New Roman"/>
          <w:sz w:val="18"/>
          <w:szCs w:val="18"/>
          <w:color w:val="auto"/>
        </w:rPr>
        <w:t>” means that (i) any Convertible Notes are repurchased (whether pursuant to Section [4.02]</w:t>
      </w:r>
      <w:r>
        <w:rPr>
          <w:rFonts w:ascii="Times New Roman" w:cs="Times New Roman" w:eastAsia="Times New Roman" w:hAnsi="Times New Roman"/>
          <w:sz w:val="29"/>
          <w:szCs w:val="29"/>
          <w:color w:val="auto"/>
          <w:vertAlign w:val="superscript"/>
        </w:rPr>
        <w:t>60</w:t>
      </w:r>
      <w:r>
        <w:rPr>
          <w:rFonts w:ascii="Times New Roman" w:cs="Times New Roman" w:eastAsia="Times New Roman" w:hAnsi="Times New Roman"/>
          <w:sz w:val="18"/>
          <w:szCs w:val="18"/>
          <w:color w:val="auto"/>
        </w:rPr>
        <w:t xml:space="preserve"> of the Indenture or Section [4.03]</w:t>
      </w:r>
      <w:r>
        <w:rPr>
          <w:rFonts w:ascii="Times New Roman" w:cs="Times New Roman" w:eastAsia="Times New Roman" w:hAnsi="Times New Roman"/>
          <w:sz w:val="29"/>
          <w:szCs w:val="29"/>
          <w:color w:val="auto"/>
          <w:vertAlign w:val="superscript"/>
        </w:rPr>
        <w:t>61</w:t>
      </w:r>
      <w:r>
        <w:rPr>
          <w:rFonts w:ascii="Times New Roman" w:cs="Times New Roman" w:eastAsia="Times New Roman" w:hAnsi="Times New Roman"/>
          <w:sz w:val="18"/>
          <w:szCs w:val="18"/>
          <w:color w:val="auto"/>
        </w:rPr>
        <w:t xml:space="preserve"> of the Indenture or otherwise) by Counterparty or any of its subsidiaries (including in connection with, or as a result of, a Fundamental Change (as defined in the Indenture), a redemption, a tender offer, exchange offer or similar transaction or for any other reason), (ii) any Convertible Notes are delivered to Counterparty in exchange for delivery of any property or assets of Counterparty or any of its subsidiaries (howsoever described), (iii) any principal of any of the Convertible Notes is repaid in full prior to the final maturity date of the Convertible Notes (other than upon acceleration of the Convertible Notes pursuant to Section [7.02]</w:t>
      </w:r>
      <w:r>
        <w:rPr>
          <w:rFonts w:ascii="Times New Roman" w:cs="Times New Roman" w:eastAsia="Times New Roman" w:hAnsi="Times New Roman"/>
          <w:sz w:val="29"/>
          <w:szCs w:val="29"/>
          <w:color w:val="auto"/>
          <w:vertAlign w:val="superscript"/>
        </w:rPr>
        <w:t>62</w:t>
      </w:r>
      <w:r>
        <w:rPr>
          <w:rFonts w:ascii="Times New Roman" w:cs="Times New Roman" w:eastAsia="Times New Roman" w:hAnsi="Times New Roman"/>
          <w:sz w:val="18"/>
          <w:szCs w:val="18"/>
          <w:color w:val="auto"/>
        </w:rPr>
        <w:t xml:space="preserve"> of the Indenture), or (iv) any Convertible Notes are exchanged by or for the benefit of the “Holders” (as such term is defined in the Indenture) thereof for any other securities of Counterparty or any of its affiliates (or any other property, or any combination thereof) pursuant to any exchange offer or similar transaction. For the avoidance of doubt, any conversion of Convertible Notes (whether into cash, Shares, a combination of cash and Shares or any “Reference Property” (as defined in the Indenture)) pursuant to the terms of the Indenture shall not constitute a Repayment Event. Counterparty acknowledges and agrees that if an Additional Termination Event has occurred under this Section 9(i)(iv), then any related Convertible Notes subject to a Repayment Event will be deemed to be cancelled and disregarded and no longer outstanding for all purposes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9" w:lineRule="exact"/>
        <w:rPr>
          <w:sz w:val="20"/>
          <w:szCs w:val="20"/>
          <w:color w:val="auto"/>
        </w:rPr>
      </w:pPr>
    </w:p>
    <w:p>
      <w:pPr>
        <w:ind w:left="200" w:hanging="192"/>
        <w:spacing w:after="0"/>
        <w:tabs>
          <w:tab w:leader="none" w:pos="200" w:val="left"/>
        </w:tabs>
        <w:numPr>
          <w:ilvl w:val="0"/>
          <w:numId w:val="18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 cross-reference to Indenture section permitting amendments without holder consent to conform the Indenture to the Description of Notes.</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8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cross-reference for Indenture section regarding amendments to irrevocably elect or eliminate a settlement method.</w:t>
      </w:r>
    </w:p>
    <w:p>
      <w:pPr>
        <w:spacing w:after="0" w:line="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8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cross-reference to Indenture section governing common stock change events.</w:t>
      </w:r>
    </w:p>
    <w:p>
      <w:pPr>
        <w:spacing w:after="0" w:line="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8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for additional capped call.</w:t>
      </w:r>
    </w:p>
    <w:p>
      <w:pPr>
        <w:spacing w:after="0" w:line="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8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for additional capped call</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ind w:left="1292" w:hanging="644"/>
        <w:spacing w:after="0"/>
        <w:tabs>
          <w:tab w:leader="none" w:pos="1292"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Amendments to Equity Definitions; Agreement</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952" w:hanging="656"/>
        <w:spacing w:after="0" w:line="282" w:lineRule="auto"/>
        <w:tabs>
          <w:tab w:leader="none" w:pos="1952"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11.2(e)(vii) of the Equity Definitions is hereby replaced in its entirety with the words “any other corporate event involving the Issuer that has a material effect on the theoretical value of the Shares or the Options.”</w:t>
      </w:r>
    </w:p>
    <w:p>
      <w:pPr>
        <w:spacing w:after="0" w:line="161" w:lineRule="exact"/>
        <w:rPr>
          <w:rFonts w:ascii="Times New Roman" w:cs="Times New Roman" w:eastAsia="Times New Roman" w:hAnsi="Times New Roman"/>
          <w:sz w:val="18"/>
          <w:szCs w:val="18"/>
          <w:color w:val="auto"/>
        </w:rPr>
      </w:pPr>
    </w:p>
    <w:p>
      <w:pPr>
        <w:jc w:val="both"/>
        <w:ind w:left="1952" w:hanging="656"/>
        <w:spacing w:after="0" w:line="261" w:lineRule="auto"/>
        <w:tabs>
          <w:tab w:leader="none" w:pos="1952"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12.6(a)(ii) of the Equity Definitions is hereby amended by (1) inserting “(1)” immediately following the word “means” in the first line thereof and (2) inserting immediately prior to the semi-colon at the end of subsection (B) thereof the following words: “or (2) the occurrence of any of the events specified in Section 5(a)(vii)(1) through (9) of the ISDA Master Agreement with respect to that Issuer”.</w:t>
      </w:r>
    </w:p>
    <w:p>
      <w:pPr>
        <w:spacing w:after="0" w:line="179" w:lineRule="exact"/>
        <w:rPr>
          <w:rFonts w:ascii="Times New Roman" w:cs="Times New Roman" w:eastAsia="Times New Roman" w:hAnsi="Times New Roman"/>
          <w:sz w:val="18"/>
          <w:szCs w:val="18"/>
          <w:color w:val="auto"/>
        </w:rPr>
      </w:pPr>
    </w:p>
    <w:p>
      <w:pPr>
        <w:ind w:left="1952" w:right="20" w:hanging="656"/>
        <w:spacing w:after="0" w:line="282" w:lineRule="auto"/>
        <w:tabs>
          <w:tab w:leader="none" w:pos="1952"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12.9(b)(i) of the Equity Definitions is hereby amended by (1) replacing “either party may elect” with “Dealer may elect” and (2) replacing “notice to the other party” with “notice to Counterparty” in the first sentence of such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56845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56" w:lineRule="exact"/>
        <w:rPr>
          <w:sz w:val="20"/>
          <w:szCs w:val="20"/>
          <w:color w:val="auto"/>
        </w:rPr>
      </w:pPr>
    </w:p>
    <w:p>
      <w:pPr>
        <w:ind w:left="192" w:hanging="192"/>
        <w:spacing w:after="0"/>
        <w:tabs>
          <w:tab w:leader="none" w:pos="192" w:val="left"/>
        </w:tabs>
        <w:numPr>
          <w:ilvl w:val="0"/>
          <w:numId w:val="18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 cross-reference to Indenture section governing repurchase upon a fundamental change.</w:t>
      </w:r>
    </w:p>
    <w:p>
      <w:pPr>
        <w:spacing w:after="0" w:line="1" w:lineRule="exact"/>
        <w:rPr>
          <w:rFonts w:ascii="Times New Roman" w:cs="Times New Roman" w:eastAsia="Times New Roman" w:hAnsi="Times New Roman"/>
          <w:sz w:val="28"/>
          <w:szCs w:val="28"/>
          <w:color w:val="auto"/>
          <w:vertAlign w:val="superscript"/>
        </w:rPr>
      </w:pPr>
    </w:p>
    <w:p>
      <w:pPr>
        <w:ind w:left="192" w:hanging="192"/>
        <w:spacing w:after="0" w:line="194" w:lineRule="auto"/>
        <w:tabs>
          <w:tab w:leader="none" w:pos="192" w:val="left"/>
        </w:tabs>
        <w:numPr>
          <w:ilvl w:val="0"/>
          <w:numId w:val="18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cross-reference to Indenture section governing optional redemption.</w:t>
      </w:r>
    </w:p>
    <w:p>
      <w:pPr>
        <w:spacing w:after="0" w:line="2" w:lineRule="exact"/>
        <w:rPr>
          <w:rFonts w:ascii="Times New Roman" w:cs="Times New Roman" w:eastAsia="Times New Roman" w:hAnsi="Times New Roman"/>
          <w:sz w:val="23"/>
          <w:szCs w:val="23"/>
          <w:color w:val="auto"/>
          <w:vertAlign w:val="superscript"/>
        </w:rPr>
      </w:pPr>
    </w:p>
    <w:p>
      <w:pPr>
        <w:ind w:left="192" w:hanging="192"/>
        <w:spacing w:after="0" w:line="194" w:lineRule="auto"/>
        <w:tabs>
          <w:tab w:leader="none" w:pos="192" w:val="left"/>
        </w:tabs>
        <w:numPr>
          <w:ilvl w:val="0"/>
          <w:numId w:val="18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cross-reference to Indenture section governing repurchase upon a fundamental change.</w:t>
      </w:r>
    </w:p>
    <w:p>
      <w:pPr>
        <w:spacing w:after="0" w:line="2" w:lineRule="exact"/>
        <w:rPr>
          <w:rFonts w:ascii="Times New Roman" w:cs="Times New Roman" w:eastAsia="Times New Roman" w:hAnsi="Times New Roman"/>
          <w:sz w:val="23"/>
          <w:szCs w:val="23"/>
          <w:color w:val="auto"/>
          <w:vertAlign w:val="superscript"/>
        </w:rPr>
      </w:pPr>
    </w:p>
    <w:p>
      <w:pPr>
        <w:ind w:left="192" w:hanging="192"/>
        <w:spacing w:after="0" w:line="194" w:lineRule="auto"/>
        <w:tabs>
          <w:tab w:leader="none" w:pos="192" w:val="left"/>
        </w:tabs>
        <w:numPr>
          <w:ilvl w:val="0"/>
          <w:numId w:val="18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cross-reference to Indenture section governing optional redemption.</w:t>
      </w:r>
    </w:p>
    <w:p>
      <w:pPr>
        <w:spacing w:after="0" w:line="2" w:lineRule="exact"/>
        <w:rPr>
          <w:rFonts w:ascii="Times New Roman" w:cs="Times New Roman" w:eastAsia="Times New Roman" w:hAnsi="Times New Roman"/>
          <w:sz w:val="23"/>
          <w:szCs w:val="23"/>
          <w:color w:val="auto"/>
          <w:vertAlign w:val="superscript"/>
        </w:rPr>
      </w:pPr>
    </w:p>
    <w:p>
      <w:pPr>
        <w:ind w:left="192" w:hanging="192"/>
        <w:spacing w:after="0" w:line="194" w:lineRule="auto"/>
        <w:tabs>
          <w:tab w:leader="none" w:pos="192" w:val="left"/>
        </w:tabs>
        <w:numPr>
          <w:ilvl w:val="0"/>
          <w:numId w:val="18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cross-reference to Indenture section governing acceleration of the Convertible Notes.</w:t>
      </w:r>
    </w:p>
    <w:p>
      <w:pPr>
        <w:spacing w:after="0" w:line="38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9" w:right="339" w:bottom="1440" w:gutter="0" w:footer="0" w:header="0"/>
        </w:sectPr>
      </w:pPr>
    </w:p>
    <w:bookmarkStart w:id="133" w:name="page134"/>
    <w:bookmarkEnd w:id="133"/>
    <w:p>
      <w:pPr>
        <w:jc w:val="both"/>
        <w:ind w:left="1960" w:hanging="656"/>
        <w:spacing w:after="0" w:line="266" w:lineRule="auto"/>
        <w:tabs>
          <w:tab w:leader="none" w:pos="196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12(a) of the Agreement is hereby amended by (1) deleting the phrase “or email” in the third line thereof and (2) deleting the phrase “or that communication is delivered (or attempted) or received, as applicable, after the close of business on a Local Business Day” in the final clause thereof.</w:t>
      </w:r>
    </w:p>
    <w:p>
      <w:pPr>
        <w:spacing w:after="0" w:line="17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Setoff.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party waives any and all rights it may have to setoff, whether arising under any agreement, applicable law or otherwise.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2" w:lineRule="auto"/>
        <w:tabs>
          <w:tab w:leader="none" w:pos="13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Alternative Calculations and Payment on Early Termination and on Certain Extraordinary Events</w:t>
      </w:r>
      <w:r>
        <w:rPr>
          <w:rFonts w:ascii="Times New Roman" w:cs="Times New Roman" w:eastAsia="Times New Roman" w:hAnsi="Times New Roman"/>
          <w:sz w:val="18"/>
          <w:szCs w:val="18"/>
          <w:color w:val="auto"/>
        </w:rPr>
        <w:t>. If (a) an Early Termination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as a result of an Event of Default or a Termination Event) occurs or is designated with respect to the Transaction or (b) the Transaction is cancelled or terminated upon the occurrence of an Extraordinary Event (except as a result of (i) a Nationalization, Insolvency or Merger Event in which the consideration to be paid to holders of Shares consists solely of cash, (ii) an Announcement Event, Merger Event or Tender Offer that is within Counterparty’s control, or (iii) an Event of Default in which Counterparty is the Defaulting Party or a Termination Event in which Counterparty is the Affected Party other than an Event of Default of the type described in Section 5(a)(iii), (v), (vi), (vii) or (viii) of the Agreement or a Termination Event of the type described in Section 5(b) of the Agreement, in each case that resulted from an event or events outside Counterparty’s control), and if Dealer would owe any amount to Counterparty pursuant to Section 6(d)(ii) of the Agreement or any Cancellation Amount pursuant to Article 12 of the Equity Definitions (any such amount, a “</w:t>
      </w:r>
      <w:r>
        <w:rPr>
          <w:rFonts w:ascii="Times New Roman" w:cs="Times New Roman" w:eastAsia="Times New Roman" w:hAnsi="Times New Roman"/>
          <w:sz w:val="18"/>
          <w:szCs w:val="18"/>
          <w:b w:val="1"/>
          <w:bCs w:val="1"/>
          <w:color w:val="auto"/>
        </w:rPr>
        <w:t>Payment Obligation</w:t>
      </w:r>
      <w:r>
        <w:rPr>
          <w:rFonts w:ascii="Times New Roman" w:cs="Times New Roman" w:eastAsia="Times New Roman" w:hAnsi="Times New Roman"/>
          <w:sz w:val="18"/>
          <w:szCs w:val="18"/>
          <w:color w:val="auto"/>
        </w:rPr>
        <w:t>”), then Dealer shall satisfy the Payment Obligation by the Share Termination Alternative (as defined below), unless (a) Counterparty gives irrevocable telephonic notice to Dealer, confirmed in writing within one Scheduled Trading Day, no later than 12:00 p.m. (New York City time) on the date of the Announcement Event, Merger Date, Tender Offer Date, Announcement Date (in the case of a Nationalization, Insolvency or Delisting), Early Termination Date or date of cancellation, as applicable, of its election that the Share Termination Alternative shall not apply, (b) Counterparty remakes the representation set forth in Section 8(f) as of the date of such election and (c) Dealer agrees, in its commercially reasonable discretion, to such election, in which case the provisions of Section 12.7 or Section 12.9 of the Equity Definitions, or the provisions of Section 6(d)(ii) of the Agreement, as the case may be, shall apply.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Share Termination Alternative:</w:t>
            </w: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If applicable, Dealer shall deliver to Counterparty the Share Termination Delivery Property on,</w:t>
            </w:r>
          </w:p>
        </w:tc>
      </w:tr>
      <w:tr>
        <w:trPr>
          <w:trHeight w:val="216"/>
        </w:trPr>
        <w:tc>
          <w:tcPr>
            <w:tcW w:w="4200" w:type="dxa"/>
            <w:vAlign w:val="bottom"/>
          </w:tcPr>
          <w:p>
            <w:pPr>
              <w:spacing w:after="0"/>
              <w:rPr>
                <w:sz w:val="18"/>
                <w:szCs w:val="18"/>
                <w:color w:val="auto"/>
              </w:rPr>
            </w:pP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 within a commercially reasonable period of time after, the date when the relevant Payment</w:t>
            </w:r>
          </w:p>
        </w:tc>
      </w:tr>
      <w:tr>
        <w:trPr>
          <w:trHeight w:val="216"/>
        </w:trPr>
        <w:tc>
          <w:tcPr>
            <w:tcW w:w="4200" w:type="dxa"/>
            <w:vAlign w:val="bottom"/>
          </w:tcPr>
          <w:p>
            <w:pPr>
              <w:spacing w:after="0"/>
              <w:rPr>
                <w:sz w:val="18"/>
                <w:szCs w:val="18"/>
                <w:color w:val="auto"/>
              </w:rPr>
            </w:pP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 would otherwise be due pursuant to Section 12.7 or 12.9 of the Equity Definitions</w:t>
            </w:r>
          </w:p>
        </w:tc>
      </w:tr>
      <w:tr>
        <w:trPr>
          <w:trHeight w:val="216"/>
        </w:trPr>
        <w:tc>
          <w:tcPr>
            <w:tcW w:w="4200" w:type="dxa"/>
            <w:vAlign w:val="bottom"/>
          </w:tcPr>
          <w:p>
            <w:pPr>
              <w:spacing w:after="0"/>
              <w:rPr>
                <w:sz w:val="18"/>
                <w:szCs w:val="18"/>
                <w:color w:val="auto"/>
              </w:rPr>
            </w:pP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 Section 6(d)(ii) and 6(e) of the Agreement, as applicable, in satisfaction of such Payment</w:t>
            </w:r>
          </w:p>
        </w:tc>
      </w:tr>
      <w:tr>
        <w:trPr>
          <w:trHeight w:val="234"/>
        </w:trPr>
        <w:tc>
          <w:tcPr>
            <w:tcW w:w="4200" w:type="dxa"/>
            <w:vAlign w:val="bottom"/>
          </w:tcPr>
          <w:p>
            <w:pPr>
              <w:spacing w:after="0"/>
              <w:rPr>
                <w:sz w:val="20"/>
                <w:szCs w:val="20"/>
                <w:color w:val="auto"/>
              </w:rPr>
            </w:pP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 in the manner reasonably requested by Counterparty free of payment.</w:t>
            </w:r>
          </w:p>
        </w:tc>
      </w:tr>
      <w:tr>
        <w:trPr>
          <w:trHeight w:val="414"/>
        </w:trPr>
        <w:tc>
          <w:tcPr>
            <w:tcW w:w="42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Share Termination Delivery Property:</w:t>
            </w: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number of Share Termination Delivery Units, as calculated by the Calculation Agent, equal</w:t>
            </w:r>
          </w:p>
        </w:tc>
      </w:tr>
      <w:tr>
        <w:trPr>
          <w:trHeight w:val="216"/>
        </w:trPr>
        <w:tc>
          <w:tcPr>
            <w:tcW w:w="4200" w:type="dxa"/>
            <w:vAlign w:val="bottom"/>
          </w:tcPr>
          <w:p>
            <w:pPr>
              <w:spacing w:after="0"/>
              <w:rPr>
                <w:sz w:val="18"/>
                <w:szCs w:val="18"/>
                <w:color w:val="auto"/>
              </w:rPr>
            </w:pP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the Payment Obligation divided by the Share Termination Unit Price.  The Calculation</w:t>
            </w:r>
          </w:p>
        </w:tc>
      </w:tr>
      <w:tr>
        <w:trPr>
          <w:trHeight w:val="216"/>
        </w:trPr>
        <w:tc>
          <w:tcPr>
            <w:tcW w:w="4200" w:type="dxa"/>
            <w:vAlign w:val="bottom"/>
          </w:tcPr>
          <w:p>
            <w:pPr>
              <w:spacing w:after="0"/>
              <w:rPr>
                <w:sz w:val="18"/>
                <w:szCs w:val="18"/>
                <w:color w:val="auto"/>
              </w:rPr>
            </w:pP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Agent shall adjust the Share Termination Delivery Property by replacing any fractional portion</w:t>
            </w:r>
          </w:p>
        </w:tc>
      </w:tr>
      <w:tr>
        <w:trPr>
          <w:trHeight w:val="216"/>
        </w:trPr>
        <w:tc>
          <w:tcPr>
            <w:tcW w:w="4200" w:type="dxa"/>
            <w:vAlign w:val="bottom"/>
          </w:tcPr>
          <w:p>
            <w:pPr>
              <w:spacing w:after="0"/>
              <w:rPr>
                <w:sz w:val="18"/>
                <w:szCs w:val="18"/>
                <w:color w:val="auto"/>
              </w:rPr>
            </w:pP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of a security therein with an amount of cash equal to the value of such fractional security based</w:t>
            </w:r>
          </w:p>
        </w:tc>
      </w:tr>
      <w:tr>
        <w:trPr>
          <w:trHeight w:val="234"/>
        </w:trPr>
        <w:tc>
          <w:tcPr>
            <w:tcW w:w="4200" w:type="dxa"/>
            <w:vAlign w:val="bottom"/>
          </w:tcPr>
          <w:p>
            <w:pPr>
              <w:spacing w:after="0"/>
              <w:rPr>
                <w:sz w:val="20"/>
                <w:szCs w:val="20"/>
                <w:color w:val="auto"/>
              </w:rPr>
            </w:pP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 the values used to calculate the Share Termination Unit Price.</w:t>
            </w:r>
          </w:p>
        </w:tc>
      </w:tr>
      <w:tr>
        <w:trPr>
          <w:trHeight w:val="557"/>
        </w:trPr>
        <w:tc>
          <w:tcPr>
            <w:tcW w:w="4200" w:type="dxa"/>
            <w:vAlign w:val="bottom"/>
          </w:tcPr>
          <w:p>
            <w:pPr>
              <w:spacing w:after="0"/>
              <w:rPr>
                <w:sz w:val="24"/>
                <w:szCs w:val="24"/>
                <w:color w:val="auto"/>
              </w:rPr>
            </w:pPr>
          </w:p>
        </w:tc>
        <w:tc>
          <w:tcPr>
            <w:tcW w:w="704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31</w:t>
            </w:r>
          </w:p>
        </w:tc>
      </w:tr>
      <w:tr>
        <w:trPr>
          <w:trHeight w:val="44"/>
        </w:trPr>
        <w:tc>
          <w:tcPr>
            <w:tcW w:w="4200" w:type="dxa"/>
            <w:vAlign w:val="bottom"/>
            <w:tcBorders>
              <w:bottom w:val="single" w:sz="8" w:color="auto"/>
            </w:tcBorders>
          </w:tcPr>
          <w:p>
            <w:pPr>
              <w:spacing w:after="0"/>
              <w:rPr>
                <w:sz w:val="3"/>
                <w:szCs w:val="3"/>
                <w:color w:val="auto"/>
              </w:rPr>
            </w:pPr>
          </w:p>
        </w:tc>
        <w:tc>
          <w:tcPr>
            <w:tcW w:w="70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134" w:name="page135"/>
    <w:bookmarkEnd w:id="134"/>
    <w:p>
      <w:pPr>
        <w:ind w:left="644"/>
        <w:spacing w:after="0"/>
        <w:rPr>
          <w:sz w:val="20"/>
          <w:szCs w:val="20"/>
          <w:color w:val="auto"/>
        </w:rPr>
      </w:pPr>
      <w:r>
        <w:rPr>
          <w:rFonts w:ascii="Times New Roman" w:cs="Times New Roman" w:eastAsia="Times New Roman" w:hAnsi="Times New Roman"/>
          <w:sz w:val="17"/>
          <w:szCs w:val="17"/>
          <w:color w:val="auto"/>
        </w:rPr>
        <w:t>Share Termination Unit Price:</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8"/>
          <w:szCs w:val="18"/>
          <w:color w:val="auto"/>
        </w:rPr>
        <w:t>The value to Dealer of property contained in one Share Termination Delivery Unit, as determined by the Calculation Agent in its discretion by commercially reasonable means and notified by the Calculation Agent to Dealer at the time of notification of the Payment Obligation. For the avoidance of doubt, the parties agree that in determining the Share Termination Delivery Unit Price the Calculation Agent may consider the purchase price paid in connection with the purchase of Share Termination Delivery Property.</w:t>
      </w:r>
    </w:p>
    <w:p>
      <w:pPr>
        <w:spacing w:after="0" w:line="187" w:lineRule="exact"/>
        <w:rPr>
          <w:sz w:val="20"/>
          <w:szCs w:val="20"/>
          <w:color w:val="auto"/>
        </w:rPr>
      </w:pPr>
    </w:p>
    <w:p>
      <w:pPr>
        <w:sectPr>
          <w:pgSz w:w="11900" w:h="16838" w:orient="portrait"/>
          <w:cols w:equalWidth="0" w:num="2">
            <w:col w:w="3004" w:space="720"/>
            <w:col w:w="6860"/>
          </w:cols>
          <w:pgMar w:left="976" w:top="121" w:right="339" w:bottom="1440" w:gutter="0" w:footer="0" w:header="0"/>
        </w:sectPr>
      </w:pPr>
    </w:p>
    <w:p>
      <w:pPr>
        <w:jc w:val="center"/>
        <w:ind w:left="644"/>
        <w:spacing w:after="0"/>
        <w:rPr>
          <w:sz w:val="20"/>
          <w:szCs w:val="20"/>
          <w:color w:val="auto"/>
        </w:rPr>
      </w:pPr>
      <w:r>
        <w:rPr>
          <w:rFonts w:ascii="Times New Roman" w:cs="Times New Roman" w:eastAsia="Times New Roman" w:hAnsi="Times New Roman"/>
          <w:sz w:val="17"/>
          <w:szCs w:val="17"/>
          <w:color w:val="auto"/>
        </w:rPr>
        <w:t>Share Termination Delivery Unit:</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Times New Roman" w:cs="Times New Roman" w:eastAsia="Times New Roman" w:hAnsi="Times New Roman"/>
          <w:sz w:val="18"/>
          <w:szCs w:val="18"/>
          <w:color w:val="auto"/>
        </w:rPr>
        <w:t>One Share or, if the Shares have changed into cash or any other property or the right to receive cash or any other property as the result of a Nationalization, Insolvency or Merger Event (any such cash or other property, the “</w:t>
      </w:r>
      <w:r>
        <w:rPr>
          <w:rFonts w:ascii="Times New Roman" w:cs="Times New Roman" w:eastAsia="Times New Roman" w:hAnsi="Times New Roman"/>
          <w:sz w:val="18"/>
          <w:szCs w:val="18"/>
          <w:b w:val="1"/>
          <w:bCs w:val="1"/>
          <w:color w:val="auto"/>
        </w:rPr>
        <w:t>Exchange Property</w:t>
      </w:r>
      <w:r>
        <w:rPr>
          <w:rFonts w:ascii="Times New Roman" w:cs="Times New Roman" w:eastAsia="Times New Roman" w:hAnsi="Times New Roman"/>
          <w:sz w:val="18"/>
          <w:szCs w:val="18"/>
          <w:color w:val="auto"/>
        </w:rPr>
        <w:t>”), a unit consisting of the type and amount of such Exchange Property received by a holder of one Share (without consideration of any requirement to pay cash or other consideration in lieu of fractional amounts of any securities) in such Nationalization, Insolvency or Merger Event, as determined by the Calculation Agent.</w:t>
      </w:r>
    </w:p>
    <w:p>
      <w:pPr>
        <w:spacing w:after="0" w:line="189" w:lineRule="exact"/>
        <w:rPr>
          <w:sz w:val="20"/>
          <w:szCs w:val="20"/>
          <w:color w:val="auto"/>
        </w:rPr>
      </w:pPr>
    </w:p>
    <w:p>
      <w:pPr>
        <w:sectPr>
          <w:pgSz w:w="11900" w:h="16838" w:orient="portrait"/>
          <w:cols w:equalWidth="0" w:num="2">
            <w:col w:w="3064" w:space="660"/>
            <w:col w:w="6860"/>
          </w:cols>
          <w:pgMar w:left="976" w:top="121" w:right="339" w:bottom="1440" w:gutter="0" w:footer="0" w:header="0"/>
          <w:type w:val="continuous"/>
        </w:sectPr>
      </w:pPr>
    </w:p>
    <w:p>
      <w:pPr>
        <w:ind w:left="644"/>
        <w:spacing w:after="0"/>
        <w:rPr>
          <w:sz w:val="20"/>
          <w:szCs w:val="20"/>
          <w:color w:val="auto"/>
        </w:rPr>
      </w:pPr>
      <w:r>
        <w:rPr>
          <w:rFonts w:ascii="Times New Roman" w:cs="Times New Roman" w:eastAsia="Times New Roman" w:hAnsi="Times New Roman"/>
          <w:sz w:val="18"/>
          <w:szCs w:val="18"/>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200" w:lineRule="exact"/>
        <w:rPr>
          <w:sz w:val="20"/>
          <w:szCs w:val="20"/>
          <w:color w:val="auto"/>
        </w:rPr>
      </w:pPr>
    </w:p>
    <w:p>
      <w:pPr>
        <w:sectPr>
          <w:pgSz w:w="11900" w:h="16838" w:orient="portrait"/>
          <w:cols w:equalWidth="0" w:num="2">
            <w:col w:w="3004" w:space="720"/>
            <w:col w:w="6860"/>
          </w:cols>
          <w:pgMar w:left="976" w:top="121" w:right="339" w:bottom="1440" w:gutter="0" w:footer="0" w:header="0"/>
          <w:type w:val="continuous"/>
        </w:sectPr>
      </w:pPr>
    </w:p>
    <w:p>
      <w:pPr>
        <w:spacing w:after="0" w:line="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7"/>
          <w:szCs w:val="17"/>
          <w:color w:val="auto"/>
        </w:rPr>
        <w:t>Other applicable provisions: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Share Termination Alternative is applicable, the provisions of Sections 9.8, 9.9 and 9.11 (as modified above) of the Equity Definitions and the provisions set forth opposite the caption “Representation and Agreement” in Section 2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Share Termination Alternative is applicable to the Transaction.</w:t>
      </w:r>
    </w:p>
    <w:p>
      <w:pPr>
        <w:spacing w:after="0" w:line="187" w:lineRule="exact"/>
        <w:rPr>
          <w:sz w:val="20"/>
          <w:szCs w:val="20"/>
          <w:color w:val="auto"/>
        </w:rPr>
      </w:pPr>
    </w:p>
    <w:p>
      <w:pPr>
        <w:sectPr>
          <w:pgSz w:w="11900" w:h="16838" w:orient="portrait"/>
          <w:cols w:equalWidth="0" w:num="2">
            <w:col w:w="3004" w:space="720"/>
            <w:col w:w="6860"/>
          </w:cols>
          <w:pgMar w:left="976" w:top="121" w:right="339" w:bottom="1440" w:gutter="0" w:footer="0" w:header="0"/>
          <w:type w:val="continuous"/>
        </w:sectPr>
      </w:pPr>
    </w:p>
    <w:p>
      <w:pPr>
        <w:jc w:val="both"/>
        <w:ind w:left="644" w:hanging="644"/>
        <w:spacing w:after="0" w:line="258" w:lineRule="auto"/>
        <w:tabs>
          <w:tab w:leader="none" w:pos="64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Waiver of Jury Trial</w:t>
      </w:r>
      <w:r>
        <w:rPr>
          <w:rFonts w:ascii="Times New Roman" w:cs="Times New Roman" w:eastAsia="Times New Roman" w:hAnsi="Times New Roman"/>
          <w:sz w:val="18"/>
          <w:szCs w:val="18"/>
          <w:color w:val="auto"/>
        </w:rPr>
        <w:t>. Each party waives, to the fullest extent permitted by applicable law, any right it may have to a trial by jury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181"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hereby agrees that if, in the good faith reasonable judgment of Dealer, the Shares (“</w:t>
      </w:r>
      <w:r>
        <w:rPr>
          <w:rFonts w:ascii="Times New Roman" w:cs="Times New Roman" w:eastAsia="Times New Roman" w:hAnsi="Times New Roman"/>
          <w:sz w:val="18"/>
          <w:szCs w:val="18"/>
          <w:b w:val="1"/>
          <w:bCs w:val="1"/>
          <w:color w:val="auto"/>
        </w:rPr>
        <w:t>Hedge Shares</w:t>
      </w:r>
      <w:r>
        <w:rPr>
          <w:rFonts w:ascii="Times New Roman" w:cs="Times New Roman" w:eastAsia="Times New Roman" w:hAnsi="Times New Roman"/>
          <w:sz w:val="18"/>
          <w:szCs w:val="18"/>
          <w:color w:val="auto"/>
        </w:rPr>
        <w:t>”) acquired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by Dealer for the purpose of hedging its obligations pursuant to the Transaction cannot be sold in the public market by Dealer without registration under the Securities Act, Counterparty shall, at its election, either (i) in order to allow Dealer to sell the Hedge Shares in a registered offering, make available to Dealer an effective registration statement under the Securities Act and enter into an agreement, in form and substance reasonably satisfactory to Dealer, substantially in the form of an underwriting agreement for a registered secondary offering;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enter into a private placement agreement substantially similar to private placement purchase agreements customary for private placements of equity securities, in form and substance reasonably satisfactory to Dealer (in which case, the Calculation Agent shall make any adjustments to the terms of the Transaction that are necessary, in its reasonable judgment, to compensate Dealer for any discount from the public market price of the Shares incurred on the sale of Hedge Shares in a private placement), or (iii) purchase the Hedge Shares from Dealer at the then-current market price on such Exchange Business Days, and in the amounts and at such time(s), requested by Dealer.</w:t>
      </w:r>
    </w:p>
    <w:p>
      <w:pPr>
        <w:spacing w:after="0" w:line="360"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type w:val="continuous"/>
        </w:sectPr>
      </w:pPr>
    </w:p>
    <w:bookmarkStart w:id="135" w:name="page136"/>
    <w:bookmarkEnd w:id="135"/>
    <w:p>
      <w:pPr>
        <w:jc w:val="both"/>
        <w:ind w:left="644" w:hanging="644"/>
        <w:spacing w:after="0" w:line="261" w:lineRule="auto"/>
        <w:tabs>
          <w:tab w:leader="none" w:pos="64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Disclosure</w:t>
      </w:r>
      <w:r>
        <w:rPr>
          <w:rFonts w:ascii="Times New Roman" w:cs="Times New Roman" w:eastAsia="Times New Roman" w:hAnsi="Times New Roman"/>
          <w:sz w:val="18"/>
          <w:szCs w:val="18"/>
          <w:color w:val="auto"/>
        </w:rPr>
        <w:t>. Effective from the date of commencement of discussions concerning the Transaction, Counterparty, Dealer, and 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respective employees, representatives, or other agents may disclose to any and all persons, without limitation of any kind, the tax treatment and tax structure of the Transaction and all materials of any kind (including opinions or other tax analyses) that are provided to Counterparty or Dealer relating to such tax treatment and tax structure.</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Right to Extend</w:t>
      </w:r>
      <w:r>
        <w:rPr>
          <w:rFonts w:ascii="Times New Roman" w:cs="Times New Roman" w:eastAsia="Times New Roman" w:hAnsi="Times New Roman"/>
          <w:sz w:val="18"/>
          <w:szCs w:val="18"/>
          <w:color w:val="auto"/>
        </w:rPr>
        <w:t>. Dealer may postpone or add, in whole or in part, any Valid Day or Valid Days during the Settlement Averaging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any other date of valuation, payment or delivery by Dealer, with respect to some or all of the Options hereunder, if Dealer reasonably determines, in its commercially reasonable judgment (in the case of clause (i) below) or based on the advice of counsel (in the case of clause (ii) below), that such action is reasonably necessary or appropriate (i) to preserve Dealer’s commercially reasonable hedging or hedge unwind activity hereunder in light of existing liquidity conditions or (ii) to enable Dealer to effect transactions with respect to Shares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applicable to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policies and procedures have been adopted by Dealer in good faith and are generally applicable in similar situations and applied in a non-discriminatory manner;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 such Valid Day or any other date of valuation, payment or delivery may be postponed or added more than 60 Valid Days after the original Valid Day or any other date of valuation, payment or delivery, as the case may be.</w:t>
      </w:r>
    </w:p>
    <w:p>
      <w:pPr>
        <w:spacing w:after="0" w:line="191"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Status of Claims in Bankruptcy</w:t>
      </w:r>
      <w:r>
        <w:rPr>
          <w:rFonts w:ascii="Times New Roman" w:cs="Times New Roman" w:eastAsia="Times New Roman" w:hAnsi="Times New Roman"/>
          <w:sz w:val="18"/>
          <w:szCs w:val="18"/>
          <w:color w:val="auto"/>
        </w:rPr>
        <w:t>. Dealer acknowledges and agrees that this Confirmation is not intended to convey to Dealer rights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Counterparty with respect to the Transaction that are senior to the claims of common stockholders of Counterparty in any United States bankruptcy proceedings of Counterparty;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limit or shall be deemed to limit Dealer’s right to pursue remedies in the event of a breach by Counterparty of its obligations and agreements with respect to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nothing herein shall limit or shall be deemed to limit Dealer’s rights in respect of any transactions other than the Transaction.</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57" w:lineRule="auto"/>
        <w:tabs>
          <w:tab w:leader="none" w:pos="64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Securities Contract; Swap Agreement</w:t>
      </w:r>
      <w:r>
        <w:rPr>
          <w:rFonts w:ascii="Times New Roman" w:cs="Times New Roman" w:eastAsia="Times New Roman" w:hAnsi="Times New Roman"/>
          <w:sz w:val="18"/>
          <w:szCs w:val="18"/>
          <w:color w:val="auto"/>
        </w:rPr>
        <w:t>. The parties hereto intend for (i) the Transaction to be a “securities contract” and a “swap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as defined in the Bankruptcy Code,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182"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Notice of Certain Other Events</w:t>
      </w:r>
      <w:r>
        <w:rPr>
          <w:rFonts w:ascii="Times New Roman" w:cs="Times New Roman" w:eastAsia="Times New Roman" w:hAnsi="Times New Roman"/>
          <w:sz w:val="18"/>
          <w:szCs w:val="18"/>
          <w:color w:val="auto"/>
        </w:rPr>
        <w:t>. Counterparty covenants and agrees that:</w:t>
      </w:r>
    </w:p>
    <w:p>
      <w:pPr>
        <w:spacing w:after="0" w:line="227" w:lineRule="exact"/>
        <w:rPr>
          <w:rFonts w:ascii="Times New Roman" w:cs="Times New Roman" w:eastAsia="Times New Roman" w:hAnsi="Times New Roman"/>
          <w:sz w:val="18"/>
          <w:szCs w:val="18"/>
          <w:color w:val="auto"/>
        </w:rPr>
      </w:pPr>
    </w:p>
    <w:p>
      <w:pPr>
        <w:jc w:val="both"/>
        <w:ind w:left="1304" w:hanging="656"/>
        <w:spacing w:after="0" w:line="258" w:lineRule="auto"/>
        <w:tabs>
          <w:tab w:leader="none" w:pos="1304"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as reasonably practicable following the public announcement of the results of any election by the holders of Shares with respect to the consideration due upon consummation of any Merger Event, Counterparty shall give Dealer written notice of the weighted average of the types and amounts of consideration received by holders of Shares upon consummation of such Merger Event (the date of such notification, the “</w:t>
      </w:r>
      <w:r>
        <w:rPr>
          <w:rFonts w:ascii="Times New Roman" w:cs="Times New Roman" w:eastAsia="Times New Roman" w:hAnsi="Times New Roman"/>
          <w:sz w:val="18"/>
          <w:szCs w:val="18"/>
          <w:b w:val="1"/>
          <w:bCs w:val="1"/>
          <w:color w:val="auto"/>
        </w:rPr>
        <w:t>Consideration Notification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Consideration Notification Date be later than the date on which such Merger Event is consummated; and</w:t>
      </w:r>
    </w:p>
    <w:p>
      <w:pPr>
        <w:spacing w:after="0" w:line="355"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9" w:right="339" w:bottom="1440" w:gutter="0" w:footer="0" w:header="0"/>
        </w:sectPr>
      </w:pPr>
    </w:p>
    <w:bookmarkStart w:id="136" w:name="page137"/>
    <w:bookmarkEnd w:id="136"/>
    <w:p>
      <w:pPr>
        <w:jc w:val="both"/>
        <w:ind w:left="1960" w:hanging="656"/>
        <w:spacing w:after="0" w:line="258" w:lineRule="auto"/>
        <w:tabs>
          <w:tab w:leader="none" w:pos="196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Counterparty shall give Dealer commercially reasonable advance (but in no event less than one Exchange Business Day) written notice of the section or sections of the Indenture and, if applicable, the formula therein, pursuant to which any adjustment will be made to the Convertible Notes in connection with any Potential Adjustment Event, Merger Event or Tender Offer and (B) promptly following any such adjustment, Counterparty shall give Dealer written notice of the details of such adjustment.</w:t>
      </w:r>
    </w:p>
    <w:p>
      <w:pPr>
        <w:spacing w:after="0" w:line="181"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Wall Street Transparency and Accountability Act</w:t>
      </w:r>
      <w:r>
        <w:rPr>
          <w:rFonts w:ascii="Times New Roman" w:cs="Times New Roman" w:eastAsia="Times New Roman" w:hAnsi="Times New Roman"/>
          <w:sz w:val="18"/>
          <w:szCs w:val="18"/>
          <w:color w:val="auto"/>
        </w:rPr>
        <w:t>. In connection with Section 739 of the Wall Street Transparency and Accountability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2010 (“</w:t>
      </w:r>
      <w:r>
        <w:rPr>
          <w:rFonts w:ascii="Times New Roman" w:cs="Times New Roman" w:eastAsia="Times New Roman" w:hAnsi="Times New Roman"/>
          <w:sz w:val="18"/>
          <w:szCs w:val="18"/>
          <w:b w:val="1"/>
          <w:bCs w:val="1"/>
          <w:color w:val="auto"/>
        </w:rPr>
        <w:t>WSTAA</w:t>
      </w:r>
      <w:r>
        <w:rPr>
          <w:rFonts w:ascii="Times New Roman" w:cs="Times New Roman" w:eastAsia="Times New Roman" w:hAnsi="Times New Roman"/>
          <w:sz w:val="18"/>
          <w:szCs w:val="18"/>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182"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Agreements and Acknowledgements Regarding Hedging</w:t>
      </w:r>
      <w:r>
        <w:rPr>
          <w:rFonts w:ascii="Times New Roman" w:cs="Times New Roman" w:eastAsia="Times New Roman" w:hAnsi="Times New Roman"/>
          <w:sz w:val="18"/>
          <w:szCs w:val="18"/>
          <w:color w:val="auto"/>
        </w:rPr>
        <w:t>. Counterparty understands, acknowledges and agrees that: (A) at any time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prior to the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39" w:lineRule="auto"/>
        <w:tabs>
          <w:tab w:leader="none" w:pos="13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Early Unwind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event the sale of the [“Firm Securities”]</w:t>
      </w:r>
      <w:r>
        <w:rPr>
          <w:rFonts w:ascii="Times New Roman" w:cs="Times New Roman" w:eastAsia="Times New Roman" w:hAnsi="Times New Roman"/>
          <w:sz w:val="29"/>
          <w:szCs w:val="29"/>
          <w:color w:val="auto"/>
          <w:vertAlign w:val="superscript"/>
        </w:rPr>
        <w:t>63</w:t>
      </w:r>
      <w:r>
        <w:rPr>
          <w:rFonts w:ascii="Times New Roman" w:cs="Times New Roman" w:eastAsia="Times New Roman" w:hAnsi="Times New Roman"/>
          <w:sz w:val="18"/>
          <w:szCs w:val="18"/>
          <w:color w:val="auto"/>
        </w:rPr>
        <w:t>[“Option Securities”]</w:t>
      </w:r>
      <w:r>
        <w:rPr>
          <w:rFonts w:ascii="Times New Roman" w:cs="Times New Roman" w:eastAsia="Times New Roman" w:hAnsi="Times New Roman"/>
          <w:sz w:val="29"/>
          <w:szCs w:val="29"/>
          <w:color w:val="auto"/>
          <w:vertAlign w:val="superscript"/>
        </w:rPr>
        <w:t>64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the Purchase Agreement)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consummated with the Initial Purchasers for any reason, or Counterparty fails to deliver to Dealer opinions of counsel as required pursuant to Section 9(a), in each case by 5:00 p.m. (New York City time) on the Premium Payment Date, or such later date as agreed upon by the parties (the Premium Payment Date or such later date the “</w:t>
      </w:r>
      <w:r>
        <w:rPr>
          <w:rFonts w:ascii="Times New Roman" w:cs="Times New Roman" w:eastAsia="Times New Roman" w:hAnsi="Times New Roman"/>
          <w:sz w:val="18"/>
          <w:szCs w:val="18"/>
          <w:b w:val="1"/>
          <w:bCs w:val="1"/>
          <w:color w:val="auto"/>
        </w:rPr>
        <w:t>Early Unwind Date</w:t>
      </w:r>
      <w:r>
        <w:rPr>
          <w:rFonts w:ascii="Times New Roman" w:cs="Times New Roman" w:eastAsia="Times New Roman" w:hAnsi="Times New Roman"/>
          <w:sz w:val="18"/>
          <w:szCs w:val="18"/>
          <w:color w:val="auto"/>
        </w:rPr>
        <w:t>”), the Transaction shall automatically terminate (the “</w:t>
      </w:r>
      <w:r>
        <w:rPr>
          <w:rFonts w:ascii="Times New Roman" w:cs="Times New Roman" w:eastAsia="Times New Roman" w:hAnsi="Times New Roman"/>
          <w:sz w:val="18"/>
          <w:szCs w:val="18"/>
          <w:b w:val="1"/>
          <w:bCs w:val="1"/>
          <w:color w:val="auto"/>
        </w:rPr>
        <w:t>Early Unwind</w:t>
      </w:r>
      <w:r>
        <w:rPr>
          <w:rFonts w:ascii="Times New Roman" w:cs="Times New Roman" w:eastAsia="Times New Roman" w:hAnsi="Times New Roman"/>
          <w:sz w:val="18"/>
          <w:szCs w:val="18"/>
          <w:color w:val="auto"/>
        </w:rPr>
        <w:t>”),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56845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93" w:lineRule="exact"/>
        <w:rPr>
          <w:sz w:val="20"/>
          <w:szCs w:val="20"/>
          <w:color w:val="auto"/>
        </w:rPr>
      </w:pPr>
    </w:p>
    <w:p>
      <w:pPr>
        <w:ind w:left="200" w:hanging="192"/>
        <w:spacing w:after="0"/>
        <w:tabs>
          <w:tab w:leader="none" w:pos="200" w:val="left"/>
        </w:tabs>
        <w:numPr>
          <w:ilvl w:val="0"/>
          <w:numId w:val="19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for Base Call Option Confirmation.</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9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Additional Call Option Confirmation.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jc w:val="both"/>
        <w:ind w:left="1300" w:hanging="644"/>
        <w:spacing w:after="0" w:line="258" w:lineRule="auto"/>
        <w:tabs>
          <w:tab w:leader="none" w:pos="13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Payment by Counterparty</w:t>
      </w:r>
      <w:r>
        <w:rPr>
          <w:rFonts w:ascii="Times New Roman" w:cs="Times New Roman" w:eastAsia="Times New Roman" w:hAnsi="Times New Roman"/>
          <w:sz w:val="18"/>
          <w:szCs w:val="18"/>
          <w:color w:val="auto"/>
        </w:rPr>
        <w:t>. In the event that, following payment of the Premium, (i) an Early Termination Date occurs or is designated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the Transaction as a result of a 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Other Adjustments Pursuant to the Equity Definitions</w:t>
      </w:r>
      <w:r>
        <w:rPr>
          <w:rFonts w:ascii="Times New Roman" w:cs="Times New Roman" w:eastAsia="Times New Roman" w:hAnsi="Times New Roman"/>
          <w:sz w:val="18"/>
          <w:szCs w:val="18"/>
          <w:color w:val="auto"/>
        </w:rPr>
        <w:t>. Notwithstanding anything to the contrary in this Confirmation, solely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purpose of adjusting the Cap Price, the terms “Potential Adjustment Event,” “Merger Event,” and “Tender Offer” shall each have the meanings assigned to such term in the Equity Definitions (as amended by Section 9(j)(i) or, if applicable, by the definition of “Announcement Event”, and provided that for purposes of the foregoing (1) Section 12.1(d) of the Equity Definitions shall be amended by (x) replacing “10%” with “25%” in the third line thereof and (y) replacing the words “voting shares of the Issuer” in the fourth line thereof with the word “Shares” and (2) Section 12.1(e) of the Equity Definitions is hereby amended by replacing the words “voting shares” in the first line thereof with the word “Shares”), and upon the occurrence of a Merger Date, the occurrence of a Tender Offer Date, or declaration by Counterparty of the terms of any Potential Adjustment Event, respectively, as such terms are defined in the Equity Definitions, the Calculation Agent shall determine whether such occurrence or declaration, as applicable, has had a material economic effect on the Transaction and, if so, shall adjust the Cap Price as the Calculation Agent determines appropriate to account for the economic effect on the Transaction of such occurrence or declaration,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Cap Price be less than the Strike Price. Solely for purposes of this Section 9(x) “Extraordinary Dividend” means any cash dividend on the Shares.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Insert preferred form of U.S. QFC Stay Rule language for each Dealer, if applicable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Matters</w:t>
      </w:r>
      <w:r>
        <w:rPr>
          <w:rFonts w:ascii="Times New Roman" w:cs="Times New Roman" w:eastAsia="Times New Roman" w:hAnsi="Times New Roman"/>
          <w:sz w:val="18"/>
          <w:szCs w:val="18"/>
          <w:i w:val="1"/>
          <w:iCs w:val="1"/>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line="284" w:lineRule="auto"/>
        <w:tabs>
          <w:tab w:leader="none" w:pos="196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Payee Tax Representations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purpose of Section 3(f) of the Agreement, the parties make the following representations,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w:t>
      </w:r>
    </w:p>
    <w:p>
      <w:pPr>
        <w:spacing w:after="0" w:line="160" w:lineRule="exact"/>
        <w:rPr>
          <w:rFonts w:ascii="Times New Roman" w:cs="Times New Roman" w:eastAsia="Times New Roman" w:hAnsi="Times New Roman"/>
          <w:sz w:val="18"/>
          <w:szCs w:val="18"/>
          <w:color w:val="auto"/>
        </w:rPr>
      </w:pPr>
    </w:p>
    <w:p>
      <w:pPr>
        <w:jc w:val="both"/>
        <w:ind w:left="2600" w:hanging="648"/>
        <w:spacing w:after="0" w:line="261" w:lineRule="auto"/>
        <w:tabs>
          <w:tab w:leader="none" w:pos="2600" w:val="left"/>
        </w:tabs>
        <w:numPr>
          <w:ilvl w:val="2"/>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a corporation created or organized under the laws of Delaware and a “U.S. person” (as that term is used in Treasury Regulation section 1.1441-4(a)(3)(ii)) for U.S. federal income tax purposes. It is “exempt” within the meaning of Treasury Regulation section 1.6049-4(c) from information reporting on U.S. Internal Revenue Service Form 1099 and backup withholding.</w:t>
      </w:r>
    </w:p>
    <w:p>
      <w:pPr>
        <w:spacing w:after="0" w:line="179" w:lineRule="exact"/>
        <w:rPr>
          <w:rFonts w:ascii="Times New Roman" w:cs="Times New Roman" w:eastAsia="Times New Roman" w:hAnsi="Times New Roman"/>
          <w:sz w:val="18"/>
          <w:szCs w:val="18"/>
          <w:color w:val="auto"/>
        </w:rPr>
      </w:pPr>
    </w:p>
    <w:p>
      <w:pPr>
        <w:jc w:val="both"/>
        <w:ind w:left="2600" w:hanging="648"/>
        <w:spacing w:after="0" w:line="265" w:lineRule="auto"/>
        <w:tabs>
          <w:tab w:leader="none" w:pos="2600" w:val="left"/>
        </w:tabs>
        <w:numPr>
          <w:ilvl w:val="2"/>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is a corporation created or organized in the United States or under the laws of the United States and a “U.S. person” (as that term is used in Treasury Regulation section 1.1441-4(a)(3)(ii)) for U.S. federal income tax purposes. It is “exempt” within the meaning of Treasury Regulation section 1.6049-4(c) from information reporting on U.S. Internal Revenue Service Form 1099 and backup withholding.]</w:t>
      </w:r>
      <w:r>
        <w:rPr>
          <w:rFonts w:ascii="Times New Roman" w:cs="Times New Roman" w:eastAsia="Times New Roman" w:hAnsi="Times New Roman"/>
          <w:sz w:val="29"/>
          <w:szCs w:val="29"/>
          <w:color w:val="auto"/>
          <w:vertAlign w:val="superscript"/>
        </w:rPr>
        <w:t>65</w:t>
      </w:r>
    </w:p>
    <w:p>
      <w:pPr>
        <w:spacing w:after="0" w:line="2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Forms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purpose of Section 4(a)(i) of the Agreement:</w:t>
      </w:r>
    </w:p>
    <w:p>
      <w:pPr>
        <w:spacing w:after="0" w:line="227" w:lineRule="exact"/>
        <w:rPr>
          <w:rFonts w:ascii="Times New Roman" w:cs="Times New Roman" w:eastAsia="Times New Roman" w:hAnsi="Times New Roman"/>
          <w:sz w:val="18"/>
          <w:szCs w:val="18"/>
          <w:color w:val="auto"/>
        </w:rPr>
      </w:pPr>
    </w:p>
    <w:p>
      <w:pPr>
        <w:jc w:val="both"/>
        <w:ind w:left="2600" w:hanging="648"/>
        <w:spacing w:after="0" w:line="261" w:lineRule="auto"/>
        <w:tabs>
          <w:tab w:leader="none" w:pos="2600" w:val="left"/>
        </w:tabs>
        <w:numPr>
          <w:ilvl w:val="2"/>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provide Dealer with a valid and duly executed U.S. Internal Revenue Service Form W-9, or any successor thereto, (i) on or before the date of execution of this Confirmation, (ii) promptly upon reasonable demand by Dealer and (iii) promptly upon learning that any such tax form previously provided by Counterparty has become obsolete or incorrect.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156845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200" w:hanging="192"/>
        <w:spacing w:after="0"/>
        <w:tabs>
          <w:tab w:leader="none" w:pos="200" w:val="left"/>
        </w:tabs>
        <w:numPr>
          <w:ilvl w:val="0"/>
          <w:numId w:val="19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Update for specific Dealers.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8" w:name="page139"/>
    <w:bookmarkEnd w:id="138"/>
    <w:p>
      <w:pPr>
        <w:jc w:val="both"/>
        <w:ind w:left="2592" w:hanging="648"/>
        <w:spacing w:after="0" w:line="265" w:lineRule="auto"/>
        <w:tabs>
          <w:tab w:leader="none" w:pos="2592" w:val="left"/>
        </w:tabs>
        <w:numPr>
          <w:ilvl w:val="2"/>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shall provide Counterparty with a valid and duly executed U.S. Internal Revenue Service Form W-9, or any successor thereto, (i) on or before the date of execution of this Confirmation, (ii) promptly upon reasonable demand by Counterparty and (iii) promptly upon learning that any such tax form previously provided by Dealer has become obsolete or incorrect.]</w:t>
      </w:r>
      <w:r>
        <w:rPr>
          <w:rFonts w:ascii="Times New Roman" w:cs="Times New Roman" w:eastAsia="Times New Roman" w:hAnsi="Times New Roman"/>
          <w:sz w:val="29"/>
          <w:szCs w:val="29"/>
          <w:color w:val="auto"/>
          <w:vertAlign w:val="superscript"/>
        </w:rPr>
        <w:t>66</w:t>
      </w:r>
    </w:p>
    <w:p>
      <w:pPr>
        <w:spacing w:after="0" w:line="24" w:lineRule="exact"/>
        <w:rPr>
          <w:rFonts w:ascii="Times New Roman" w:cs="Times New Roman" w:eastAsia="Times New Roman" w:hAnsi="Times New Roman"/>
          <w:sz w:val="18"/>
          <w:szCs w:val="18"/>
          <w:color w:val="auto"/>
        </w:rPr>
      </w:pPr>
    </w:p>
    <w:p>
      <w:pPr>
        <w:jc w:val="both"/>
        <w:ind w:left="1952" w:hanging="656"/>
        <w:spacing w:after="0" w:line="256" w:lineRule="auto"/>
        <w:tabs>
          <w:tab w:leader="none" w:pos="1952"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Foreign Account Tax Compliance Ac</w:t>
      </w:r>
      <w:r>
        <w:rPr>
          <w:rFonts w:ascii="Times New Roman" w:cs="Times New Roman" w:eastAsia="Times New Roman" w:hAnsi="Times New Roman"/>
          <w:sz w:val="18"/>
          <w:szCs w:val="18"/>
          <w:color w:val="auto"/>
        </w:rPr>
        <w:t>t. “Indemnifiable Tax”, as defined in Section 14 of the Agreement, shall not include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federal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 w:cs="Times New Roman" w:eastAsia="Times New Roman" w:hAnsi="Times New Roman"/>
          <w:sz w:val="18"/>
          <w:szCs w:val="18"/>
          <w:b w:val="1"/>
          <w:bCs w:val="1"/>
          <w:color w:val="auto"/>
        </w:rPr>
        <w:t>FATCA Withholding Tax</w:t>
      </w:r>
      <w:r>
        <w:rPr>
          <w:rFonts w:ascii="Times New Roman" w:cs="Times New Roman" w:eastAsia="Times New Roman" w:hAnsi="Times New Roman"/>
          <w:sz w:val="18"/>
          <w:szCs w:val="18"/>
          <w:color w:val="auto"/>
        </w:rPr>
        <w:t>”). For the avoidance of doubt, a FATCA Withholding Tax is a Tax the deduction or withholding of which is required by applicable law for the purposes of Section 2(d) of the Agreement.</w:t>
      </w:r>
    </w:p>
    <w:p>
      <w:pPr>
        <w:spacing w:after="0" w:line="182" w:lineRule="exact"/>
        <w:rPr>
          <w:rFonts w:ascii="Times New Roman" w:cs="Times New Roman" w:eastAsia="Times New Roman" w:hAnsi="Times New Roman"/>
          <w:sz w:val="18"/>
          <w:szCs w:val="18"/>
          <w:color w:val="auto"/>
        </w:rPr>
      </w:pPr>
    </w:p>
    <w:p>
      <w:pPr>
        <w:jc w:val="both"/>
        <w:ind w:left="1952" w:hanging="656"/>
        <w:spacing w:after="0" w:line="256" w:lineRule="auto"/>
        <w:tabs>
          <w:tab w:leader="none" w:pos="1952"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871(m) Protocol</w:t>
      </w:r>
      <w:r>
        <w:rPr>
          <w:rFonts w:ascii="Times New Roman" w:cs="Times New Roman" w:eastAsia="Times New Roman" w:hAnsi="Times New Roman"/>
          <w:sz w:val="18"/>
          <w:szCs w:val="18"/>
          <w:color w:val="auto"/>
        </w:rPr>
        <w:t>. Dealer and Counterparty hereby agree that this Agreement shall be treated as a Covered Master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(as that term is defined in the 2015 Section 871(m) Protocol published by the International Swaps and Derivatives Association, Inc. on November 2, 2015, as may be amended or modified from time to time (the “</w:t>
      </w:r>
      <w:r>
        <w:rPr>
          <w:rFonts w:ascii="Times New Roman" w:cs="Times New Roman" w:eastAsia="Times New Roman" w:hAnsi="Times New Roman"/>
          <w:sz w:val="18"/>
          <w:szCs w:val="18"/>
          <w:b w:val="1"/>
          <w:bCs w:val="1"/>
          <w:color w:val="auto"/>
        </w:rPr>
        <w:t>2015 Section 871(m)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Protocol</w:t>
      </w:r>
      <w:r>
        <w:rPr>
          <w:rFonts w:ascii="Times New Roman" w:cs="Times New Roman" w:eastAsia="Times New Roman" w:hAnsi="Times New Roman"/>
          <w:sz w:val="18"/>
          <w:szCs w:val="18"/>
          <w:color w:val="auto"/>
        </w:rPr>
        <w:t>”)) and this Agreement shall be deemed to have been amended in accordance with the modifications specified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Attachment to the 2015 Section 871(m) Protocol. If there is any inconsistency between this provision and a provision in any other agreement executed between the parties, this provision shall prevail unless such other agreement expressly overrides the provisions of the 2015 Section 871(m) Protocol.</w:t>
      </w:r>
    </w:p>
    <w:p>
      <w:pPr>
        <w:spacing w:after="0" w:line="182"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additional Dealer boilerplate, if applicable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99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215900</wp:posOffset>
            </wp:positionV>
            <wp:extent cx="156845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322" w:lineRule="exact"/>
        <w:rPr>
          <w:sz w:val="20"/>
          <w:szCs w:val="20"/>
          <w:color w:val="auto"/>
        </w:rPr>
      </w:pPr>
    </w:p>
    <w:p>
      <w:pPr>
        <w:ind w:left="192" w:hanging="192"/>
        <w:spacing w:after="0"/>
        <w:tabs>
          <w:tab w:leader="none" w:pos="192" w:val="left"/>
        </w:tabs>
        <w:numPr>
          <w:ilvl w:val="0"/>
          <w:numId w:val="20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Update for specific Dealers.</w:t>
      </w:r>
    </w:p>
    <w:p>
      <w:pPr>
        <w:spacing w:after="0" w:line="1" w:lineRule="exact"/>
        <w:rPr>
          <w:rFonts w:ascii="Times New Roman" w:cs="Times New Roman" w:eastAsia="Times New Roman" w:hAnsi="Times New Roman"/>
          <w:sz w:val="28"/>
          <w:szCs w:val="28"/>
          <w:color w:val="auto"/>
          <w:vertAlign w:val="superscript"/>
        </w:rPr>
      </w:pPr>
    </w:p>
    <w:p>
      <w:pPr>
        <w:ind w:left="172"/>
        <w:spacing w:after="0"/>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39" w:name="page140"/>
    <w:bookmarkEnd w:id="139"/>
    <w:p>
      <w:pPr>
        <w:ind w:left="652"/>
        <w:spacing w:after="0"/>
        <w:rPr>
          <w:sz w:val="20"/>
          <w:szCs w:val="20"/>
          <w:color w:val="auto"/>
        </w:rPr>
      </w:pPr>
      <w:r>
        <w:rPr>
          <w:rFonts w:ascii="Times New Roman" w:cs="Times New Roman" w:eastAsia="Times New Roman" w:hAnsi="Times New Roman"/>
          <w:sz w:val="17"/>
          <w:szCs w:val="17"/>
          <w:color w:val="auto"/>
        </w:rPr>
        <w:t>Please confirm that the foregoing correctly sets forth the terms of our agreement by executing this Confirmation and returning it to [Dealer].</w:t>
      </w:r>
      <w:r>
        <w:rPr>
          <w:rFonts w:ascii="Times New Roman" w:cs="Times New Roman" w:eastAsia="Times New Roman" w:hAnsi="Times New Roman"/>
          <w:sz w:val="28"/>
          <w:szCs w:val="28"/>
          <w:color w:val="auto"/>
          <w:vertAlign w:val="superscript"/>
        </w:rPr>
        <w:t>67</w:t>
      </w:r>
    </w:p>
    <w:p>
      <w:pPr>
        <w:spacing w:after="0" w:line="120" w:lineRule="exact"/>
        <w:rPr>
          <w:sz w:val="20"/>
          <w:szCs w:val="20"/>
          <w:color w:val="auto"/>
        </w:rPr>
      </w:pPr>
    </w:p>
    <w:p>
      <w:pPr>
        <w:ind w:left="5512"/>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3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632"/>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632"/>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-127635</wp:posOffset>
            </wp:positionV>
            <wp:extent cx="299148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7" w:lineRule="exact"/>
        <w:rPr>
          <w:sz w:val="20"/>
          <w:szCs w:val="20"/>
          <w:color w:val="auto"/>
        </w:rPr>
      </w:pPr>
    </w:p>
    <w:p>
      <w:pPr>
        <w:ind w:left="5672"/>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203200</wp:posOffset>
            </wp:positionV>
            <wp:extent cx="156845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302" w:lineRule="exact"/>
        <w:rPr>
          <w:sz w:val="20"/>
          <w:szCs w:val="20"/>
          <w:color w:val="auto"/>
        </w:rPr>
      </w:pPr>
    </w:p>
    <w:p>
      <w:pPr>
        <w:ind w:left="192" w:hanging="192"/>
        <w:spacing w:after="0"/>
        <w:tabs>
          <w:tab w:leader="none" w:pos="192" w:val="left"/>
        </w:tabs>
        <w:numPr>
          <w:ilvl w:val="0"/>
          <w:numId w:val="20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 Dealer preferred signature page information, as applicable.</w:t>
      </w:r>
    </w:p>
    <w:p>
      <w:pPr>
        <w:spacing w:after="0" w:line="196" w:lineRule="exact"/>
        <w:rPr>
          <w:sz w:val="20"/>
          <w:szCs w:val="20"/>
          <w:color w:val="auto"/>
        </w:rPr>
      </w:pPr>
    </w:p>
    <w:p>
      <w:pPr>
        <w:ind w:left="321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[Base][Additional] Capped Call Confirmation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275590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92"/>
          </w:cols>
          <w:pgMar w:left="328" w:top="111" w:right="6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t>Accepted and confirmed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Trade 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335153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right"/>
        <w:ind w:right="20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[Base][Additional] Capped Call Confirmation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3534A4"/>
    <w:multiLevelType w:val="hybridMultilevel"/>
    <w:lvl w:ilvl="0">
      <w:lvlJc w:val="left"/>
      <w:lvlText w:val="☐"/>
      <w:numFmt w:val="bullet"/>
      <w:start w:val="1"/>
    </w:lvl>
  </w:abstractNum>
  <w:abstractNum w:abstractNumId="1">
    <w:nsid w:val="73A1821B"/>
    <w:multiLevelType w:val="hybridMultilevel"/>
    <w:lvl w:ilvl="0">
      <w:lvlJc w:val="left"/>
      <w:lvlText w:val="(%1)"/>
      <w:numFmt w:val="lowerRoman"/>
      <w:start w:val="2"/>
    </w:lvl>
  </w:abstractNum>
  <w:abstractNum w:abstractNumId="2">
    <w:nsid w:val="7DE67713"/>
    <w:multiLevelType w:val="hybridMultilevel"/>
    <w:lvl w:ilvl="0">
      <w:lvlJc w:val="left"/>
      <w:lvlText w:val="(%1)"/>
      <w:numFmt w:val="upperLetter"/>
      <w:start w:val="1"/>
    </w:lvl>
  </w:abstractNum>
  <w:abstractNum w:abstractNumId="3">
    <w:nsid w:val="555C55B5"/>
    <w:multiLevelType w:val="hybridMultilevel"/>
    <w:lvl w:ilvl="0">
      <w:lvlJc w:val="left"/>
      <w:lvlText w:val="(%1)"/>
      <w:numFmt w:val="upperLetter"/>
      <w:start w:val="4"/>
    </w:lvl>
  </w:abstractNum>
  <w:abstractNum w:abstractNumId="4">
    <w:nsid w:val="3FA62ACA"/>
    <w:multiLevelType w:val="hybridMultilevel"/>
    <w:lvl w:ilvl="0">
      <w:lvlJc w:val="left"/>
      <w:lvlText w:val="(%1)"/>
      <w:numFmt w:val="upperLetter"/>
      <w:start w:val="4"/>
    </w:lvl>
  </w:abstractNum>
  <w:abstractNum w:abstractNumId="5">
    <w:nsid w:val="14FCE74E"/>
    <w:multiLevelType w:val="hybridMultilevel"/>
    <w:lvl w:ilvl="0">
      <w:lvlJc w:val="left"/>
      <w:lvlText w:val="(%1)"/>
      <w:numFmt w:val="upperLetter"/>
      <w:start w:val="1"/>
    </w:lvl>
  </w:abstractNum>
  <w:abstractNum w:abstractNumId="6">
    <w:nsid w:val="6A3DD3E8"/>
    <w:multiLevelType w:val="hybridMultilevel"/>
    <w:lvl w:ilvl="0">
      <w:lvlJc w:val="left"/>
      <w:lvlText w:val="(%1)"/>
      <w:numFmt w:val="upperLetter"/>
      <w:start w:val="1"/>
    </w:lvl>
  </w:abstractNum>
  <w:abstractNum w:abstractNumId="7">
    <w:nsid w:val="71C91298"/>
    <w:multiLevelType w:val="hybridMultilevel"/>
    <w:lvl w:ilvl="0">
      <w:lvlJc w:val="left"/>
      <w:lvlText w:val="(%1)"/>
      <w:numFmt w:val="upperLetter"/>
      <w:start w:val="1"/>
    </w:lvl>
  </w:abstractNum>
  <w:abstractNum w:abstractNumId="8">
    <w:nsid w:val="9DAF632"/>
    <w:multiLevelType w:val="hybridMultilevel"/>
    <w:lvl w:ilvl="0">
      <w:lvlJc w:val="left"/>
      <w:lvlText w:val="(%1)"/>
      <w:numFmt w:val="upperLetter"/>
      <w:start w:val="9"/>
    </w:lvl>
  </w:abstractNum>
  <w:abstractNum w:abstractNumId="9">
    <w:nsid w:val="53299938"/>
    <w:multiLevelType w:val="hybridMultilevel"/>
    <w:lvl w:ilvl="0">
      <w:lvlJc w:val="left"/>
      <w:lvlText w:val="(%1)"/>
      <w:numFmt w:val="upperLetter"/>
      <w:start w:val="1"/>
    </w:lvl>
    <w:lvl w:ilvl="1">
      <w:lvlJc w:val="left"/>
      <w:lvlText w:val="(%2)"/>
      <w:numFmt w:val="lowerRoman"/>
      <w:start w:val="1"/>
    </w:lvl>
  </w:abstractNum>
  <w:abstractNum w:abstractNumId="10">
    <w:nsid w:val="1FBFE8E0"/>
    <w:multiLevelType w:val="hybridMultilevel"/>
    <w:lvl w:ilvl="0">
      <w:lvlJc w:val="left"/>
      <w:lvlText w:val="(%1)"/>
      <w:numFmt w:val="lowerRoman"/>
      <w:start w:val="3"/>
    </w:lvl>
  </w:abstractNum>
  <w:abstractNum w:abstractNumId="11">
    <w:nsid w:val="5092CA79"/>
    <w:multiLevelType w:val="hybridMultilevel"/>
    <w:lvl w:ilvl="0">
      <w:lvlJc w:val="left"/>
      <w:lvlText w:val="(%1)"/>
      <w:numFmt w:val="upperLetter"/>
      <w:start w:val="1"/>
    </w:lvl>
  </w:abstractNum>
  <w:abstractNum w:abstractNumId="12">
    <w:nsid w:val="1D545C4D"/>
    <w:multiLevelType w:val="hybridMultilevel"/>
    <w:lvl w:ilvl="0">
      <w:lvlJc w:val="left"/>
      <w:lvlText w:val="%1"/>
      <w:numFmt w:val="lowerLetter"/>
      <w:start w:val="1"/>
    </w:lvl>
    <w:lvl w:ilvl="1">
      <w:lvlJc w:val="left"/>
      <w:lvlText w:val="(%2)"/>
      <w:numFmt w:val="upperLetter"/>
      <w:start w:val="1"/>
    </w:lvl>
  </w:abstractNum>
  <w:abstractNum w:abstractNumId="13">
    <w:nsid w:val="59ADEA3D"/>
    <w:multiLevelType w:val="hybridMultilevel"/>
    <w:lvl w:ilvl="0">
      <w:lvlJc w:val="left"/>
      <w:lvlText w:val="(%1)"/>
      <w:numFmt w:val="lowerLetter"/>
      <w:start w:val="26"/>
    </w:lvl>
    <w:lvl w:ilvl="1">
      <w:lvlJc w:val="left"/>
      <w:lvlText w:val="%2"/>
      <w:numFmt w:val="upperLetter"/>
      <w:start w:val="1"/>
    </w:lvl>
  </w:abstractNum>
  <w:abstractNum w:abstractNumId="14">
    <w:nsid w:val="288F1A34"/>
    <w:multiLevelType w:val="hybridMultilevel"/>
    <w:lvl w:ilvl="0">
      <w:lvlJc w:val="left"/>
      <w:lvlText w:val="(%1)"/>
      <w:numFmt w:val="upperLetter"/>
      <w:start w:val="1"/>
    </w:lvl>
  </w:abstractNum>
  <w:abstractNum w:abstractNumId="15">
    <w:nsid w:val="2A155DBC"/>
    <w:multiLevelType w:val="hybridMultilevel"/>
    <w:lvl w:ilvl="0">
      <w:lvlJc w:val="left"/>
      <w:lvlText w:val="(%1)"/>
      <w:numFmt w:val="upperLetter"/>
      <w:start w:val="1"/>
    </w:lvl>
  </w:abstractNum>
  <w:abstractNum w:abstractNumId="16">
    <w:nsid w:val="1D9F6E5F"/>
    <w:multiLevelType w:val="hybridMultilevel"/>
    <w:lvl w:ilvl="0">
      <w:lvlJc w:val="left"/>
      <w:lvlText w:val="(%1)"/>
      <w:numFmt w:val="upperLetter"/>
      <w:start w:val="4"/>
    </w:lvl>
  </w:abstractNum>
  <w:abstractNum w:abstractNumId="17">
    <w:nsid w:val="97E1B4E"/>
    <w:multiLevelType w:val="hybridMultilevel"/>
    <w:lvl w:ilvl="0">
      <w:lvlJc w:val="left"/>
      <w:lvlText w:val="(%1)"/>
      <w:numFmt w:val="upperLetter"/>
      <w:start w:val="2"/>
    </w:lvl>
  </w:abstractNum>
  <w:abstractNum w:abstractNumId="18">
    <w:nsid w:val="51088277"/>
    <w:multiLevelType w:val="hybridMultilevel"/>
    <w:lvl w:ilvl="0">
      <w:lvlJc w:val="left"/>
      <w:lvlText w:val="(%1)"/>
      <w:numFmt w:val="upperLetter"/>
      <w:start w:val="1"/>
    </w:lvl>
    <w:lvl w:ilvl="1">
      <w:lvlJc w:val="left"/>
      <w:lvlText w:val="(%2)"/>
      <w:numFmt w:val="lowerRoman"/>
      <w:start w:val="1"/>
    </w:lvl>
  </w:abstractNum>
  <w:abstractNum w:abstractNumId="19">
    <w:nsid w:val="1CA0C5FA"/>
    <w:multiLevelType w:val="hybridMultilevel"/>
    <w:lvl w:ilvl="0">
      <w:lvlJc w:val="left"/>
      <w:lvlText w:val="(%1)"/>
      <w:numFmt w:val="upperLetter"/>
      <w:start w:val="4"/>
    </w:lvl>
    <w:lvl w:ilvl="1">
      <w:lvlJc w:val="left"/>
      <w:lvlText w:val="(%2)"/>
      <w:numFmt w:val="lowerRoman"/>
      <w:start w:val="1"/>
    </w:lvl>
  </w:abstractNum>
  <w:abstractNum w:abstractNumId="20">
    <w:nsid w:val="53584BCB"/>
    <w:multiLevelType w:val="hybridMultilevel"/>
    <w:lvl w:ilvl="0">
      <w:lvlJc w:val="left"/>
      <w:lvlText w:val="(%1)"/>
      <w:numFmt w:val="upperLetter"/>
      <w:start w:val="1"/>
    </w:lvl>
    <w:lvl w:ilvl="1">
      <w:lvlJc w:val="left"/>
      <w:lvlText w:val="(%2)"/>
      <w:numFmt w:val="lowerRoman"/>
      <w:start w:val="1"/>
    </w:lvl>
  </w:abstractNum>
  <w:abstractNum w:abstractNumId="21">
    <w:nsid w:val="415E286C"/>
    <w:multiLevelType w:val="hybridMultilevel"/>
    <w:lvl w:ilvl="0">
      <w:lvlJc w:val="left"/>
      <w:lvlText w:val="%1"/>
      <w:numFmt w:val="upperLetter"/>
      <w:start w:val="1"/>
    </w:lvl>
    <w:lvl w:ilvl="1">
      <w:lvlJc w:val="left"/>
      <w:lvlText w:val="(%2)"/>
      <w:numFmt w:val="lowerRoman"/>
      <w:start w:val="7"/>
    </w:lvl>
    <w:lvl w:ilvl="2">
      <w:lvlJc w:val="left"/>
      <w:lvlText w:val="%3"/>
      <w:numFmt w:val="decimal"/>
      <w:start w:val="1"/>
    </w:lvl>
  </w:abstractNum>
  <w:abstractNum w:abstractNumId="22">
    <w:nsid w:val="7C58FD05"/>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23">
    <w:nsid w:val="23D86AAC"/>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1"/>
    </w:lvl>
    <w:lvl w:ilvl="3">
      <w:lvlJc w:val="left"/>
      <w:lvlText w:val="%4"/>
      <w:numFmt w:val="lowerLetter"/>
      <w:start w:val="1"/>
    </w:lvl>
  </w:abstractNum>
  <w:abstractNum w:abstractNumId="24">
    <w:nsid w:val="45E6D486"/>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25">
    <w:nsid w:val="5C10FE21"/>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4)"/>
      <w:numFmt w:val="lowerLetter"/>
      <w:start w:val="2"/>
    </w:lvl>
  </w:abstractNum>
  <w:abstractNum w:abstractNumId="26">
    <w:nsid w:val="E7FFA2B"/>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4"/>
    </w:lvl>
    <w:lvl w:ilvl="3">
      <w:lvlJc w:val="left"/>
      <w:lvlText w:val="%4"/>
      <w:numFmt w:val="lowerLetter"/>
      <w:start w:val="1"/>
    </w:lvl>
  </w:abstractNum>
  <w:abstractNum w:abstractNumId="27">
    <w:nsid w:val="3C5991AA"/>
    <w:multiLevelType w:val="hybridMultilevel"/>
    <w:lvl w:ilvl="0">
      <w:lvlJc w:val="left"/>
      <w:lvlText w:val="(%1)"/>
      <w:numFmt w:val="upperLetter"/>
      <w:start w:val="4"/>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28">
    <w:nsid w:val="4BD8591A"/>
    <w:multiLevelType w:val="hybridMultilevel"/>
    <w:lvl w:ilvl="0">
      <w:lvlJc w:val="left"/>
      <w:lvlText w:val="(%1)"/>
      <w:numFmt w:val="upperLetter"/>
      <w:start w:val="5"/>
    </w:lvl>
  </w:abstractNum>
  <w:abstractNum w:abstractNumId="29">
    <w:nsid w:val="78DF6A55"/>
    <w:multiLevelType w:val="hybridMultilevel"/>
    <w:lvl w:ilvl="0">
      <w:lvlJc w:val="left"/>
      <w:lvlText w:val="(%1)"/>
      <w:numFmt w:val="upperLetter"/>
      <w:start w:val="1"/>
    </w:lvl>
  </w:abstractNum>
  <w:abstractNum w:abstractNumId="30">
    <w:nsid w:val="39B7AAA2"/>
    <w:multiLevelType w:val="hybridMultilevel"/>
    <w:lvl w:ilvl="0">
      <w:lvlJc w:val="left"/>
      <w:lvlText w:val="(%1)"/>
      <w:numFmt w:val="upperLetter"/>
      <w:start w:val="2"/>
    </w:lvl>
    <w:lvl w:ilvl="1">
      <w:lvlJc w:val="left"/>
      <w:lvlText w:val="(%2)"/>
      <w:numFmt w:val="lowerRoman"/>
      <w:start w:val="1"/>
    </w:lvl>
  </w:abstractNum>
  <w:abstractNum w:abstractNumId="31">
    <w:nsid w:val="2B0D8DBE"/>
    <w:multiLevelType w:val="hybridMultilevel"/>
    <w:lvl w:ilvl="0">
      <w:lvlJc w:val="left"/>
      <w:lvlText w:val="(%1)"/>
      <w:numFmt w:val="upperLetter"/>
      <w:start w:val="1"/>
    </w:lvl>
  </w:abstractNum>
  <w:abstractNum w:abstractNumId="32">
    <w:nsid w:val="6C80EC70"/>
    <w:multiLevelType w:val="hybridMultilevel"/>
    <w:lvl w:ilvl="0">
      <w:lvlJc w:val="left"/>
      <w:lvlText w:val="(%1)"/>
      <w:numFmt w:val="upperLetter"/>
      <w:start w:val="3"/>
    </w:lvl>
  </w:abstractNum>
  <w:abstractNum w:abstractNumId="33">
    <w:nsid w:val="379E21B5"/>
    <w:multiLevelType w:val="hybridMultilevel"/>
    <w:lvl w:ilvl="0">
      <w:lvlJc w:val="left"/>
      <w:lvlText w:val="(%1)"/>
      <w:numFmt w:val="upperLetter"/>
      <w:start w:val="1"/>
    </w:lvl>
  </w:abstractNum>
  <w:abstractNum w:abstractNumId="34">
    <w:nsid w:val="69E373"/>
    <w:multiLevelType w:val="hybridMultilevel"/>
    <w:lvl w:ilvl="0">
      <w:lvlJc w:val="left"/>
      <w:lvlText w:val="(%1)"/>
      <w:numFmt w:val="upperLetter"/>
      <w:start w:val="1"/>
    </w:lvl>
  </w:abstractNum>
  <w:abstractNum w:abstractNumId="35">
    <w:nsid w:val="2C27173B"/>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36">
    <w:nsid w:val="4C9B0904"/>
    <w:multiLevelType w:val="hybridMultilevel"/>
    <w:lvl w:ilvl="0">
      <w:lvlJc w:val="left"/>
      <w:lvlText w:val="%1"/>
      <w:numFmt w:val="upperLetter"/>
      <w:start w:val="1"/>
    </w:lvl>
    <w:lvl w:ilvl="1">
      <w:lvlJc w:val="left"/>
      <w:lvlText w:val="(%2)"/>
      <w:numFmt w:val="lowerRoman"/>
      <w:start w:val="2"/>
    </w:lvl>
  </w:abstractNum>
  <w:abstractNum w:abstractNumId="37">
    <w:nsid w:val="6AA7B75C"/>
    <w:multiLevelType w:val="hybridMultilevel"/>
    <w:lvl w:ilvl="0">
      <w:lvlJc w:val="left"/>
      <w:lvlText w:val="(%1)"/>
      <w:numFmt w:val="upperLetter"/>
      <w:start w:val="2"/>
    </w:lvl>
    <w:lvl w:ilvl="1">
      <w:lvlJc w:val="left"/>
      <w:lvlText w:val="%2"/>
      <w:numFmt w:val="lowerRoman"/>
      <w:start w:val="1"/>
    </w:lvl>
  </w:abstractNum>
  <w:abstractNum w:abstractNumId="38">
    <w:nsid w:val="1DF029D3"/>
    <w:multiLevelType w:val="hybridMultilevel"/>
    <w:lvl w:ilvl="0">
      <w:lvlJc w:val="left"/>
      <w:lvlText w:val="(%1)"/>
      <w:numFmt w:val="upperLetter"/>
      <w:start w:val="3"/>
    </w:lvl>
    <w:lvl w:ilvl="1">
      <w:lvlJc w:val="left"/>
      <w:lvlText w:val="(%2)"/>
      <w:numFmt w:val="lowerRoman"/>
      <w:start w:val="1"/>
    </w:lvl>
  </w:abstractNum>
  <w:abstractNum w:abstractNumId="39">
    <w:nsid w:val="5675FF36"/>
    <w:multiLevelType w:val="hybridMultilevel"/>
    <w:lvl w:ilvl="0">
      <w:lvlJc w:val="left"/>
      <w:lvlText w:val="(%1)"/>
      <w:numFmt w:val="upperLetter"/>
      <w:start w:val="5"/>
    </w:lvl>
  </w:abstractNum>
  <w:abstractNum w:abstractNumId="40">
    <w:nsid w:val="3DD15094"/>
    <w:multiLevelType w:val="hybridMultilevel"/>
    <w:lvl w:ilvl="0">
      <w:lvlJc w:val="left"/>
      <w:lvlText w:val="(%1)"/>
      <w:numFmt w:val="upperLetter"/>
      <w:start w:val="1"/>
    </w:lvl>
  </w:abstractNum>
  <w:abstractNum w:abstractNumId="41">
    <w:nsid w:val="3DB012B3"/>
    <w:multiLevelType w:val="hybridMultilevel"/>
    <w:lvl w:ilvl="0">
      <w:lvlJc w:val="left"/>
      <w:lvlText w:val="(%1)"/>
      <w:numFmt w:val="upperLetter"/>
      <w:start w:val="1"/>
    </w:lvl>
  </w:abstractNum>
  <w:abstractNum w:abstractNumId="42">
    <w:nsid w:val="2708C9AF"/>
    <w:multiLevelType w:val="hybridMultilevel"/>
    <w:lvl w:ilvl="0">
      <w:lvlJc w:val="left"/>
      <w:lvlText w:val="(%1)"/>
      <w:numFmt w:val="upperLetter"/>
      <w:start w:val="2"/>
    </w:lvl>
  </w:abstractNum>
  <w:abstractNum w:abstractNumId="43">
    <w:nsid w:val="5B25ACE2"/>
    <w:multiLevelType w:val="hybridMultilevel"/>
    <w:lvl w:ilvl="0">
      <w:lvlJc w:val="left"/>
      <w:lvlText w:val="(%1)"/>
      <w:numFmt w:val="lowerRoman"/>
      <w:start w:val="1"/>
    </w:lvl>
  </w:abstractNum>
  <w:abstractNum w:abstractNumId="44">
    <w:nsid w:val="175DFCF0"/>
    <w:multiLevelType w:val="hybridMultilevel"/>
    <w:lvl w:ilvl="0">
      <w:lvlJc w:val="left"/>
      <w:lvlText w:val="(%1)"/>
      <w:numFmt w:val="lowerRoman"/>
      <w:start w:val="5"/>
    </w:lvl>
  </w:abstractNum>
  <w:abstractNum w:abstractNumId="45">
    <w:nsid w:val="4F97E3E4"/>
    <w:multiLevelType w:val="hybridMultilevel"/>
    <w:lvl w:ilvl="0">
      <w:lvlJc w:val="left"/>
      <w:lvlText w:val="(%1)"/>
      <w:numFmt w:val="upperLetter"/>
      <w:start w:val="6"/>
    </w:lvl>
    <w:lvl w:ilvl="1">
      <w:lvlJc w:val="left"/>
      <w:lvlText w:val="(%2)"/>
      <w:numFmt w:val="lowerRoman"/>
      <w:start w:val="1"/>
    </w:lvl>
    <w:lvl w:ilvl="2">
      <w:lvlJc w:val="left"/>
      <w:lvlText w:val="(%3)"/>
      <w:numFmt w:val="decimal"/>
      <w:start w:val="1"/>
    </w:lvl>
  </w:abstractNum>
  <w:abstractNum w:abstractNumId="46">
    <w:nsid w:val="53B0A9E"/>
    <w:multiLevelType w:val="hybridMultilevel"/>
    <w:lvl w:ilvl="0">
      <w:lvlJc w:val="left"/>
      <w:lvlText w:val="(%1)"/>
      <w:numFmt w:val="lowerRoman"/>
      <w:start w:val="3"/>
    </w:lvl>
    <w:lvl w:ilvl="1">
      <w:lvlJc w:val="left"/>
      <w:lvlText w:val="(%2)"/>
      <w:numFmt w:val="decimal"/>
      <w:start w:val="1"/>
    </w:lvl>
  </w:abstractNum>
  <w:abstractNum w:abstractNumId="47">
    <w:nsid w:val="34FD6B4F"/>
    <w:multiLevelType w:val="hybridMultilevel"/>
    <w:lvl w:ilvl="0">
      <w:lvlJc w:val="left"/>
      <w:lvlText w:val="(%1)"/>
      <w:numFmt w:val="upperLetter"/>
      <w:start w:val="7"/>
    </w:lvl>
  </w:abstractNum>
  <w:abstractNum w:abstractNumId="48">
    <w:nsid w:val="5915FF32"/>
    <w:multiLevelType w:val="hybridMultilevel"/>
    <w:lvl w:ilvl="0">
      <w:lvlJc w:val="left"/>
      <w:lvlText w:val="(%1)"/>
      <w:numFmt w:val="upperLetter"/>
      <w:start w:val="10"/>
    </w:lvl>
  </w:abstractNum>
  <w:abstractNum w:abstractNumId="49">
    <w:nsid w:val="56438D15"/>
    <w:multiLevelType w:val="hybridMultilevel"/>
    <w:lvl w:ilvl="0">
      <w:lvlJc w:val="left"/>
      <w:lvlText w:val="(%1)"/>
      <w:numFmt w:val="upperLetter"/>
      <w:start w:val="1"/>
    </w:lvl>
  </w:abstractNum>
  <w:abstractNum w:abstractNumId="50">
    <w:nsid w:val="519E3149"/>
    <w:multiLevelType w:val="hybridMultilevel"/>
    <w:lvl w:ilvl="0">
      <w:lvlJc w:val="left"/>
      <w:lvlText w:val="%1"/>
      <w:numFmt w:val="lowerLetter"/>
      <w:start w:val="1"/>
    </w:lvl>
    <w:lvl w:ilvl="1">
      <w:lvlJc w:val="left"/>
      <w:lvlText w:val="(%2)"/>
      <w:numFmt w:val="upperLetter"/>
      <w:start w:val="4"/>
    </w:lvl>
  </w:abstractNum>
  <w:abstractNum w:abstractNumId="51">
    <w:nsid w:val="2C6E4AFD"/>
    <w:multiLevelType w:val="hybridMultilevel"/>
    <w:lvl w:ilvl="0">
      <w:lvlJc w:val="left"/>
      <w:lvlText w:val="(%1)"/>
      <w:numFmt w:val="lowerLetter"/>
      <w:start w:val="25"/>
    </w:lvl>
    <w:lvl w:ilvl="1">
      <w:lvlJc w:val="left"/>
      <w:lvlText w:val="(%2)"/>
      <w:numFmt w:val="upperLetter"/>
      <w:start w:val="6"/>
    </w:lvl>
  </w:abstractNum>
  <w:abstractNum w:abstractNumId="52">
    <w:nsid w:val="17A1B582"/>
    <w:multiLevelType w:val="hybridMultilevel"/>
    <w:lvl w:ilvl="0">
      <w:lvlJc w:val="left"/>
      <w:lvlText w:val="(%1)"/>
      <w:numFmt w:val="lowerRoman"/>
      <w:start w:val="1"/>
    </w:lvl>
  </w:abstractNum>
  <w:abstractNum w:abstractNumId="53">
    <w:nsid w:val="4DF72E4E"/>
    <w:multiLevelType w:val="hybridMultilevel"/>
    <w:lvl w:ilvl="0">
      <w:lvlJc w:val="left"/>
      <w:lvlText w:val="(%1)"/>
      <w:numFmt w:val="upperLetter"/>
      <w:start w:val="7"/>
    </w:lvl>
    <w:lvl w:ilvl="1">
      <w:lvlJc w:val="left"/>
      <w:lvlText w:val="(%2)"/>
      <w:numFmt w:val="lowerRoman"/>
      <w:start w:val="1"/>
    </w:lvl>
  </w:abstractNum>
  <w:abstractNum w:abstractNumId="54">
    <w:nsid w:val="5046B5A9"/>
    <w:multiLevelType w:val="hybridMultilevel"/>
    <w:lvl w:ilvl="0">
      <w:lvlJc w:val="left"/>
      <w:lvlText w:val="(%1)"/>
      <w:numFmt w:val="upperLetter"/>
      <w:start w:val="1"/>
    </w:lvl>
  </w:abstractNum>
  <w:abstractNum w:abstractNumId="55">
    <w:nsid w:val="5D888A08"/>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abstractNum>
  <w:abstractNum w:abstractNumId="56">
    <w:nsid w:val="2A082C70"/>
    <w:multiLevelType w:val="hybridMultilevel"/>
    <w:lvl w:ilvl="0">
      <w:lvlJc w:val="left"/>
      <w:lvlText w:val="(%1)"/>
      <w:numFmt w:val="decimal"/>
      <w:start w:val="3"/>
    </w:lvl>
    <w:lvl w:ilvl="1">
      <w:lvlJc w:val="left"/>
      <w:lvlText w:val="(%2)"/>
      <w:numFmt w:val="lowerLetter"/>
      <w:start w:val="1"/>
    </w:lvl>
    <w:lvl w:ilvl="2">
      <w:lvlJc w:val="left"/>
      <w:lvlText w:val="(%3)"/>
      <w:numFmt w:val="upperLetter"/>
      <w:start w:val="9"/>
    </w:lvl>
  </w:abstractNum>
  <w:abstractNum w:abstractNumId="57">
    <w:nsid w:val="5EC6AFD4"/>
    <w:multiLevelType w:val="hybridMultilevel"/>
    <w:lvl w:ilvl="0">
      <w:lvlJc w:val="left"/>
      <w:lvlText w:val="(%1)"/>
      <w:numFmt w:val="upperLetter"/>
      <w:start w:val="35"/>
    </w:lvl>
  </w:abstractNum>
  <w:abstractNum w:abstractNumId="58">
    <w:nsid w:val="19E21BB2"/>
    <w:multiLevelType w:val="hybridMultilevel"/>
    <w:lvl w:ilvl="0">
      <w:lvlJc w:val="left"/>
      <w:lvlText w:val="(%1)"/>
      <w:numFmt w:val="lowerLetter"/>
      <w:start w:val="2"/>
    </w:lvl>
  </w:abstractNum>
  <w:abstractNum w:abstractNumId="59">
    <w:nsid w:val="75E0858A"/>
    <w:multiLevelType w:val="hybridMultilevel"/>
    <w:lvl w:ilvl="0">
      <w:lvlJc w:val="left"/>
      <w:lvlText w:val="(%1)"/>
      <w:numFmt w:val="decimal"/>
      <w:start w:val="4"/>
    </w:lvl>
  </w:abstractNum>
  <w:abstractNum w:abstractNumId="60">
    <w:nsid w:val="57A61A29"/>
    <w:multiLevelType w:val="hybridMultilevel"/>
    <w:lvl w:ilvl="0">
      <w:lvlJc w:val="left"/>
      <w:lvlText w:val="(%1)"/>
      <w:numFmt w:val="lowerRoman"/>
      <w:start w:val="2"/>
    </w:lvl>
    <w:lvl w:ilvl="1">
      <w:lvlJc w:val="left"/>
      <w:lvlText w:val="(%2)"/>
      <w:numFmt w:val="decimal"/>
      <w:start w:val="1"/>
    </w:lvl>
  </w:abstractNum>
  <w:abstractNum w:abstractNumId="61">
    <w:nsid w:val="5399C654"/>
    <w:multiLevelType w:val="hybridMultilevel"/>
    <w:lvl w:ilvl="0">
      <w:lvlJc w:val="left"/>
      <w:lvlText w:val="(%1)"/>
      <w:numFmt w:val="upperLetter"/>
      <w:start w:val="1"/>
    </w:lvl>
    <w:lvl w:ilvl="1">
      <w:lvlJc w:val="left"/>
      <w:lvlText w:val="(%2)"/>
      <w:numFmt w:val="lowerRoman"/>
      <w:start w:val="1"/>
    </w:lvl>
  </w:abstractNum>
  <w:abstractNum w:abstractNumId="62">
    <w:nsid w:val="20EE1348"/>
    <w:multiLevelType w:val="hybridMultilevel"/>
    <w:lvl w:ilvl="0">
      <w:lvlJc w:val="left"/>
      <w:lvlText w:val="(%1)"/>
      <w:numFmt w:val="upperLetter"/>
      <w:start w:val="3"/>
    </w:lvl>
  </w:abstractNum>
  <w:abstractNum w:abstractNumId="63">
    <w:nsid w:val="4427069A"/>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64">
    <w:nsid w:val="B37E80A"/>
    <w:multiLevelType w:val="hybridMultilevel"/>
    <w:lvl w:ilvl="0">
      <w:lvlJc w:val="left"/>
      <w:lvlText w:val="(%1)"/>
      <w:numFmt w:val="decimal"/>
      <w:start w:val="2"/>
    </w:lvl>
  </w:abstractNum>
  <w:abstractNum w:abstractNumId="65">
    <w:nsid w:val="2157F6BC"/>
    <w:multiLevelType w:val="hybridMultilevel"/>
    <w:lvl w:ilvl="0">
      <w:lvlJc w:val="left"/>
      <w:lvlText w:val="(%1)"/>
      <w:numFmt w:val="lowerRoman"/>
      <w:start w:val="2"/>
    </w:lvl>
  </w:abstractNum>
  <w:abstractNum w:abstractNumId="66">
    <w:nsid w:val="704E1DD5"/>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1"/>
    </w:lvl>
  </w:abstractNum>
  <w:abstractNum w:abstractNumId="67">
    <w:nsid w:val="57D2F10E"/>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68">
    <w:nsid w:val="BFFAE18"/>
    <w:multiLevelType w:val="hybridMultilevel"/>
    <w:lvl w:ilvl="0">
      <w:lvlJc w:val="left"/>
      <w:lvlText w:val="(%1)"/>
      <w:numFmt w:val="upperLetter"/>
      <w:start w:val="4"/>
    </w:lvl>
  </w:abstractNum>
  <w:abstractNum w:abstractNumId="69">
    <w:nsid w:val="E3E47A8"/>
    <w:multiLevelType w:val="hybridMultilevel"/>
    <w:lvl w:ilvl="0">
      <w:lvlJc w:val="left"/>
      <w:lvlText w:val="(%1)"/>
      <w:numFmt w:val="upperLetter"/>
      <w:start w:val="1"/>
    </w:lvl>
  </w:abstractNum>
  <w:abstractNum w:abstractNumId="70">
    <w:nsid w:val="2E48F044"/>
    <w:multiLevelType w:val="hybridMultilevel"/>
    <w:lvl w:ilvl="0">
      <w:lvlJc w:val="left"/>
      <w:lvlText w:val="(%1)"/>
      <w:numFmt w:val="upperLetter"/>
      <w:start w:val="1"/>
    </w:lvl>
    <w:lvl w:ilvl="1">
      <w:lvlJc w:val="left"/>
      <w:lvlText w:val="(%2)"/>
      <w:numFmt w:val="lowerRoman"/>
      <w:start w:val="1"/>
    </w:lvl>
  </w:abstractNum>
  <w:abstractNum w:abstractNumId="71">
    <w:nsid w:val="49D0FEAC"/>
    <w:multiLevelType w:val="hybridMultilevel"/>
    <w:lvl w:ilvl="0">
      <w:lvlJc w:val="left"/>
      <w:lvlText w:val="(%1)"/>
      <w:numFmt w:val="lowerRoman"/>
      <w:start w:val="2"/>
    </w:lvl>
  </w:abstractNum>
  <w:abstractNum w:abstractNumId="72">
    <w:nsid w:val="4BEE5A5B"/>
    <w:multiLevelType w:val="hybridMultilevel"/>
    <w:lvl w:ilvl="0">
      <w:lvlJc w:val="left"/>
      <w:lvlText w:val="X"/>
      <w:numFmt w:val="bullet"/>
      <w:start w:val="1"/>
    </w:lvl>
  </w:abstractNum>
  <w:abstractNum w:abstractNumId="73">
    <w:nsid w:val="5551B9F3"/>
    <w:multiLevelType w:val="hybridMultilevel"/>
    <w:lvl w:ilvl="0">
      <w:lvlJc w:val="left"/>
      <w:lvlText w:val="Y"/>
      <w:numFmt w:val="bullet"/>
      <w:start w:val="1"/>
    </w:lvl>
  </w:abstractNum>
  <w:abstractNum w:abstractNumId="74">
    <w:nsid w:val="24F6AB8E"/>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1"/>
    </w:lvl>
  </w:abstractNum>
  <w:abstractNum w:abstractNumId="75">
    <w:nsid w:val="634C574C"/>
    <w:multiLevelType w:val="hybridMultilevel"/>
    <w:lvl w:ilvl="0">
      <w:lvlJc w:val="left"/>
      <w:lvlText w:val="(%1)"/>
      <w:numFmt w:val="decimal"/>
      <w:start w:val="2"/>
    </w:lvl>
  </w:abstractNum>
  <w:abstractNum w:abstractNumId="76">
    <w:nsid w:val="24E99DD7"/>
    <w:multiLevelType w:val="hybridMultilevel"/>
    <w:lvl w:ilvl="0">
      <w:lvlJc w:val="left"/>
      <w:lvlText w:val="(%1)"/>
      <w:numFmt w:val="lowerRoman"/>
      <w:start w:val="4"/>
    </w:lvl>
  </w:abstractNum>
  <w:abstractNum w:abstractNumId="77">
    <w:nsid w:val="2A31B62D"/>
    <w:multiLevelType w:val="hybridMultilevel"/>
    <w:lvl w:ilvl="0">
      <w:lvlJc w:val="left"/>
      <w:lvlText w:val="D"/>
      <w:numFmt w:val="bullet"/>
      <w:start w:val="1"/>
    </w:lvl>
  </w:abstractNum>
  <w:abstractNum w:abstractNumId="78">
    <w:nsid w:val="1849C29B"/>
    <w:multiLevelType w:val="hybridMultilevel"/>
    <w:lvl w:ilvl="0">
      <w:lvlJc w:val="left"/>
      <w:lvlText w:val="(%1)"/>
      <w:numFmt w:val="lowerRoman"/>
      <w:start w:val="5"/>
    </w:lvl>
  </w:abstractNum>
  <w:abstractNum w:abstractNumId="79">
    <w:nsid w:val="7DFF9D09"/>
    <w:multiLevelType w:val="hybridMultilevel"/>
    <w:lvl w:ilvl="0">
      <w:lvlJc w:val="left"/>
      <w:lvlText w:val="(%1)"/>
      <w:numFmt w:val="upperLetter"/>
      <w:start w:val="2"/>
    </w:lvl>
    <w:lvl w:ilvl="1">
      <w:lvlJc w:val="left"/>
      <w:lvlText w:val="(%2)"/>
      <w:numFmt w:val="lowerRoman"/>
      <w:start w:val="1"/>
    </w:lvl>
  </w:abstractNum>
  <w:abstractNum w:abstractNumId="80">
    <w:nsid w:val="754342"/>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81">
    <w:nsid w:val="69E7F3E5"/>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abstractNum>
  <w:abstractNum w:abstractNumId="82">
    <w:nsid w:val="2A6DE806"/>
    <w:multiLevelType w:val="hybridMultilevel"/>
    <w:lvl w:ilvl="0">
      <w:lvlJc w:val="left"/>
      <w:lvlText w:val="(%1)"/>
      <w:numFmt w:val="upperLetter"/>
      <w:start w:val="5"/>
    </w:lvl>
    <w:lvl w:ilvl="1">
      <w:lvlJc w:val="left"/>
      <w:lvlText w:val="(%2)"/>
      <w:numFmt w:val="lowerRoman"/>
      <w:start w:val="1"/>
    </w:lvl>
  </w:abstractNum>
  <w:abstractNum w:abstractNumId="83">
    <w:nsid w:val="1816F8C4"/>
    <w:multiLevelType w:val="hybridMultilevel"/>
    <w:lvl w:ilvl="0">
      <w:lvlJc w:val="left"/>
      <w:lvlText w:val="(%1)"/>
      <w:numFmt w:val="lowerRoman"/>
      <w:start w:val="2"/>
    </w:lvl>
  </w:abstractNum>
  <w:abstractNum w:abstractNumId="84">
    <w:nsid w:val="37DF2233"/>
    <w:multiLevelType w:val="hybridMultilevel"/>
    <w:lvl w:ilvl="0">
      <w:lvlJc w:val="left"/>
      <w:lvlText w:val="(%1)"/>
      <w:numFmt w:val="upperLetter"/>
      <w:start w:val="6"/>
    </w:lvl>
  </w:abstractNum>
  <w:abstractNum w:abstractNumId="85">
    <w:nsid w:val="7AB49DAF"/>
    <w:multiLevelType w:val="hybridMultilevel"/>
    <w:lvl w:ilvl="0">
      <w:lvlJc w:val="left"/>
      <w:lvlText w:val="(%1)"/>
      <w:numFmt w:val="upperLetter"/>
      <w:start w:val="1"/>
    </w:lvl>
  </w:abstractNum>
  <w:abstractNum w:abstractNumId="86">
    <w:nsid w:val="759F82CD"/>
    <w:multiLevelType w:val="hybridMultilevel"/>
    <w:lvl w:ilvl="0">
      <w:lvlJc w:val="left"/>
      <w:lvlText w:val="(%1)"/>
      <w:numFmt w:val="upperLetter"/>
      <w:start w:val="1"/>
    </w:lvl>
  </w:abstractNum>
  <w:abstractNum w:abstractNumId="87">
    <w:nsid w:val="61E74EA3"/>
    <w:multiLevelType w:val="hybridMultilevel"/>
    <w:lvl w:ilvl="0">
      <w:lvlJc w:val="left"/>
      <w:lvlText w:val="(%1)"/>
      <w:numFmt w:val="lowerRoman"/>
      <w:start w:val="1"/>
    </w:lvl>
  </w:abstractNum>
  <w:abstractNum w:abstractNumId="88">
    <w:nsid w:val="597B4D84"/>
    <w:multiLevelType w:val="hybridMultilevel"/>
    <w:lvl w:ilvl="0">
      <w:lvlJc w:val="left"/>
      <w:lvlText w:val="(%1)"/>
      <w:numFmt w:val="upperLetter"/>
      <w:start w:val="2"/>
    </w:lvl>
  </w:abstractNum>
  <w:abstractNum w:abstractNumId="89">
    <w:nsid w:val="F819E7F"/>
    <w:multiLevelType w:val="hybridMultilevel"/>
    <w:lvl w:ilvl="0">
      <w:lvlJc w:val="left"/>
      <w:lvlText w:val="(%1)"/>
      <w:numFmt w:val="upperLetter"/>
      <w:start w:val="1"/>
    </w:lvl>
  </w:abstractNum>
  <w:abstractNum w:abstractNumId="90">
    <w:nsid w:val="57C7D42D"/>
    <w:multiLevelType w:val="hybridMultilevel"/>
    <w:lvl w:ilvl="0">
      <w:lvlJc w:val="left"/>
      <w:lvlText w:val="(%1)"/>
      <w:numFmt w:val="upperLetter"/>
      <w:start w:val="1"/>
    </w:lvl>
    <w:lvl w:ilvl="1">
      <w:lvlJc w:val="left"/>
      <w:lvlText w:val="(%2)"/>
      <w:numFmt w:val="lowerRoman"/>
      <w:start w:val="1"/>
    </w:lvl>
  </w:abstractNum>
  <w:abstractNum w:abstractNumId="91">
    <w:nsid w:val="312167AD"/>
    <w:multiLevelType w:val="hybridMultilevel"/>
    <w:lvl w:ilvl="0">
      <w:lvlJc w:val="left"/>
      <w:lvlText w:val="(%1)"/>
      <w:numFmt w:val="lowerRoman"/>
      <w:start w:val="2"/>
    </w:lvl>
  </w:abstractNum>
  <w:abstractNum w:abstractNumId="92">
    <w:nsid w:val="631B64D4"/>
    <w:multiLevelType w:val="hybridMultilevel"/>
    <w:lvl w:ilvl="0">
      <w:lvlJc w:val="left"/>
      <w:lvlText w:val="(%1)"/>
      <w:numFmt w:val="decimal"/>
      <w:start w:val="1"/>
    </w:lvl>
  </w:abstractNum>
  <w:abstractNum w:abstractNumId="93">
    <w:nsid w:val="78B5E776"/>
    <w:multiLevelType w:val="hybridMultilevel"/>
    <w:lvl w:ilvl="0">
      <w:lvlJc w:val="left"/>
      <w:lvlText w:val="(%1)"/>
      <w:numFmt w:val="upperLetter"/>
      <w:start w:val="2"/>
    </w:lvl>
  </w:abstractNum>
  <w:abstractNum w:abstractNumId="94">
    <w:nsid w:val="75486E47"/>
    <w:multiLevelType w:val="hybridMultilevel"/>
    <w:lvl w:ilvl="0">
      <w:lvlJc w:val="left"/>
      <w:lvlText w:val="(%1)"/>
      <w:numFmt w:val="upperLetter"/>
      <w:start w:val="1"/>
    </w:lvl>
    <w:lvl w:ilvl="1">
      <w:lvlJc w:val="left"/>
      <w:lvlText w:val="(%2)"/>
      <w:numFmt w:val="lowerRoman"/>
      <w:start w:val="1"/>
    </w:lvl>
  </w:abstractNum>
  <w:abstractNum w:abstractNumId="95">
    <w:nsid w:val="6E534CDE"/>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96">
    <w:nsid w:val="1A0DDE32"/>
    <w:multiLevelType w:val="hybridMultilevel"/>
    <w:lvl w:ilvl="0">
      <w:lvlJc w:val="left"/>
      <w:lvlText w:val="(%1)"/>
      <w:numFmt w:val="lowerRoman"/>
      <w:start w:val="8"/>
    </w:lvl>
    <w:lvl w:ilvl="1">
      <w:lvlJc w:val="left"/>
      <w:lvlText w:val="(%2)"/>
      <w:numFmt w:val="decimal"/>
      <w:start w:val="1"/>
    </w:lvl>
  </w:abstractNum>
  <w:abstractNum w:abstractNumId="97">
    <w:nsid w:val="65968C1C"/>
    <w:multiLevelType w:val="hybridMultilevel"/>
    <w:lvl w:ilvl="0">
      <w:lvlJc w:val="left"/>
      <w:lvlText w:val="%1"/>
      <w:numFmt w:val="lowerRoman"/>
      <w:start w:val="1"/>
    </w:lvl>
    <w:lvl w:ilvl="1">
      <w:lvlJc w:val="left"/>
      <w:lvlText w:val="(%2)"/>
      <w:numFmt w:val="decimal"/>
      <w:start w:val="2"/>
    </w:lvl>
  </w:abstractNum>
  <w:abstractNum w:abstractNumId="98">
    <w:nsid w:val="46263DEC"/>
    <w:multiLevelType w:val="hybridMultilevel"/>
    <w:lvl w:ilvl="0">
      <w:lvlJc w:val="left"/>
      <w:lvlText w:val="(%1)"/>
      <w:numFmt w:val="lowerRoman"/>
      <w:start w:val="9"/>
    </w:lvl>
    <w:lvl w:ilvl="1">
      <w:lvlJc w:val="left"/>
      <w:lvlText w:val="(%2)"/>
      <w:numFmt w:val="decimal"/>
      <w:start w:val="1"/>
    </w:lvl>
  </w:abstractNum>
  <w:abstractNum w:abstractNumId="99">
    <w:nsid w:val="260D8C4A"/>
    <w:multiLevelType w:val="hybridMultilevel"/>
    <w:lvl w:ilvl="0">
      <w:lvlJc w:val="left"/>
      <w:lvlText w:val="(%1)"/>
      <w:numFmt w:val="upperLetter"/>
      <w:start w:val="2"/>
    </w:lvl>
  </w:abstractNum>
  <w:abstractNum w:abstractNumId="100">
    <w:nsid w:val="73D4D3C4"/>
    <w:multiLevelType w:val="hybridMultilevel"/>
    <w:lvl w:ilvl="0">
      <w:lvlJc w:val="left"/>
      <w:lvlText w:val="(%1)"/>
      <w:numFmt w:val="upperLetter"/>
      <w:start w:val="1"/>
    </w:lvl>
  </w:abstractNum>
  <w:abstractNum w:abstractNumId="101">
    <w:nsid w:val="746F2E30"/>
    <w:multiLevelType w:val="hybridMultilevel"/>
    <w:lvl w:ilvl="0">
      <w:lvlJc w:val="left"/>
      <w:lvlText w:val="(%1)"/>
      <w:numFmt w:val="upperLetter"/>
      <w:start w:val="1"/>
    </w:lvl>
  </w:abstractNum>
  <w:abstractNum w:abstractNumId="102">
    <w:nsid w:val="6FDE8AF6"/>
    <w:multiLevelType w:val="hybridMultilevel"/>
    <w:lvl w:ilvl="0">
      <w:lvlJc w:val="left"/>
      <w:lvlText w:val="(%1)"/>
      <w:numFmt w:val="upperLetter"/>
      <w:start w:val="1"/>
    </w:lvl>
  </w:abstractNum>
  <w:abstractNum w:abstractNumId="103">
    <w:nsid w:val="3FC32E20"/>
    <w:multiLevelType w:val="hybridMultilevel"/>
    <w:lvl w:ilvl="0">
      <w:lvlJc w:val="left"/>
      <w:lvlText w:val="(%1)"/>
      <w:numFmt w:val="upperLetter"/>
      <w:start w:val="1"/>
    </w:lvl>
  </w:abstractNum>
  <w:abstractNum w:abstractNumId="104">
    <w:nsid w:val="49C0E823"/>
    <w:multiLevelType w:val="hybridMultilevel"/>
    <w:lvl w:ilvl="0">
      <w:lvlJc w:val="left"/>
      <w:lvlText w:val="(%1)"/>
      <w:numFmt w:val="upperLetter"/>
      <w:start w:val="1"/>
    </w:lvl>
  </w:abstractNum>
  <w:abstractNum w:abstractNumId="105">
    <w:nsid w:val="14D53685"/>
    <w:multiLevelType w:val="hybridMultilevel"/>
    <w:lvl w:ilvl="0">
      <w:lvlJc w:val="left"/>
      <w:lvlText w:val="(%1)"/>
      <w:numFmt w:val="upperLetter"/>
      <w:start w:val="2"/>
    </w:lvl>
  </w:abstractNum>
  <w:abstractNum w:abstractNumId="106">
    <w:nsid w:val="230F856C"/>
    <w:multiLevelType w:val="hybridMultilevel"/>
    <w:lvl w:ilvl="0">
      <w:lvlJc w:val="left"/>
      <w:lvlText w:val="(%1)"/>
      <w:numFmt w:val="upperLetter"/>
      <w:start w:val="1"/>
    </w:lvl>
  </w:abstractNum>
  <w:abstractNum w:abstractNumId="107">
    <w:nsid w:val="6EAA85FB"/>
    <w:multiLevelType w:val="hybridMultilevel"/>
    <w:lvl w:ilvl="0">
      <w:lvlJc w:val="left"/>
      <w:lvlText w:val="(%1)"/>
      <w:numFmt w:val="upperLetter"/>
      <w:start w:val="9"/>
    </w:lvl>
  </w:abstractNum>
  <w:abstractNum w:abstractNumId="108">
    <w:nsid w:val="3F06ECB2"/>
    <w:multiLevelType w:val="hybridMultilevel"/>
    <w:lvl w:ilvl="0">
      <w:lvlJc w:val="left"/>
      <w:lvlText w:val="(%1)"/>
      <w:numFmt w:val="upperLetter"/>
      <w:start w:val="1"/>
    </w:lvl>
    <w:lvl w:ilvl="1">
      <w:lvlJc w:val="left"/>
      <w:lvlText w:val="(%2)"/>
      <w:numFmt w:val="lowerRoman"/>
      <w:start w:val="1"/>
    </w:lvl>
  </w:abstractNum>
  <w:abstractNum w:abstractNumId="109">
    <w:nsid w:val="3B594807"/>
    <w:multiLevelType w:val="hybridMultilevel"/>
    <w:lvl w:ilvl="0">
      <w:lvlJc w:val="left"/>
      <w:lvlText w:val="(%1)"/>
      <w:numFmt w:val="upperLetter"/>
      <w:start w:val="2"/>
    </w:lvl>
  </w:abstractNum>
  <w:abstractNum w:abstractNumId="110">
    <w:nsid w:val="6CAA2304"/>
    <w:multiLevelType w:val="hybridMultilevel"/>
    <w:lvl w:ilvl="0">
      <w:lvlJc w:val="left"/>
      <w:lvlText w:val="(%1)"/>
      <w:numFmt w:val="upperLetter"/>
      <w:start w:val="1"/>
    </w:lvl>
  </w:abstractNum>
  <w:abstractNum w:abstractNumId="111">
    <w:nsid w:val="3F7C2FF4"/>
    <w:multiLevelType w:val="hybridMultilevel"/>
    <w:lvl w:ilvl="0">
      <w:lvlJc w:val="left"/>
      <w:lvlText w:val="%1"/>
      <w:numFmt w:val="lowerRoman"/>
      <w:start w:val="1"/>
    </w:lvl>
    <w:lvl w:ilvl="1">
      <w:lvlJc w:val="left"/>
      <w:lvlText w:val="(%2)"/>
      <w:numFmt w:val="upperLetter"/>
      <w:start w:val="1"/>
    </w:lvl>
  </w:abstractNum>
  <w:abstractNum w:abstractNumId="112">
    <w:nsid w:val="25413BEC"/>
    <w:multiLevelType w:val="hybridMultilevel"/>
    <w:lvl w:ilvl="0">
      <w:lvlJc w:val="left"/>
      <w:lvlText w:val="(%1)"/>
      <w:numFmt w:val="lowerRoman"/>
      <w:start w:val="2"/>
    </w:lvl>
    <w:lvl w:ilvl="1">
      <w:lvlJc w:val="left"/>
      <w:lvlText w:val="(%2)"/>
      <w:numFmt w:val="upperLetter"/>
      <w:start w:val="2"/>
    </w:lvl>
  </w:abstractNum>
  <w:abstractNum w:abstractNumId="113">
    <w:nsid w:val="17180B0B"/>
    <w:multiLevelType w:val="hybridMultilevel"/>
    <w:lvl w:ilvl="0">
      <w:lvlJc w:val="left"/>
      <w:lvlText w:val="(%1)"/>
      <w:numFmt w:val="upperLetter"/>
      <w:start w:val="1"/>
    </w:lvl>
    <w:lvl w:ilvl="1">
      <w:lvlJc w:val="left"/>
      <w:lvlText w:val="(%2)"/>
      <w:numFmt w:val="lowerRoman"/>
      <w:start w:val="1"/>
    </w:lvl>
  </w:abstractNum>
  <w:abstractNum w:abstractNumId="114">
    <w:nsid w:val="579328B9"/>
    <w:multiLevelType w:val="hybridMultilevel"/>
    <w:lvl w:ilvl="0">
      <w:lvlJc w:val="left"/>
      <w:lvlText w:val="(%1)"/>
      <w:numFmt w:val="upperLetter"/>
      <w:start w:val="1"/>
    </w:lvl>
  </w:abstractNum>
  <w:abstractNum w:abstractNumId="115">
    <w:nsid w:val="5D205E20"/>
    <w:multiLevelType w:val="hybridMultilevel"/>
    <w:lvl w:ilvl="0">
      <w:lvlJc w:val="left"/>
      <w:lvlText w:val="(%1)"/>
      <w:numFmt w:val="upperLetter"/>
      <w:start w:val="1"/>
    </w:lvl>
  </w:abstractNum>
  <w:abstractNum w:abstractNumId="116">
    <w:nsid w:val="11CCA8BA"/>
    <w:multiLevelType w:val="hybridMultilevel"/>
    <w:lvl w:ilvl="0">
      <w:lvlJc w:val="left"/>
      <w:lvlText w:val="(%1)"/>
      <w:numFmt w:val="upperLetter"/>
      <w:start w:val="1"/>
    </w:lvl>
  </w:abstractNum>
  <w:abstractNum w:abstractNumId="117">
    <w:nsid w:val="4D32AB86"/>
    <w:multiLevelType w:val="hybridMultilevel"/>
    <w:lvl w:ilvl="0">
      <w:lvlJc w:val="left"/>
      <w:lvlText w:val="(%1)"/>
      <w:numFmt w:val="upperLetter"/>
      <w:start w:val="3"/>
    </w:lvl>
  </w:abstractNum>
  <w:abstractNum w:abstractNumId="118">
    <w:nsid w:val="3F07ACC3"/>
    <w:multiLevelType w:val="hybridMultilevel"/>
    <w:lvl w:ilvl="0">
      <w:lvlJc w:val="left"/>
      <w:lvlText w:val="(%1)"/>
      <w:numFmt w:val="upperLetter"/>
      <w:start w:val="1"/>
    </w:lvl>
    <w:lvl w:ilvl="1">
      <w:lvlJc w:val="left"/>
      <w:lvlText w:val="(%2)"/>
      <w:numFmt w:val="lowerRoman"/>
      <w:start w:val="1"/>
    </w:lvl>
  </w:abstractNum>
  <w:abstractNum w:abstractNumId="119">
    <w:nsid w:val="6B47F63E"/>
    <w:multiLevelType w:val="hybridMultilevel"/>
    <w:lvl w:ilvl="0">
      <w:lvlJc w:val="left"/>
      <w:lvlText w:val="(%1)"/>
      <w:numFmt w:val="upperLetter"/>
      <w:start w:val="1"/>
    </w:lvl>
  </w:abstractNum>
  <w:abstractNum w:abstractNumId="120">
    <w:nsid w:val="5CB44A05"/>
    <w:multiLevelType w:val="hybridMultilevel"/>
    <w:lvl w:ilvl="0">
      <w:lvlJc w:val="left"/>
      <w:lvlText w:val="(%1)"/>
      <w:numFmt w:val="upperLetter"/>
      <w:start w:val="1"/>
    </w:lvl>
  </w:abstractNum>
  <w:abstractNum w:abstractNumId="121">
    <w:nsid w:val="16CF80F1"/>
    <w:multiLevelType w:val="hybridMultilevel"/>
    <w:lvl w:ilvl="0">
      <w:lvlJc w:val="left"/>
      <w:lvlText w:val="*"/>
      <w:numFmt w:val="bullet"/>
      <w:start w:val="1"/>
    </w:lvl>
  </w:abstractNum>
  <w:abstractNum w:abstractNumId="122">
    <w:nsid w:val="1C695DEC"/>
    <w:multiLevelType w:val="hybridMultilevel"/>
    <w:lvl w:ilvl="0">
      <w:lvlJc w:val="left"/>
      <w:lvlText w:val="%1."/>
      <w:numFmt w:val="decimal"/>
      <w:start w:val="1"/>
    </w:lvl>
  </w:abstractNum>
  <w:abstractNum w:abstractNumId="123">
    <w:nsid w:val="3FCFAED9"/>
    <w:multiLevelType w:val="hybridMultilevel"/>
    <w:lvl w:ilvl="0">
      <w:lvlJc w:val="left"/>
      <w:lvlText w:val="%1."/>
      <w:numFmt w:val="decimal"/>
      <w:start w:val="13"/>
    </w:lvl>
  </w:abstractNum>
  <w:abstractNum w:abstractNumId="124">
    <w:nsid w:val="F856867"/>
    <w:multiLevelType w:val="hybridMultilevel"/>
    <w:lvl w:ilvl="0">
      <w:lvlJc w:val="left"/>
      <w:lvlText w:val="*"/>
      <w:numFmt w:val="bullet"/>
      <w:start w:val="1"/>
    </w:lvl>
  </w:abstractNum>
  <w:abstractNum w:abstractNumId="125">
    <w:nsid w:val="11B1CC33"/>
    <w:multiLevelType w:val="hybridMultilevel"/>
    <w:lvl w:ilvl="0">
      <w:lvlJc w:val="left"/>
      <w:lvlText w:val="☐"/>
      <w:numFmt w:val="bullet"/>
      <w:start w:val="1"/>
    </w:lvl>
  </w:abstractNum>
  <w:abstractNum w:abstractNumId="126">
    <w:nsid w:val="2E22FBB7"/>
    <w:multiLevelType w:val="hybridMultilevel"/>
    <w:lvl w:ilvl="0">
      <w:lvlJc w:val="left"/>
      <w:lvlText w:val="*"/>
      <w:numFmt w:val="bullet"/>
      <w:start w:val="1"/>
    </w:lvl>
  </w:abstractNum>
  <w:abstractNum w:abstractNumId="127">
    <w:nsid w:val="29934699"/>
    <w:multiLevelType w:val="hybridMultilevel"/>
    <w:lvl w:ilvl="0">
      <w:lvlJc w:val="left"/>
      <w:lvlText w:val="☐"/>
      <w:numFmt w:val="bullet"/>
      <w:start w:val="1"/>
    </w:lvl>
  </w:abstractNum>
  <w:abstractNum w:abstractNumId="128">
    <w:nsid w:val="77485850"/>
    <w:multiLevelType w:val="hybridMultilevel"/>
    <w:lvl w:ilvl="0">
      <w:lvlJc w:val="left"/>
      <w:lvlText w:val="*"/>
      <w:numFmt w:val="bullet"/>
      <w:start w:val="1"/>
    </w:lvl>
  </w:abstractNum>
  <w:abstractNum w:abstractNumId="129">
    <w:nsid w:val="744939A3"/>
    <w:multiLevelType w:val="hybridMultilevel"/>
    <w:lvl w:ilvl="0">
      <w:lvlJc w:val="left"/>
      <w:lvlText w:val="☐"/>
      <w:numFmt w:val="bullet"/>
      <w:start w:val="1"/>
    </w:lvl>
  </w:abstractNum>
  <w:abstractNum w:abstractNumId="130">
    <w:nsid w:val="4FA0D2E3"/>
    <w:multiLevelType w:val="hybridMultilevel"/>
    <w:lvl w:ilvl="0">
      <w:lvlJc w:val="left"/>
      <w:lvlText w:val="*"/>
      <w:numFmt w:val="bullet"/>
      <w:start w:val="1"/>
    </w:lvl>
  </w:abstractNum>
  <w:abstractNum w:abstractNumId="131">
    <w:nsid w:val="6B1D2C14"/>
    <w:multiLevelType w:val="hybridMultilevel"/>
    <w:lvl w:ilvl="0">
      <w:lvlJc w:val="left"/>
      <w:lvlText w:val="%1."/>
      <w:numFmt w:val="decimal"/>
      <w:start w:val="1"/>
    </w:lvl>
  </w:abstractNum>
  <w:abstractNum w:abstractNumId="132">
    <w:nsid w:val="68B867D3"/>
    <w:multiLevelType w:val="hybridMultilevel"/>
    <w:lvl w:ilvl="0">
      <w:lvlJc w:val="left"/>
      <w:lvlText w:val="(%1)"/>
      <w:numFmt w:val="decimal"/>
      <w:start w:val="1"/>
    </w:lvl>
    <w:lvl w:ilvl="1">
      <w:lvlJc w:val="left"/>
      <w:lvlText w:val="(%2)"/>
      <w:numFmt w:val="upperLetter"/>
      <w:start w:val="1"/>
    </w:lvl>
  </w:abstractNum>
  <w:abstractNum w:abstractNumId="133">
    <w:nsid w:val="3F7F5DD9"/>
    <w:multiLevelType w:val="hybridMultilevel"/>
    <w:lvl w:ilvl="0">
      <w:lvlJc w:val="left"/>
      <w:lvlText w:val="*"/>
      <w:numFmt w:val="bullet"/>
      <w:start w:val="1"/>
    </w:lvl>
  </w:abstractNum>
  <w:abstractNum w:abstractNumId="134">
    <w:nsid w:val="2AE05A34"/>
    <w:multiLevelType w:val="hybridMultilevel"/>
    <w:lvl w:ilvl="0">
      <w:lvlJc w:val="left"/>
      <w:lvlText w:val="(%1)"/>
      <w:numFmt w:val="decimal"/>
      <w:start w:val="1"/>
    </w:lvl>
    <w:lvl w:ilvl="1">
      <w:lvlJc w:val="left"/>
      <w:lvlText w:val="(%2)"/>
      <w:numFmt w:val="upperLetter"/>
      <w:start w:val="1"/>
    </w:lvl>
  </w:abstractNum>
  <w:abstractNum w:abstractNumId="135">
    <w:nsid w:val="32794FF7"/>
    <w:multiLevelType w:val="hybridMultilevel"/>
    <w:lvl w:ilvl="0">
      <w:lvlJc w:val="left"/>
      <w:lvlText w:val="%1."/>
      <w:numFmt w:val="decimal"/>
      <w:start w:val="1"/>
    </w:lvl>
  </w:abstractNum>
  <w:abstractNum w:abstractNumId="136">
    <w:nsid w:val="5454945E"/>
    <w:multiLevelType w:val="hybridMultilevel"/>
    <w:lvl w:ilvl="0">
      <w:lvlJc w:val="left"/>
      <w:lvlText w:val="%1."/>
      <w:numFmt w:val="decimal"/>
      <w:start w:val="13"/>
    </w:lvl>
    <w:lvl w:ilvl="1">
      <w:lvlJc w:val="left"/>
      <w:lvlText w:val="*"/>
      <w:numFmt w:val="bullet"/>
      <w:start w:val="1"/>
    </w:lvl>
  </w:abstractNum>
  <w:abstractNum w:abstractNumId="137">
    <w:nsid w:val="4DEFDFA0"/>
    <w:multiLevelType w:val="hybridMultilevel"/>
    <w:lvl w:ilvl="0">
      <w:lvlJc w:val="left"/>
      <w:lvlText w:val="☐"/>
      <w:numFmt w:val="bullet"/>
      <w:start w:val="1"/>
    </w:lvl>
  </w:abstractNum>
  <w:abstractNum w:abstractNumId="138">
    <w:nsid w:val="2123D5F2"/>
    <w:multiLevelType w:val="hybridMultilevel"/>
    <w:lvl w:ilvl="0">
      <w:lvlJc w:val="left"/>
      <w:lvlText w:val="*"/>
      <w:numFmt w:val="bullet"/>
      <w:start w:val="1"/>
    </w:lvl>
  </w:abstractNum>
  <w:abstractNum w:abstractNumId="139">
    <w:nsid w:val="135B8110"/>
    <w:multiLevelType w:val="hybridMultilevel"/>
    <w:lvl w:ilvl="0">
      <w:lvlJc w:val="left"/>
      <w:lvlText w:val="☐"/>
      <w:numFmt w:val="bullet"/>
      <w:start w:val="1"/>
    </w:lvl>
  </w:abstractNum>
  <w:abstractNum w:abstractNumId="140">
    <w:nsid w:val="94927A8"/>
    <w:multiLevelType w:val="hybridMultilevel"/>
    <w:lvl w:ilvl="0">
      <w:lvlJc w:val="left"/>
      <w:lvlText w:val="*"/>
      <w:numFmt w:val="bullet"/>
      <w:start w:val="1"/>
    </w:lvl>
  </w:abstractNum>
  <w:abstractNum w:abstractNumId="141">
    <w:nsid w:val="DCDF8F6"/>
    <w:multiLevelType w:val="hybridMultilevel"/>
    <w:lvl w:ilvl="0">
      <w:lvlJc w:val="left"/>
      <w:lvlText w:val="☐"/>
      <w:numFmt w:val="bullet"/>
      <w:start w:val="1"/>
    </w:lvl>
  </w:abstractNum>
  <w:abstractNum w:abstractNumId="142">
    <w:nsid w:val="52D7B105"/>
    <w:multiLevelType w:val="hybridMultilevel"/>
    <w:lvl w:ilvl="0">
      <w:lvlJc w:val="left"/>
      <w:lvlText w:val="*"/>
      <w:numFmt w:val="bullet"/>
      <w:start w:val="1"/>
    </w:lvl>
  </w:abstractNum>
  <w:abstractNum w:abstractNumId="143">
    <w:nsid w:val="2E8A6394"/>
    <w:multiLevelType w:val="hybridMultilevel"/>
    <w:lvl w:ilvl="0">
      <w:lvlJc w:val="left"/>
      <w:lvlText w:val="%1."/>
      <w:numFmt w:val="decimal"/>
      <w:start w:val="1"/>
    </w:lvl>
    <w:lvl w:ilvl="1">
      <w:lvlJc w:val="left"/>
      <w:lvlText w:val="%2."/>
      <w:numFmt w:val="decimal"/>
      <w:start w:val="3"/>
    </w:lvl>
  </w:abstractNum>
  <w:abstractNum w:abstractNumId="144">
    <w:nsid w:val="24E60401"/>
    <w:multiLevelType w:val="hybridMultilevel"/>
    <w:lvl w:ilvl="0">
      <w:lvlJc w:val="left"/>
      <w:lvlText w:val="1"/>
      <w:numFmt w:val="bullet"/>
      <w:start w:val="1"/>
    </w:lvl>
  </w:abstractNum>
  <w:abstractNum w:abstractNumId="145">
    <w:nsid w:val="2A6AD9BE"/>
    <w:multiLevelType w:val="hybridMultilevel"/>
    <w:lvl w:ilvl="0">
      <w:lvlJc w:val="left"/>
      <w:lvlText w:val="%1."/>
      <w:numFmt w:val="decimal"/>
      <w:start w:val="1"/>
    </w:lvl>
  </w:abstractNum>
  <w:abstractNum w:abstractNumId="146">
    <w:nsid w:val="BAAC1B4"/>
    <w:multiLevelType w:val="hybridMultilevel"/>
    <w:lvl w:ilvl="0">
      <w:lvlJc w:val="left"/>
      <w:lvlText w:val="%1"/>
      <w:numFmt w:val="decimal"/>
      <w:start w:val="12"/>
    </w:lvl>
  </w:abstractNum>
  <w:abstractNum w:abstractNumId="147">
    <w:nsid w:val="36B2ACBC"/>
    <w:multiLevelType w:val="hybridMultilevel"/>
    <w:lvl w:ilvl="0">
      <w:lvlJc w:val="left"/>
      <w:lvlText w:val="%1"/>
      <w:numFmt w:val="decimal"/>
      <w:start w:val="14"/>
    </w:lvl>
  </w:abstractNum>
  <w:abstractNum w:abstractNumId="148">
    <w:nsid w:val="779D8544"/>
    <w:multiLevelType w:val="hybridMultilevel"/>
    <w:lvl w:ilvl="0">
      <w:lvlJc w:val="left"/>
      <w:lvlText w:val="%1"/>
      <w:numFmt w:val="decimal"/>
      <w:start w:val="20"/>
    </w:lvl>
  </w:abstractNum>
  <w:abstractNum w:abstractNumId="149">
    <w:nsid w:val="4AB26E78"/>
    <w:multiLevelType w:val="hybridMultilevel"/>
    <w:lvl w:ilvl="0">
      <w:lvlJc w:val="left"/>
      <w:lvlText w:val="%1"/>
      <w:numFmt w:val="decimal"/>
      <w:start w:val="24"/>
    </w:lvl>
  </w:abstractNum>
  <w:abstractNum w:abstractNumId="150">
    <w:nsid w:val="21FAA2FA"/>
    <w:multiLevelType w:val="hybridMultilevel"/>
    <w:lvl w:ilvl="0">
      <w:lvlJc w:val="left"/>
      <w:lvlText w:val="(%1)"/>
      <w:numFmt w:val="lowerLetter"/>
      <w:start w:val="1"/>
    </w:lvl>
  </w:abstractNum>
  <w:abstractNum w:abstractNumId="151">
    <w:nsid w:val="5451CF49"/>
    <w:multiLevelType w:val="hybridMultilevel"/>
    <w:lvl w:ilvl="0">
      <w:lvlJc w:val="left"/>
      <w:lvlText w:val="%1"/>
      <w:numFmt w:val="decimal"/>
      <w:start w:val="26"/>
    </w:lvl>
  </w:abstractNum>
  <w:abstractNum w:abstractNumId="152">
    <w:nsid w:val="6181EF69"/>
    <w:multiLevelType w:val="hybridMultilevel"/>
    <w:lvl w:ilvl="0">
      <w:lvlJc w:val="left"/>
      <w:lvlText w:val="%1."/>
      <w:numFmt w:val="decimal"/>
      <w:start w:val="3"/>
    </w:lvl>
  </w:abstractNum>
  <w:abstractNum w:abstractNumId="153">
    <w:nsid w:val="3E6400E6"/>
    <w:multiLevelType w:val="hybridMultilevel"/>
    <w:lvl w:ilvl="0">
      <w:lvlJc w:val="left"/>
      <w:lvlText w:val="%1"/>
      <w:numFmt w:val="decimal"/>
      <w:start w:val="29"/>
    </w:lvl>
  </w:abstractNum>
  <w:abstractNum w:abstractNumId="154">
    <w:nsid w:val="14217E23"/>
    <w:multiLevelType w:val="hybridMultilevel"/>
    <w:lvl w:ilvl="0">
      <w:lvlJc w:val="left"/>
      <w:lvlText w:val="%1"/>
      <w:numFmt w:val="decimal"/>
      <w:start w:val="31"/>
    </w:lvl>
  </w:abstractNum>
  <w:abstractNum w:abstractNumId="155">
    <w:nsid w:val="710757D0"/>
    <w:multiLevelType w:val="hybridMultilevel"/>
    <w:lvl w:ilvl="0">
      <w:lvlJc w:val="left"/>
      <w:lvlText w:val="(%1)"/>
      <w:numFmt w:val="lowerRoman"/>
      <w:start w:val="2"/>
    </w:lvl>
  </w:abstractNum>
  <w:abstractNum w:abstractNumId="156">
    <w:nsid w:val="5015CD1A"/>
    <w:multiLevelType w:val="hybridMultilevel"/>
    <w:lvl w:ilvl="0">
      <w:lvlJc w:val="left"/>
      <w:lvlText w:val="%1"/>
      <w:numFmt w:val="decimal"/>
      <w:start w:val="33"/>
    </w:lvl>
  </w:abstractNum>
  <w:abstractNum w:abstractNumId="157">
    <w:nsid w:val="424479DA"/>
    <w:multiLevelType w:val="hybridMultilevel"/>
    <w:lvl w:ilvl="0">
      <w:lvlJc w:val="left"/>
      <w:lvlText w:val="%1"/>
      <w:numFmt w:val="decimal"/>
      <w:start w:val="37"/>
    </w:lvl>
  </w:abstractNum>
  <w:abstractNum w:abstractNumId="158">
    <w:nsid w:val="1A9A9E69"/>
    <w:multiLevelType w:val="hybridMultilevel"/>
    <w:lvl w:ilvl="0">
      <w:lvlJc w:val="left"/>
      <w:lvlText w:val="%1."/>
      <w:numFmt w:val="decimal"/>
      <w:start w:val="4"/>
    </w:lvl>
  </w:abstractNum>
  <w:abstractNum w:abstractNumId="159">
    <w:nsid w:val="475E256A"/>
    <w:multiLevelType w:val="hybridMultilevel"/>
    <w:lvl w:ilvl="0">
      <w:lvlJc w:val="left"/>
      <w:lvlText w:val="%1."/>
      <w:numFmt w:val="decimal"/>
      <w:start w:val="5"/>
    </w:lvl>
    <w:lvl w:ilvl="1">
      <w:lvlJc w:val="left"/>
      <w:lvlText w:val="(%2)"/>
      <w:numFmt w:val="lowerLetter"/>
      <w:start w:val="1"/>
    </w:lvl>
  </w:abstractNum>
  <w:abstractNum w:abstractNumId="160">
    <w:nsid w:val="368DB37E"/>
    <w:multiLevelType w:val="hybridMultilevel"/>
    <w:lvl w:ilvl="0">
      <w:lvlJc w:val="left"/>
      <w:lvlText w:val="%1"/>
      <w:numFmt w:val="decimal"/>
      <w:start w:val="41"/>
    </w:lvl>
  </w:abstractNum>
  <w:abstractNum w:abstractNumId="161">
    <w:nsid w:val="6A3B714C"/>
    <w:multiLevelType w:val="hybridMultilevel"/>
    <w:lvl w:ilvl="0">
      <w:lvlJc w:val="left"/>
      <w:lvlText w:val="%1."/>
      <w:numFmt w:val="decimal"/>
      <w:start w:val="6"/>
    </w:lvl>
    <w:lvl w:ilvl="1">
      <w:lvlJc w:val="left"/>
      <w:lvlText w:val="(%2)"/>
      <w:numFmt w:val="lowerLetter"/>
      <w:start w:val="1"/>
    </w:lvl>
  </w:abstractNum>
  <w:abstractNum w:abstractNumId="162">
    <w:nsid w:val="327B517E"/>
    <w:multiLevelType w:val="hybridMultilevel"/>
    <w:lvl w:ilvl="0">
      <w:lvlJc w:val="left"/>
      <w:lvlText w:val="%1."/>
      <w:numFmt w:val="decimal"/>
      <w:start w:val="8"/>
    </w:lvl>
  </w:abstractNum>
  <w:abstractNum w:abstractNumId="163">
    <w:nsid w:val="1F461B51"/>
    <w:multiLevelType w:val="hybridMultilevel"/>
    <w:lvl w:ilvl="0">
      <w:lvlJc w:val="left"/>
      <w:lvlText w:val="%1"/>
      <w:numFmt w:val="decimal"/>
      <w:start w:val="42"/>
    </w:lvl>
  </w:abstractNum>
  <w:abstractNum w:abstractNumId="164">
    <w:nsid w:val="29BACF25"/>
    <w:multiLevelType w:val="hybridMultilevel"/>
    <w:lvl w:ilvl="0">
      <w:lvlJc w:val="left"/>
      <w:lvlText w:val="(%1)"/>
      <w:numFmt w:val="lowerLetter"/>
      <w:start w:val="1"/>
    </w:lvl>
  </w:abstractNum>
  <w:abstractNum w:abstractNumId="165">
    <w:nsid w:val="5D5BABB3"/>
    <w:multiLevelType w:val="hybridMultilevel"/>
    <w:lvl w:ilvl="0">
      <w:lvlJc w:val="left"/>
      <w:lvlText w:val="(%1)"/>
      <w:numFmt w:val="lowerLetter"/>
      <w:start w:val="10"/>
    </w:lvl>
    <w:lvl w:ilvl="1">
      <w:lvlJc w:val="left"/>
      <w:lvlText w:val="(%2)"/>
      <w:numFmt w:val="lowerLetter"/>
      <w:start w:val="2"/>
    </w:lvl>
  </w:abstractNum>
  <w:abstractNum w:abstractNumId="166">
    <w:nsid w:val="51BF6B48"/>
    <w:multiLevelType w:val="hybridMultilevel"/>
    <w:lvl w:ilvl="0">
      <w:lvlJc w:val="left"/>
      <w:lvlText w:val="%1"/>
      <w:numFmt w:val="decimal"/>
      <w:start w:val="1"/>
    </w:lvl>
    <w:lvl w:ilvl="1">
      <w:lvlJc w:val="left"/>
      <w:lvlText w:val="(%2)"/>
      <w:numFmt w:val="lowerLetter"/>
      <w:start w:val="12"/>
    </w:lvl>
  </w:abstractNum>
  <w:abstractNum w:abstractNumId="167">
    <w:nsid w:val="7E0F6384"/>
    <w:multiLevelType w:val="hybridMultilevel"/>
    <w:lvl w:ilvl="0">
      <w:lvlJc w:val="left"/>
      <w:lvlText w:val="%1."/>
      <w:numFmt w:val="decimal"/>
      <w:start w:val="9"/>
    </w:lvl>
    <w:lvl w:ilvl="1">
      <w:lvlJc w:val="left"/>
      <w:lvlText w:val="(%2)"/>
      <w:numFmt w:val="lowerLetter"/>
      <w:start w:val="1"/>
    </w:lvl>
  </w:abstractNum>
  <w:abstractNum w:abstractNumId="168">
    <w:nsid w:val="2B4B8B53"/>
    <w:multiLevelType w:val="hybridMultilevel"/>
    <w:lvl w:ilvl="0">
      <w:lvlJc w:val="left"/>
      <w:lvlText w:val="%1"/>
      <w:numFmt w:val="decimal"/>
      <w:start w:val="43"/>
    </w:lvl>
  </w:abstractNum>
  <w:abstractNum w:abstractNumId="169">
    <w:nsid w:val="72E3413A"/>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70">
    <w:nsid w:val="116AE494"/>
    <w:multiLevelType w:val="hybridMultilevel"/>
    <w:lvl w:ilvl="0">
      <w:lvlJc w:val="left"/>
      <w:lvlText w:val="(%1)"/>
      <w:numFmt w:val="upperLetter"/>
      <w:start w:val="5"/>
    </w:lvl>
  </w:abstractNum>
  <w:abstractNum w:abstractNumId="171">
    <w:nsid w:val="3494B2FB"/>
    <w:multiLevelType w:val="hybridMultilevel"/>
    <w:lvl w:ilvl="0">
      <w:lvlJc w:val="left"/>
      <w:lvlText w:val="(%1)"/>
      <w:numFmt w:val="lowerRoman"/>
      <w:start w:val="2"/>
    </w:lvl>
    <w:lvl w:ilvl="1">
      <w:lvlJc w:val="left"/>
      <w:lvlText w:val="(%2)"/>
      <w:numFmt w:val="upperLetter"/>
      <w:start w:val="9"/>
    </w:lvl>
  </w:abstractNum>
  <w:abstractNum w:abstractNumId="172">
    <w:nsid w:val="B13A31"/>
    <w:multiLevelType w:val="hybridMultilevel"/>
    <w:lvl w:ilvl="0">
      <w:lvlJc w:val="left"/>
      <w:lvlText w:val="%1"/>
      <w:numFmt w:val="lowerRoman"/>
      <w:start w:val="1"/>
    </w:lvl>
    <w:lvl w:ilvl="1">
      <w:lvlJc w:val="left"/>
      <w:lvlText w:val="(%2)"/>
      <w:numFmt w:val="upperLetter"/>
      <w:start w:val="1"/>
    </w:lvl>
  </w:abstractNum>
  <w:abstractNum w:abstractNumId="173">
    <w:nsid w:val="64429599"/>
    <w:multiLevelType w:val="hybridMultilevel"/>
    <w:lvl w:ilvl="0">
      <w:lvlJc w:val="left"/>
      <w:lvlText w:val="%1"/>
      <w:numFmt w:val="lowerLetter"/>
      <w:start w:val="1"/>
    </w:lvl>
    <w:lvl w:ilvl="1">
      <w:lvlJc w:val="left"/>
      <w:lvlText w:val="(%2)"/>
      <w:numFmt w:val="lowerLetter"/>
      <w:start w:val="61"/>
    </w:lvl>
  </w:abstractNum>
  <w:abstractNum w:abstractNumId="174">
    <w:nsid w:val="631F1690"/>
    <w:multiLevelType w:val="hybridMultilevel"/>
    <w:lvl w:ilvl="0">
      <w:lvlJc w:val="left"/>
      <w:lvlText w:val="(%1)"/>
      <w:numFmt w:val="lowerLetter"/>
      <w:start w:val="6"/>
    </w:lvl>
    <w:lvl w:ilvl="1">
      <w:lvlJc w:val="left"/>
      <w:lvlText w:val="(%2)"/>
      <w:numFmt w:val="lowerLetter"/>
      <w:start w:val="9"/>
    </w:lvl>
  </w:abstractNum>
  <w:abstractNum w:abstractNumId="175">
    <w:nsid w:val="25973E32"/>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76">
    <w:nsid w:val="EAD6F57"/>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177">
    <w:nsid w:val="6EC9D844"/>
    <w:multiLevelType w:val="hybridMultilevel"/>
    <w:lvl w:ilvl="0">
      <w:lvlJc w:val="left"/>
      <w:lvlText w:val="%1"/>
      <w:numFmt w:val="decimal"/>
      <w:start w:val="46"/>
    </w:lvl>
  </w:abstractNum>
  <w:abstractNum w:abstractNumId="178">
    <w:nsid w:val="5C49EAEE"/>
    <w:multiLevelType w:val="hybridMultilevel"/>
    <w:lvl w:ilvl="0">
      <w:lvlJc w:val="left"/>
      <w:lvlText w:val="(%1)"/>
      <w:numFmt w:val="upperLetter"/>
      <w:start w:val="2"/>
    </w:lvl>
  </w:abstractNum>
  <w:abstractNum w:abstractNumId="179">
    <w:nsid w:val="64AF49B"/>
    <w:multiLevelType w:val="hybridMultilevel"/>
    <w:lvl w:ilvl="0">
      <w:lvlJc w:val="left"/>
      <w:lvlText w:val="%1"/>
      <w:numFmt w:val="decimal"/>
      <w:start w:val="47"/>
    </w:lvl>
  </w:abstractNum>
  <w:abstractNum w:abstractNumId="180">
    <w:nsid w:val="397C46BC"/>
    <w:multiLevelType w:val="hybridMultilevel"/>
    <w:lvl w:ilvl="0">
      <w:lvlJc w:val="left"/>
      <w:lvlText w:val="%1"/>
      <w:numFmt w:val="lowerRoman"/>
      <w:start w:val="1"/>
    </w:lvl>
    <w:lvl w:ilvl="1">
      <w:lvlJc w:val="left"/>
      <w:lvlText w:val="(%2)"/>
      <w:numFmt w:val="upperLetter"/>
      <w:start w:val="4"/>
    </w:lvl>
  </w:abstractNum>
  <w:abstractNum w:abstractNumId="181">
    <w:nsid w:val="7E448DE9"/>
    <w:multiLevelType w:val="hybridMultilevel"/>
    <w:lvl w:ilvl="0">
      <w:lvlJc w:val="left"/>
      <w:lvlText w:val="(%1)"/>
      <w:numFmt w:val="lowerRoman"/>
      <w:start w:val="2"/>
    </w:lvl>
    <w:lvl w:ilvl="1">
      <w:lvlJc w:val="left"/>
      <w:lvlText w:val="%2"/>
      <w:numFmt w:val="upperLetter"/>
      <w:start w:val="1"/>
    </w:lvl>
  </w:abstractNum>
  <w:abstractNum w:abstractNumId="182">
    <w:nsid w:val="5A9CC3E5"/>
    <w:multiLevelType w:val="hybridMultilevel"/>
    <w:lvl w:ilvl="0">
      <w:lvlJc w:val="left"/>
      <w:lvlText w:val="%1"/>
      <w:numFmt w:val="decimal"/>
      <w:start w:val="51"/>
    </w:lvl>
  </w:abstractNum>
  <w:abstractNum w:abstractNumId="183">
    <w:nsid w:val="1AFE3625"/>
    <w:multiLevelType w:val="hybridMultilevel"/>
    <w:lvl w:ilvl="0">
      <w:lvlJc w:val="left"/>
      <w:lvlText w:val="(%1)"/>
      <w:numFmt w:val="lowerRoman"/>
      <w:start w:val="4"/>
    </w:lvl>
    <w:lvl w:ilvl="1">
      <w:lvlJc w:val="left"/>
      <w:lvlText w:val="(%2)"/>
      <w:numFmt w:val="decimal"/>
      <w:start w:val="6"/>
    </w:lvl>
  </w:abstractNum>
  <w:abstractNum w:abstractNumId="184">
    <w:nsid w:val="3CA88ECF"/>
    <w:multiLevelType w:val="hybridMultilevel"/>
    <w:lvl w:ilvl="0">
      <w:lvlJc w:val="left"/>
      <w:lvlText w:val="%1"/>
      <w:numFmt w:val="decimal"/>
      <w:start w:val="54"/>
    </w:lvl>
  </w:abstractNum>
  <w:abstractNum w:abstractNumId="185">
    <w:nsid w:val="6EBE4208"/>
    <w:multiLevelType w:val="hybridMultilevel"/>
    <w:lvl w:ilvl="0">
      <w:lvlJc w:val="left"/>
      <w:lvlText w:val="(%1)"/>
      <w:numFmt w:val="lowerLetter"/>
      <w:start w:val="10"/>
    </w:lvl>
    <w:lvl w:ilvl="1">
      <w:lvlJc w:val="left"/>
      <w:lvlText w:val="(%2)"/>
      <w:numFmt w:val="lowerRoman"/>
      <w:start w:val="1"/>
    </w:lvl>
  </w:abstractNum>
  <w:abstractNum w:abstractNumId="186">
    <w:nsid w:val="C058DF5"/>
    <w:multiLevelType w:val="hybridMultilevel"/>
    <w:lvl w:ilvl="0">
      <w:lvlJc w:val="left"/>
      <w:lvlText w:val="%1"/>
      <w:numFmt w:val="decimal"/>
      <w:start w:val="59"/>
    </w:lvl>
  </w:abstractNum>
  <w:abstractNum w:abstractNumId="187">
    <w:nsid w:val="CBE5BE9"/>
    <w:multiLevelType w:val="hybridMultilevel"/>
    <w:lvl w:ilvl="0">
      <w:lvlJc w:val="left"/>
      <w:lvlText w:val="%1"/>
      <w:numFmt w:val="lowerLetter"/>
      <w:start w:val="1"/>
    </w:lvl>
    <w:lvl w:ilvl="1">
      <w:lvlJc w:val="left"/>
      <w:lvlText w:val="(%2)"/>
      <w:numFmt w:val="lowerRoman"/>
      <w:start w:val="4"/>
    </w:lvl>
  </w:abstractNum>
  <w:abstractNum w:abstractNumId="188">
    <w:nsid w:val="3102BBE2"/>
    <w:multiLevelType w:val="hybridMultilevel"/>
    <w:lvl w:ilvl="0">
      <w:lvlJc w:val="left"/>
      <w:lvlText w:val="(%1)"/>
      <w:numFmt w:val="lowerLetter"/>
      <w:start w:val="11"/>
    </w:lvl>
    <w:lvl w:ilvl="1">
      <w:lvlJc w:val="left"/>
      <w:lvlText w:val="%2"/>
      <w:numFmt w:val="lowerRoman"/>
      <w:start w:val="1"/>
    </w:lvl>
  </w:abstractNum>
  <w:abstractNum w:abstractNumId="189">
    <w:nsid w:val="26A02C5E"/>
    <w:multiLevelType w:val="hybridMultilevel"/>
    <w:lvl w:ilvl="0">
      <w:lvlJc w:val="left"/>
      <w:lvlText w:val="(%1)"/>
      <w:numFmt w:val="lowerLetter"/>
      <w:start w:val="13"/>
    </w:lvl>
  </w:abstractNum>
  <w:abstractNum w:abstractNumId="190">
    <w:nsid w:val="541C8153"/>
    <w:multiLevelType w:val="hybridMultilevel"/>
    <w:lvl w:ilvl="0">
      <w:lvlJc w:val="left"/>
      <w:lvlText w:val="(%1)"/>
      <w:numFmt w:val="lowerLetter"/>
      <w:start w:val="15"/>
    </w:lvl>
    <w:lvl w:ilvl="1">
      <w:lvlJc w:val="left"/>
      <w:lvlText w:val="(%2)"/>
      <w:numFmt w:val="lowerRoman"/>
      <w:start w:val="1"/>
    </w:lvl>
  </w:abstractNum>
  <w:abstractNum w:abstractNumId="191">
    <w:nsid w:val="67906F60"/>
    <w:multiLevelType w:val="hybridMultilevel"/>
    <w:lvl w:ilvl="0">
      <w:lvlJc w:val="left"/>
      <w:lvlText w:val="%1"/>
      <w:numFmt w:val="lowerLetter"/>
      <w:start w:val="1"/>
    </w:lvl>
    <w:lvl w:ilvl="1">
      <w:lvlJc w:val="left"/>
      <w:lvlText w:val="(%2)"/>
      <w:numFmt w:val="lowerLetter"/>
      <w:start w:val="35"/>
    </w:lvl>
  </w:abstractNum>
  <w:abstractNum w:abstractNumId="192">
    <w:nsid w:val="10DB9DAA"/>
    <w:multiLevelType w:val="hybridMultilevel"/>
    <w:lvl w:ilvl="0">
      <w:lvlJc w:val="left"/>
      <w:lvlText w:val="(%1)"/>
      <w:numFmt w:val="lowerLetter"/>
      <w:start w:val="20"/>
    </w:lvl>
    <w:lvl w:ilvl="1">
      <w:lvlJc w:val="left"/>
      <w:lvlText w:val="%2"/>
      <w:numFmt w:val="lowerLetter"/>
      <w:start w:val="1"/>
    </w:lvl>
  </w:abstractNum>
  <w:abstractNum w:abstractNumId="193">
    <w:nsid w:val="697D2D2"/>
    <w:multiLevelType w:val="hybridMultilevel"/>
    <w:lvl w:ilvl="0">
      <w:lvlJc w:val="left"/>
      <w:lvlText w:val="%1"/>
      <w:numFmt w:val="decimal"/>
      <w:start w:val="64"/>
    </w:lvl>
  </w:abstractNum>
  <w:abstractNum w:abstractNumId="194">
    <w:nsid w:val="6D68AB2"/>
    <w:multiLevelType w:val="hybridMultilevel"/>
    <w:lvl w:ilvl="0">
      <w:lvlJc w:val="left"/>
      <w:lvlText w:val="(%1)"/>
      <w:numFmt w:val="lowerLetter"/>
      <w:start w:val="23"/>
    </w:lvl>
    <w:lvl w:ilvl="1">
      <w:lvlJc w:val="left"/>
      <w:lvlText w:val="(%2)"/>
      <w:numFmt w:val="lowerRoman"/>
      <w:start w:val="1"/>
    </w:lvl>
    <w:lvl w:ilvl="2">
      <w:lvlJc w:val="left"/>
      <w:lvlText w:val="(%3)"/>
      <w:numFmt w:val="upperLetter"/>
      <w:start w:val="1"/>
    </w:lvl>
  </w:abstractNum>
  <w:abstractNum w:abstractNumId="195">
    <w:nsid w:val="3A966CD0"/>
    <w:multiLevelType w:val="hybridMultilevel"/>
    <w:lvl w:ilvl="0">
      <w:lvlJc w:val="left"/>
      <w:lvlText w:val="%1"/>
      <w:numFmt w:val="decimal"/>
      <w:start w:val="66"/>
    </w:lvl>
  </w:abstractNum>
  <w:abstractNum w:abstractNumId="196">
    <w:nsid w:val="63F37E8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97">
    <w:nsid w:val="5895F5FA"/>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98">
    <w:nsid w:val="38A5D054"/>
    <w:multiLevelType w:val="hybridMultilevel"/>
    <w:lvl w:ilvl="0">
      <w:lvlJc w:val="left"/>
      <w:lvlText w:val="(%1)"/>
      <w:numFmt w:val="lowerLetter"/>
      <w:start w:val="27"/>
    </w:lvl>
    <w:lvl w:ilvl="1">
      <w:lvlJc w:val="left"/>
      <w:lvlText w:val="%2"/>
      <w:numFmt w:val="lowerRoman"/>
      <w:start w:val="1"/>
    </w:lvl>
    <w:lvl w:ilvl="2">
      <w:lvlJc w:val="left"/>
      <w:lvlText w:val="%3"/>
      <w:numFmt w:val="upperLetter"/>
      <w:start w:val="1"/>
    </w:lvl>
  </w:abstractNum>
  <w:abstractNum w:abstractNumId="199">
    <w:nsid w:val="F3F09D8"/>
    <w:multiLevelType w:val="hybridMultilevel"/>
    <w:lvl w:ilvl="0">
      <w:lvlJc w:val="left"/>
      <w:lvlText w:val="%1"/>
      <w:numFmt w:val="decimal"/>
      <w:start w:val="67"/>
    </w:lvl>
  </w:abstractNum>
  <w:abstractNum w:abstractNumId="200">
    <w:nsid w:val="4B793735"/>
    <w:multiLevelType w:val="hybridMultilevel"/>
    <w:lvl w:ilvl="0">
      <w:lvlJc w:val="left"/>
      <w:lvlText w:val="%1"/>
      <w:numFmt w:val="decimal"/>
      <w:start w:val="6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2025-06-05T15:07:15Z</dcterms:created>
  <dcterms:modified xsi:type="dcterms:W3CDTF">2025-06-05T15:07:15Z</dcterms:modified>
</cp:coreProperties>
</file>