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948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75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Hulls Chris</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LIFE360,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1900 SOUTH NORFOLK STREET, SUITE 310</w:t>
      </w:r>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SAN MATEO</w:t>
            </w:r>
          </w:p>
        </w:tc>
        <w:tc>
          <w:tcPr>
            <w:tcW w:w="920" w:type="dxa"/>
            <w:vAlign w:val="bottom"/>
          </w:tcPr>
          <w:p>
            <w:pPr>
              <w:ind w:left="1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94403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1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Life360,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LIFX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0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26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20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06/28/2023</w:t>
            </w:r>
          </w:p>
        </w:tc>
        <w:tc>
          <w:tcPr>
            <w:tcW w:w="2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20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6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754"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06/28/2023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9"/>
              </w:rPr>
              <w:t>570,554</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jc w:val="center"/>
              <w:ind w:right="119"/>
              <w:spacing w:after="0"/>
              <w:rPr>
                <w:sz w:val="20"/>
                <w:szCs w:val="20"/>
                <w:color w:val="auto"/>
              </w:rPr>
            </w:pPr>
            <w:r>
              <w:rPr>
                <w:rFonts w:ascii="Arial" w:cs="Arial" w:eastAsia="Arial" w:hAnsi="Arial"/>
                <w:sz w:val="18"/>
                <w:szCs w:val="18"/>
                <w:color w:val="0000FF"/>
                <w:w w:val="97"/>
              </w:rPr>
              <w:t>2,447,116</w:t>
            </w:r>
            <w:r>
              <w:rPr>
                <w:rFonts w:ascii="Arial" w:cs="Arial" w:eastAsia="Arial" w:hAnsi="Arial"/>
                <w:sz w:val="22"/>
                <w:szCs w:val="22"/>
                <w:color w:val="008000"/>
                <w:w w:val="97"/>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restart"/>
          </w:tcPr>
          <w:p>
            <w:pPr>
              <w:jc w:val="center"/>
              <w:ind w:right="239"/>
              <w:spacing w:after="0"/>
              <w:rPr>
                <w:sz w:val="20"/>
                <w:szCs w:val="20"/>
                <w:color w:val="auto"/>
              </w:rPr>
            </w:pPr>
            <w:r>
              <w:rPr>
                <w:rFonts w:ascii="Arial" w:cs="Arial" w:eastAsia="Arial" w:hAnsi="Arial"/>
                <w:sz w:val="18"/>
                <w:szCs w:val="18"/>
                <w:color w:val="0000FF"/>
              </w:rPr>
              <w:t>29,960</w:t>
            </w:r>
            <w:r>
              <w:rPr>
                <w:rFonts w:ascii="Arial" w:cs="Arial" w:eastAsia="Arial" w:hAnsi="Arial"/>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ICCA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Labs,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shares of the Issuer's common stock underlying Chess Depositary Interests ("CDIs") held by the Reporting Person were previously pledged as collateral to secure certain personal indebtedness of the Reporting Person under a loan facility with a third-party lender. On June 28, 2023, the Reporting Person transferred 1,711,661 CDIs (equivalent to 570,554 shares) to the lender to satisfy the full outstanding amount under the loan as required by the loan documentation.</w:t>
      </w:r>
    </w:p>
    <w:p>
      <w:pPr>
        <w:spacing w:after="0" w:line="3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1,115,999 shares of the Issuer's common stock underlying 3,347,995 CDIs. The CDIs are traded on the Australian Securities Exchange (the "ASX") and are held by CHESS Depositary Nominees Pty, Limited, a subsidiary of ASX Limited, the company that operates the ASX. Also includes 68,023 restricted stock units, each of which represents a contingent right to receive one share of the Issuer's common stock upon vesting.</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Issuer's common stock underlying 89,880 CDIs.</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00" w:type="dxa"/>
            <w:vAlign w:val="bottom"/>
            <w:gridSpan w:val="3"/>
          </w:tcPr>
          <w:p>
            <w:pPr>
              <w:spacing w:after="0"/>
              <w:rPr>
                <w:sz w:val="20"/>
                <w:szCs w:val="20"/>
                <w:color w:val="auto"/>
              </w:rPr>
            </w:pPr>
            <w:r>
              <w:rPr>
                <w:rFonts w:ascii="Arial" w:cs="Arial" w:eastAsia="Arial" w:hAnsi="Arial"/>
                <w:sz w:val="18"/>
                <w:szCs w:val="18"/>
                <w:color w:val="0000FF"/>
                <w:w w:val="91"/>
              </w:rPr>
              <w:t>/s/ Jay Sood, as Attorney-in-</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7"/>
              </w:rPr>
              <w:t>06/30/2023</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6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6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754"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2" w:lineRule="exact"/>
        <w:rPr>
          <w:sz w:val="20"/>
          <w:szCs w:val="20"/>
          <w:color w:val="auto"/>
        </w:rPr>
      </w:pPr>
    </w:p>
    <w:p>
      <w:pPr>
        <w:ind w:right="1519"/>
        <w:spacing w:after="0" w:line="25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Russell J. Burke, Jay Sood, Alexander Gefter, Natalie Karam, Siana Lowrey, and Brian Youn, signing individually, the undersigned's true and lawful attorneys-in fact and agents to:</w:t>
      </w:r>
    </w:p>
    <w:p>
      <w:pPr>
        <w:spacing w:after="0" w:line="151" w:lineRule="exact"/>
        <w:rPr>
          <w:sz w:val="20"/>
          <w:szCs w:val="20"/>
          <w:color w:val="auto"/>
        </w:rPr>
      </w:pPr>
    </w:p>
    <w:p>
      <w:pPr>
        <w:ind w:right="1519" w:firstLine="8"/>
        <w:spacing w:after="0" w:line="250" w:lineRule="auto"/>
        <w:tabs>
          <w:tab w:leader="none" w:pos="42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greater than 10% stockholder of Life360, Inc. (the "Company"), Forms 3, 4 and 5 (including any amendments thereto) in accordance with Section 16(a) of the Securities Exchange Act of 1934, as amended (the "Exchange Act"), and the rules thereunder;</w:t>
      </w:r>
    </w:p>
    <w:p>
      <w:pPr>
        <w:spacing w:after="0" w:line="154" w:lineRule="exact"/>
        <w:rPr>
          <w:rFonts w:ascii="Courier New" w:cs="Courier New" w:eastAsia="Courier New" w:hAnsi="Courier New"/>
          <w:sz w:val="18"/>
          <w:szCs w:val="18"/>
          <w:color w:val="auto"/>
        </w:rPr>
      </w:pPr>
    </w:p>
    <w:p>
      <w:pPr>
        <w:ind w:right="1639" w:firstLine="8"/>
        <w:spacing w:after="0" w:line="250" w:lineRule="auto"/>
        <w:tabs>
          <w:tab w:leader="none" w:pos="42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spacing w:after="0" w:line="154" w:lineRule="exact"/>
        <w:rPr>
          <w:rFonts w:ascii="Courier New" w:cs="Courier New" w:eastAsia="Courier New" w:hAnsi="Courier New"/>
          <w:sz w:val="18"/>
          <w:szCs w:val="18"/>
          <w:color w:val="auto"/>
        </w:rPr>
      </w:pPr>
    </w:p>
    <w:p>
      <w:pPr>
        <w:ind w:right="1519" w:firstLine="8"/>
        <w:spacing w:after="0" w:line="246" w:lineRule="auto"/>
        <w:tabs>
          <w:tab w:leader="none" w:pos="42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9" w:lineRule="exact"/>
        <w:rPr>
          <w:sz w:val="20"/>
          <w:szCs w:val="20"/>
          <w:color w:val="auto"/>
        </w:rPr>
      </w:pPr>
    </w:p>
    <w:p>
      <w:pPr>
        <w:ind w:right="1519"/>
        <w:spacing w:after="0"/>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 w:lineRule="exact"/>
        <w:rPr>
          <w:sz w:val="20"/>
          <w:szCs w:val="20"/>
          <w:color w:val="auto"/>
        </w:rPr>
      </w:pPr>
    </w:p>
    <w:p>
      <w:pPr>
        <w:ind w:right="1639"/>
        <w:spacing w:after="0" w:line="278"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137" w:lineRule="exact"/>
        <w:rPr>
          <w:sz w:val="20"/>
          <w:szCs w:val="20"/>
          <w:color w:val="auto"/>
        </w:rPr>
      </w:pPr>
    </w:p>
    <w:p>
      <w:pPr>
        <w:ind w:right="1639"/>
        <w:spacing w:after="0" w:line="284" w:lineRule="auto"/>
        <w:rPr>
          <w:sz w:val="20"/>
          <w:szCs w:val="20"/>
          <w:color w:val="auto"/>
        </w:rPr>
      </w:pPr>
      <w:r>
        <w:rPr>
          <w:rFonts w:ascii="Courier New" w:cs="Courier New" w:eastAsia="Courier New" w:hAnsi="Courier New"/>
          <w:sz w:val="18"/>
          <w:szCs w:val="18"/>
          <w:color w:val="auto"/>
        </w:rPr>
        <w:t>The undersigned has caused this Power of Attorney to be executed as of June 30, 2023.</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Chris Hulls</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49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2023-06-30T17:51:32Z</dcterms:created>
  <dcterms:modified xsi:type="dcterms:W3CDTF">2023-06-30T17:51:32Z</dcterms:modified>
</cp:coreProperties>
</file>