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2380608.xml.htm"/>
      <w:bookmarkStart w:id="1" w:name="kswkform4_1762380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COGHLAN JOHN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98.88</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15,494</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99.47</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15,235</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3,344</w:t>
            </w:r>
            <w:r>
              <w:rPr>
                <w:rFonts w:ascii="Times;serif" w:hAnsi="Times;serif"/>
                <w:color w:val="008000"/>
                <w:position w:val="7"/>
                <w:sz w:val="16"/>
                <w:sz w:val="20"/>
                <w:shd w:fill="FFFFFF" w:val="clear"/>
              </w:rPr>
              <w:t>(5)</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55,494</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Philip Coghlan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$98.33 to $99.31,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transferred 12,110 shares indirectly held by The John Philip Coghlan 2025 Grantor Retained Annuity Trust to the John Coghlan Living Trust, which transfer was exempt from Section 16 pursuant to Rule 16a-13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the weighted average price. These shares were sold in multiple transactions at prices ranging from $99.36 to $99.60,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2,508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599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4745</Characters>
  <CharactersWithSpaces>5560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