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509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509510"/>
                    </a:xfrm>
                    <a:prstGeom prst="rect">
                      <a:avLst/>
                    </a:prstGeom>
                    <a:noFill/>
                  </pic:spPr>
                </pic:pic>
              </a:graphicData>
            </a:graphic>
          </wp:anchor>
        </w:drawing>
      </w:r>
    </w:p>
    <w:p>
      <w:pPr>
        <w:spacing w:after="0" w:line="1181" w:lineRule="exact"/>
        <w:rPr>
          <w:sz w:val="24"/>
          <w:szCs w:val="24"/>
          <w:color w:val="auto"/>
        </w:rPr>
      </w:pPr>
    </w:p>
    <w:p>
      <w:pPr>
        <w:sectPr>
          <w:pgSz w:w="11900" w:h="16905"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Hulls Chris</w:t>
              </w:r>
            </w:hyperlink>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Life360,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LIF</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LIFE360,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05"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905"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17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72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4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4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06/18/2026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7"/>
                <w:szCs w:val="17"/>
                <w:color w:val="0000FF"/>
              </w:rPr>
              <w:t>27,000</w:t>
            </w:r>
          </w:p>
        </w:tc>
        <w:tc>
          <w:tcPr>
            <w:tcW w:w="5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Borders>
              <w:bottom w:val="single" w:sz="8" w:color="2C2C2C"/>
            </w:tcBorders>
          </w:tcPr>
          <w:p>
            <w:pPr>
              <w:jc w:val="center"/>
              <w:ind w:right="8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8.19</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422,941</w:t>
            </w:r>
            <w:r>
              <w:rPr>
                <w:rFonts w:ascii="Times New Roman" w:cs="Times New Roman" w:eastAsia="Times New Roman" w:hAnsi="Times New Roman"/>
                <w:sz w:val="21"/>
                <w:szCs w:val="21"/>
                <w:color w:val="008000"/>
                <w:w w:val="90"/>
                <w:vertAlign w:val="superscript"/>
              </w:rPr>
              <w:t>(2)(3)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06/18/2026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7"/>
                <w:szCs w:val="17"/>
                <w:color w:val="0000FF"/>
              </w:rPr>
              <w:t>16,042</w:t>
            </w:r>
          </w:p>
        </w:tc>
        <w:tc>
          <w:tcPr>
            <w:tcW w:w="5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47.07</w:t>
            </w:r>
            <w:r>
              <w:rPr>
                <w:rFonts w:ascii="Times New Roman" w:cs="Times New Roman" w:eastAsia="Times New Roman" w:hAnsi="Times New Roman"/>
                <w:sz w:val="21"/>
                <w:szCs w:val="21"/>
                <w:color w:val="008000"/>
                <w:vertAlign w:val="superscript"/>
              </w:rPr>
              <w:t>(4)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406,899</w:t>
            </w:r>
            <w:r>
              <w:rPr>
                <w:rFonts w:ascii="Times New Roman" w:cs="Times New Roman" w:eastAsia="Times New Roman" w:hAnsi="Times New Roman"/>
                <w:sz w:val="21"/>
                <w:szCs w:val="21"/>
                <w:color w:val="008000"/>
                <w:w w:val="90"/>
                <w:vertAlign w:val="superscript"/>
              </w:rPr>
              <w:t>(2)(3)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Robin</w:t>
            </w:r>
          </w:p>
        </w:tc>
        <w:tc>
          <w:tcPr>
            <w:tcW w:w="0" w:type="dxa"/>
            <w:vAlign w:val="bottom"/>
          </w:tcPr>
          <w:p>
            <w:pPr>
              <w:spacing w:after="0"/>
              <w:rPr>
                <w:sz w:val="1"/>
                <w:szCs w:val="1"/>
                <w:color w:val="auto"/>
              </w:rPr>
            </w:pPr>
          </w:p>
        </w:tc>
      </w:tr>
      <w:tr>
        <w:trPr>
          <w:trHeight w:val="206"/>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line="207" w:lineRule="exact"/>
              <w:rPr>
                <w:sz w:val="20"/>
                <w:szCs w:val="20"/>
                <w:color w:val="auto"/>
              </w:rPr>
            </w:pPr>
            <w:r>
              <w:rPr>
                <w:rFonts w:ascii="Times New Roman" w:cs="Times New Roman" w:eastAsia="Times New Roman" w:hAnsi="Times New Roman"/>
                <w:sz w:val="17"/>
                <w:szCs w:val="17"/>
                <w:color w:val="0000FF"/>
                <w:w w:val="94"/>
              </w:rPr>
              <w:t>195,312</w:t>
            </w:r>
            <w:r>
              <w:rPr>
                <w:rFonts w:ascii="Times New Roman" w:cs="Times New Roman" w:eastAsia="Times New Roman" w:hAnsi="Times New Roman"/>
                <w:sz w:val="21"/>
                <w:szCs w:val="21"/>
                <w:color w:val="008000"/>
                <w:w w:val="94"/>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Rose</w:t>
            </w:r>
          </w:p>
        </w:tc>
        <w:tc>
          <w:tcPr>
            <w:tcW w:w="0" w:type="dxa"/>
            <w:vAlign w:val="bottom"/>
          </w:tcPr>
          <w:p>
            <w:pPr>
              <w:spacing w:after="0"/>
              <w:rPr>
                <w:sz w:val="1"/>
                <w:szCs w:val="1"/>
                <w:color w:val="auto"/>
              </w:rPr>
            </w:pPr>
          </w:p>
        </w:tc>
      </w:tr>
      <w:tr>
        <w:trPr>
          <w:trHeight w:val="206"/>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line="207" w:lineRule="exact"/>
              <w:rPr>
                <w:sz w:val="20"/>
                <w:szCs w:val="20"/>
                <w:color w:val="auto"/>
              </w:rPr>
            </w:pPr>
            <w:r>
              <w:rPr>
                <w:rFonts w:ascii="Times New Roman" w:cs="Times New Roman" w:eastAsia="Times New Roman" w:hAnsi="Times New Roman"/>
                <w:sz w:val="17"/>
                <w:szCs w:val="17"/>
                <w:color w:val="0000FF"/>
                <w:w w:val="94"/>
              </w:rPr>
              <w:t>195,312</w:t>
            </w:r>
            <w:r>
              <w:rPr>
                <w:rFonts w:ascii="Times New Roman" w:cs="Times New Roman" w:eastAsia="Times New Roman" w:hAnsi="Times New Roman"/>
                <w:sz w:val="21"/>
                <w:szCs w:val="21"/>
                <w:color w:val="008000"/>
                <w:w w:val="94"/>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24"/>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center"/>
              <w:spacing w:after="0" w:line="224" w:lineRule="exact"/>
              <w:rPr>
                <w:sz w:val="20"/>
                <w:szCs w:val="20"/>
                <w:color w:val="auto"/>
              </w:rPr>
            </w:pPr>
            <w:r>
              <w:rPr>
                <w:rFonts w:ascii="Times New Roman" w:cs="Times New Roman" w:eastAsia="Times New Roman" w:hAnsi="Times New Roman"/>
                <w:sz w:val="17"/>
                <w:szCs w:val="17"/>
                <w:color w:val="0000FF"/>
                <w:w w:val="94"/>
              </w:rPr>
              <w:t>195,312</w:t>
            </w:r>
            <w:r>
              <w:rPr>
                <w:rFonts w:ascii="Times New Roman" w:cs="Times New Roman" w:eastAsia="Times New Roman" w:hAnsi="Times New Roman"/>
                <w:sz w:val="21"/>
                <w:szCs w:val="21"/>
                <w:color w:val="008000"/>
                <w:w w:val="94"/>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Mckenzie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Hulls 2023</w:t>
      </w:r>
    </w:p>
    <w:p>
      <w:pPr>
        <w:spacing w:after="0" w:line="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Irrevocable</w:t>
      </w:r>
    </w:p>
    <w:p>
      <w:pPr>
        <w:spacing w:after="0" w:line="11"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Trust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6"/>
                <w:szCs w:val="16"/>
                <w:color w:val="auto"/>
              </w:rPr>
            </w:pPr>
          </w:p>
        </w:tc>
        <w:tc>
          <w:tcPr>
            <w:tcW w:w="7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27,000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05/20/2028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27,000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125,801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December 16, 2025.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6"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134,496 restricted stock units previously granted, each of which represents a contingent right to receive one share of the Issuer's common stock upon vesting.</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$46.92 to $47.39,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585,938 CDIs.</w:t>
      </w:r>
    </w:p>
    <w:p>
      <w:pPr>
        <w:sectPr>
          <w:pgSz w:w="11900" w:h="1690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6. The stock option is fully vested and exercisable.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Jay Sood, Attorney-in-Fact</w:t>
            </w: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06/23/2026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2026-06-23T16:24:24Z</dcterms:created>
  <dcterms:modified xsi:type="dcterms:W3CDTF">2026-06-23T16:24:24Z</dcterms:modified>
</cp:coreProperties>
</file>