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288836.xml.htm"/>
      <w:bookmarkStart w:id="1" w:name="kswkform4_17762888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Russell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5"/>
        <w:gridCol w:w="917"/>
        <w:gridCol w:w="786"/>
        <w:gridCol w:w="609"/>
        <w:gridCol w:w="347"/>
        <w:gridCol w:w="928"/>
        <w:gridCol w:w="443"/>
        <w:gridCol w:w="608"/>
        <w:gridCol w:w="1184"/>
        <w:gridCol w:w="991"/>
        <w:gridCol w:w="11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43,416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124,254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113,361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Russell John Burke Revocable Trust &amp; Jeanette L Calandra Revocable Trust ELD as TIC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("RSUs"). Each RSU represents a contingent right to receive one share of the Issuer's common stock upon settlement. 1/48th of the RSUs will vest monthly from January 1, 2026, subject to the Reporting Person's continuous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124,254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Chang,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3232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3587</Characters>
  <CharactersWithSpaces>4183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