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24, 2023</w:t>
      </w:r>
    </w:p>
    <w:p>
      <w:pPr>
        <w:pStyle w:val="TextBody"/>
        <w:bidi w:val="0"/>
        <w:spacing w:before="0" w:after="0"/>
        <w:jc w:val="left"/>
        <w:rPr/>
      </w:pPr>
      <w:r>
        <w:rPr/>
      </w:r>
    </w:p>
    <w:p>
      <w:pPr>
        <w:pStyle w:val="TextBody"/>
        <w:bidi w:val="0"/>
        <w:spacing w:lineRule="auto" w:line="26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000-56424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furnishing this Item 7.01 of this Current Report on Form 8-K in connection with the disclosure of information, in the form of the textual information from a PowerPoint presentation given during the Goldman Sachs TechNet Conference Asia Pacific on May 25th, 2023 at 11:15 a.m. HKT (May 24th, 2023 at 8:15 p.m. PT). A copy of the PowerPoint presentation used for the conference is furnished as Exhibit 99.1 to this Current Report on Form 8-K.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text included with this Item 7.01 of this Current Report on Form 8-K will be available on our website located at www.life360.com, although we reserve the right to discontinue that availability at any time. </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jc w:val="both"/>
        <w:rPr/>
      </w:pPr>
      <w:r>
        <w:rPr/>
      </w:r>
    </w:p>
    <w:tbl>
      <w:tblPr>
        <w:tblW w:w="9989" w:type="dxa"/>
        <w:jc w:val="left"/>
        <w:tblInd w:w="0" w:type="dxa"/>
        <w:tblLayout w:type="fixed"/>
        <w:tblCellMar>
          <w:top w:w="28" w:type="dxa"/>
          <w:left w:w="28" w:type="dxa"/>
          <w:bottom w:w="28" w:type="dxa"/>
          <w:right w:w="28" w:type="dxa"/>
        </w:tblCellMar>
      </w:tblPr>
      <w:tblGrid>
        <w:gridCol w:w="342"/>
        <w:gridCol w:w="300"/>
        <w:gridCol w:w="303"/>
        <w:gridCol w:w="2637"/>
        <w:gridCol w:w="2637"/>
        <w:gridCol w:w="377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5360gshkconferenc.htm">
              <w:r>
                <w:rPr>
                  <w:rStyle w:val="InternetLink"/>
                  <w:rFonts w:ascii="Times New Roman;sans-serif" w:hAnsi="Times New Roman;sans-serif"/>
                  <w:b w:val="false"/>
                  <w:color w:val="0000FF"/>
                  <w:sz w:val="20"/>
                  <w:u w:val="single"/>
                </w:rPr>
                <w:t>99.1</w:t>
              </w:r>
            </w:hyperlink>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5360gshkconferenc.htm">
              <w:r>
                <w:rPr>
                  <w:rStyle w:val="InternetLink"/>
                  <w:rFonts w:ascii="Times New Roman;sans-serif" w:hAnsi="Times New Roman;sans-serif"/>
                  <w:b w:val="false"/>
                  <w:color w:val="0000FF"/>
                  <w:sz w:val="20"/>
                  <w:u w:val="single"/>
                </w:rPr>
                <w:t>Life360, Inc. Conference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br/>
        <w:br/>
      </w:r>
    </w:p>
    <w:tbl>
      <w:tblPr>
        <w:tblW w:w="4571"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26, 2023</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jc w:val="center"/>
        <w:rPr/>
      </w:pPr>
      <w:bookmarkStart w:id="0" w:name="a2023-05360gshkconferenc.htm"/>
      <w:bookmarkStart w:id="1" w:name="ksa202305360gshkconferenc"/>
      <w:bookmarkEnd w:id="0"/>
      <w:bookmarkEnd w:id="1"/>
      <w:r>
        <w:rPr/>
        <w:drawing>
          <wp:inline distT="0" distB="0" distL="0" distR="0">
            <wp:extent cx="9753600" cy="5486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3257</Characters>
  <CharactersWithSpaces>3932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a2023-05360gshkconferenc</dc:title>
</cp:coreProperties>
</file>