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948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94868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Hulls Chris</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LIFE360,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1900 SOUTH NORFOLK STREET, SUITE 310</w:t>
      </w:r>
    </w:p>
    <w:p>
      <w:pPr>
        <w:spacing w:after="0" w:line="31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SAN MATEO</w:t>
            </w:r>
          </w:p>
        </w:tc>
        <w:tc>
          <w:tcPr>
            <w:tcW w:w="920" w:type="dxa"/>
            <w:vAlign w:val="bottom"/>
          </w:tcPr>
          <w:p>
            <w:pPr>
              <w:ind w:left="120"/>
              <w:spacing w:after="0"/>
              <w:rPr>
                <w:sz w:val="20"/>
                <w:szCs w:val="20"/>
                <w:color w:val="auto"/>
              </w:rPr>
            </w:pPr>
            <w:r>
              <w:rPr>
                <w:rFonts w:ascii="Arial" w:cs="Arial" w:eastAsia="Arial" w:hAnsi="Arial"/>
                <w:sz w:val="18"/>
                <w:szCs w:val="18"/>
                <w:color w:val="0000FF"/>
              </w:rPr>
              <w:t>CA</w:t>
            </w:r>
          </w:p>
        </w:tc>
        <w:tc>
          <w:tcPr>
            <w:tcW w:w="1600" w:type="dxa"/>
            <w:vAlign w:val="bottom"/>
          </w:tcPr>
          <w:p>
            <w:pPr>
              <w:ind w:left="420"/>
              <w:spacing w:after="0"/>
              <w:rPr>
                <w:sz w:val="20"/>
                <w:szCs w:val="20"/>
                <w:color w:val="auto"/>
              </w:rPr>
            </w:pPr>
            <w:r>
              <w:rPr>
                <w:rFonts w:ascii="Arial" w:cs="Arial" w:eastAsia="Arial" w:hAnsi="Arial"/>
                <w:sz w:val="18"/>
                <w:szCs w:val="18"/>
                <w:color w:val="0000FF"/>
              </w:rPr>
              <w:t>94403</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1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Life360,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LIFX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00" w:type="dxa"/>
            <w:vAlign w:val="bottom"/>
            <w:tcBorders>
              <w:bottom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264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1200" w:type="dxa"/>
            <w:vAlign w:val="bottom"/>
            <w:gridSpan w:val="3"/>
            <w:vMerge w:val="restart"/>
          </w:tcPr>
          <w:p>
            <w:pPr>
              <w:ind w:left="80"/>
              <w:spacing w:after="0"/>
              <w:rPr>
                <w:sz w:val="20"/>
                <w:szCs w:val="20"/>
                <w:color w:val="auto"/>
              </w:rPr>
            </w:pPr>
            <w:r>
              <w:rPr>
                <w:rFonts w:ascii="Arial" w:cs="Arial" w:eastAsia="Arial" w:hAnsi="Arial"/>
                <w:sz w:val="18"/>
                <w:szCs w:val="18"/>
                <w:color w:val="0000FF"/>
              </w:rPr>
              <w:t>06/08/2023</w:t>
            </w:r>
          </w:p>
        </w:tc>
        <w:tc>
          <w:tcPr>
            <w:tcW w:w="2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20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8"/>
                <w:szCs w:val="18"/>
                <w:color w:val="0000FF"/>
              </w:rPr>
              <w:t>Chief Executive Officer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26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32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3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06/08/2023</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2,579</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13.31</w:t>
            </w:r>
          </w:p>
        </w:tc>
        <w:tc>
          <w:tcPr>
            <w:tcW w:w="1180" w:type="dxa"/>
            <w:vAlign w:val="bottom"/>
            <w:tcBorders>
              <w:bottom w:val="single" w:sz="8" w:color="2C2C2C"/>
            </w:tcBorders>
            <w:gridSpan w:val="2"/>
          </w:tcPr>
          <w:p>
            <w:pPr>
              <w:jc w:val="center"/>
              <w:ind w:right="119"/>
              <w:spacing w:after="0"/>
              <w:rPr>
                <w:sz w:val="20"/>
                <w:szCs w:val="20"/>
                <w:color w:val="auto"/>
              </w:rPr>
            </w:pPr>
            <w:r>
              <w:rPr>
                <w:rFonts w:ascii="Arial" w:cs="Arial" w:eastAsia="Arial" w:hAnsi="Arial"/>
                <w:sz w:val="18"/>
                <w:szCs w:val="18"/>
                <w:color w:val="0000FF"/>
                <w:w w:val="97"/>
              </w:rPr>
              <w:t>3,017,670</w:t>
            </w:r>
            <w:r>
              <w:rPr>
                <w:rFonts w:ascii="Arial" w:cs="Arial" w:eastAsia="Arial" w:hAnsi="Arial"/>
                <w:sz w:val="22"/>
                <w:szCs w:val="22"/>
                <w:color w:val="008000"/>
                <w:w w:val="97"/>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Held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vMerge w:val="restart"/>
          </w:tcPr>
          <w:p>
            <w:pPr>
              <w:jc w:val="center"/>
              <w:ind w:right="239"/>
              <w:spacing w:after="0"/>
              <w:rPr>
                <w:sz w:val="20"/>
                <w:szCs w:val="20"/>
                <w:color w:val="auto"/>
              </w:rPr>
            </w:pPr>
            <w:r>
              <w:rPr>
                <w:rFonts w:ascii="Arial" w:cs="Arial" w:eastAsia="Arial" w:hAnsi="Arial"/>
                <w:sz w:val="18"/>
                <w:szCs w:val="18"/>
                <w:color w:val="0000FF"/>
              </w:rPr>
              <w:t>29,960</w:t>
            </w:r>
            <w:r>
              <w:rPr>
                <w:rFonts w:ascii="Arial" w:cs="Arial" w:eastAsia="Arial" w:hAnsi="Arial"/>
                <w:sz w:val="22"/>
                <w:szCs w:val="22"/>
                <w:color w:val="008000"/>
                <w:vertAlign w:val="superscript"/>
              </w:rPr>
              <w:t>(3)</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ICCA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8"/>
                <w:szCs w:val="18"/>
                <w:color w:val="0000FF"/>
              </w:rPr>
              <w:t>Labs,</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52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72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p>
      <w:pPr>
        <w:spacing w:after="0" w:line="30"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1,686,552 shares of the Issuer's common stock underlying 5,059,656 Chess Depositary Interests ("CDIs"). The CDIs are traded on the Australian Securities Exchange (the "ASX") and are held by CHESS Depositary Nominees Pty, Limited, a subsidiary of ASX Limited, the company that operates the ASX. Also includes 68,023 restricted stock units, each of which represents a contingent right to receive one share of the Issuer's common stock upon vesting.</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of the Issuer's common stock underlying 89,880 CDIs.</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a member of ICCA Labs, LLC, an entity that holds an aggregate of 133,408 shares of the Issuer's common stock underlying 400,224 CDIs. The number of shares reported herein by the Reporting Person represents his proportionate ownership interest in ICCA Labs, LLC.</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9"/>
              </w:rPr>
              <w:t>/s/ Jay Sood, Attorney-in-fact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06/09/2023</w:t>
            </w:r>
          </w:p>
        </w:tc>
      </w:tr>
      <w:tr>
        <w:trPr>
          <w:trHeight w:val="236"/>
        </w:trPr>
        <w:tc>
          <w:tcPr>
            <w:tcW w:w="214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2498"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2023-06-09T16:05:39Z</dcterms:created>
  <dcterms:modified xsi:type="dcterms:W3CDTF">2023-06-09T16:05:39Z</dcterms:modified>
</cp:coreProperties>
</file>