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5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521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Haro Alex</w:t>
        </w:r>
      </w:hyperlink>
    </w:p>
    <w:p>
      <w:pPr>
        <w:spacing w:after="0" w:line="2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(Last)</w:t>
            </w:r>
          </w:p>
        </w:tc>
        <w:tc>
          <w:tcPr>
            <w:tcW w:w="840" w:type="dxa"/>
            <w:vAlign w:val="bottom"/>
          </w:tcPr>
          <w:p>
            <w:pPr>
              <w:ind w:left="60"/>
              <w:spacing w:after="0"/>
              <w:rPr>
                <w:sz w:val="20"/>
                <w:szCs w:val="20"/>
                <w:color w:val="auto"/>
              </w:rPr>
            </w:pPr>
            <w:r>
              <w:rPr>
                <w:rFonts w:ascii="Arial" w:cs="Arial" w:eastAsia="Arial" w:hAnsi="Arial"/>
                <w:sz w:val="10"/>
                <w:szCs w:val="10"/>
                <w:color w:val="auto"/>
              </w:rPr>
              <w:t>(First)</w:t>
            </w:r>
          </w:p>
        </w:tc>
        <w:tc>
          <w:tcPr>
            <w:tcW w:w="1680" w:type="dxa"/>
            <w:vAlign w:val="bottom"/>
          </w:tcPr>
          <w:p>
            <w:pPr>
              <w:ind w:left="480"/>
              <w:spacing w:after="0"/>
              <w:rPr>
                <w:sz w:val="20"/>
                <w:szCs w:val="20"/>
                <w:color w:val="auto"/>
              </w:rPr>
            </w:pPr>
            <w:r>
              <w:rPr>
                <w:rFonts w:ascii="Arial" w:cs="Arial" w:eastAsia="Arial" w:hAnsi="Arial"/>
                <w:sz w:val="10"/>
                <w:szCs w:val="10"/>
                <w:color w:val="auto"/>
              </w:rPr>
              <w:t>(Middle)</w:t>
            </w:r>
          </w:p>
        </w:tc>
      </w:tr>
      <w:tr>
        <w:trPr>
          <w:trHeight w:val="215"/>
        </w:trPr>
        <w:tc>
          <w:tcPr>
            <w:tcW w:w="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0000FF"/>
              </w:rPr>
              <w:t>C/O LIFE360, INC.</w:t>
            </w: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7"/>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1900 SOUTH NORFOLK STREET, SUITE 310</w:t>
            </w:r>
          </w:p>
        </w:tc>
      </w:tr>
      <w:tr>
        <w:trPr>
          <w:trHeight w:val="116"/>
        </w:trPr>
        <w:tc>
          <w:tcPr>
            <w:tcW w:w="4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08"/>
        </w:trPr>
        <w:tc>
          <w:tcPr>
            <w:tcW w:w="12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0000FF"/>
              </w:rPr>
              <w:t>SAN MATEO</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94403</w:t>
            </w:r>
          </w:p>
        </w:tc>
      </w:tr>
      <w:tr>
        <w:trPr>
          <w:trHeight w:val="116"/>
        </w:trPr>
        <w:tc>
          <w:tcPr>
            <w:tcW w:w="4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(City)</w:t>
            </w:r>
          </w:p>
        </w:tc>
        <w:tc>
          <w:tcPr>
            <w:tcW w:w="840" w:type="dxa"/>
            <w:vAlign w:val="bottom"/>
          </w:tcPr>
          <w:p>
            <w:pPr>
              <w:ind w:left="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Life360,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LIF</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940" w:type="dxa"/>
            <w:vAlign w:val="bottom"/>
          </w:tcPr>
          <w:p>
            <w:pPr>
              <w:spacing w:after="0"/>
              <w:rPr>
                <w:sz w:val="2"/>
                <w:szCs w:val="2"/>
                <w:color w:val="auto"/>
              </w:rPr>
            </w:pPr>
          </w:p>
        </w:tc>
        <w:tc>
          <w:tcPr>
            <w:tcW w:w="1740" w:type="dxa"/>
            <w:vAlign w:val="bottom"/>
            <w:vMerge w:val="restart"/>
          </w:tcPr>
          <w:p>
            <w:pPr>
              <w:ind w:left="580"/>
              <w:spacing w:after="0" w:line="114" w:lineRule="exact"/>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line="114"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84"/>
        </w:trPr>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17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3"/>
        </w:trPr>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06/17/2024</w:t>
            </w:r>
          </w:p>
        </w:tc>
        <w:tc>
          <w:tcPr>
            <w:tcW w:w="2940" w:type="dxa"/>
            <w:vAlign w:val="bottom"/>
          </w:tcPr>
          <w:p>
            <w:pPr>
              <w:spacing w:after="0"/>
              <w:rPr>
                <w:sz w:val="8"/>
                <w:szCs w:val="8"/>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00" w:type="dxa"/>
            <w:vAlign w:val="bottom"/>
            <w:gridSpan w:val="3"/>
            <w:vMerge w:val="continue"/>
          </w:tcPr>
          <w:p>
            <w:pPr>
              <w:spacing w:after="0"/>
              <w:rPr>
                <w:sz w:val="7"/>
                <w:szCs w:val="7"/>
                <w:color w:val="auto"/>
              </w:rPr>
            </w:pPr>
          </w:p>
        </w:tc>
        <w:tc>
          <w:tcPr>
            <w:tcW w:w="29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57"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06/17/2024</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33"/>
              <w:spacing w:after="0"/>
              <w:rPr>
                <w:sz w:val="20"/>
                <w:szCs w:val="20"/>
                <w:color w:val="auto"/>
              </w:rPr>
            </w:pPr>
            <w:r>
              <w:rPr>
                <w:rFonts w:ascii="Times New Roman" w:cs="Times New Roman" w:eastAsia="Times New Roman" w:hAnsi="Times New Roman"/>
                <w:sz w:val="13"/>
                <w:szCs w:val="13"/>
                <w:color w:val="0000FF"/>
              </w:rPr>
              <w:t>362,580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27</w:t>
            </w:r>
          </w:p>
        </w:tc>
        <w:tc>
          <w:tcPr>
            <w:tcW w:w="1220" w:type="dxa"/>
            <w:vAlign w:val="bottom"/>
            <w:tcBorders>
              <w:bottom w:val="single" w:sz="8" w:color="2C2C2C"/>
            </w:tcBorders>
            <w:gridSpan w:val="3"/>
          </w:tcPr>
          <w:p>
            <w:pPr>
              <w:jc w:val="center"/>
              <w:ind w:right="233"/>
              <w:spacing w:after="0"/>
              <w:rPr>
                <w:sz w:val="20"/>
                <w:szCs w:val="20"/>
                <w:color w:val="auto"/>
              </w:rPr>
            </w:pPr>
            <w:r>
              <w:rPr>
                <w:rFonts w:ascii="Times New Roman" w:cs="Times New Roman" w:eastAsia="Times New Roman" w:hAnsi="Times New Roman"/>
                <w:sz w:val="13"/>
                <w:szCs w:val="13"/>
                <w:color w:val="0000FF"/>
              </w:rPr>
              <w:t>958,601</w:t>
            </w:r>
            <w:r>
              <w:rPr>
                <w:rFonts w:ascii="Times New Roman" w:cs="Times New Roman" w:eastAsia="Times New Roman" w:hAnsi="Times New Roman"/>
                <w:sz w:val="17"/>
                <w:szCs w:val="17"/>
                <w:color w:val="008000"/>
                <w:vertAlign w:val="superscript"/>
              </w:rPr>
              <w:t>(2)(3)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06/17/2024</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ind w:left="140"/>
              <w:spacing w:after="0" w:line="166" w:lineRule="exact"/>
              <w:rPr>
                <w:sz w:val="20"/>
                <w:szCs w:val="20"/>
                <w:color w:val="auto"/>
              </w:rPr>
            </w:pPr>
            <w:r>
              <w:rPr>
                <w:rFonts w:ascii="Times New Roman" w:cs="Times New Roman" w:eastAsia="Times New Roman" w:hAnsi="Times New Roman"/>
                <w:sz w:val="19"/>
                <w:szCs w:val="19"/>
                <w:color w:val="0000FF"/>
                <w:vertAlign w:val="subscript"/>
              </w:rPr>
              <w:t>S</w:t>
            </w:r>
            <w:r>
              <w:rPr>
                <w:rFonts w:ascii="Times New Roman" w:cs="Times New Roman" w:eastAsia="Times New Roman" w:hAnsi="Times New Roman"/>
                <w:sz w:val="8"/>
                <w:szCs w:val="8"/>
                <w:color w:val="008000"/>
              </w:rPr>
              <w:t>(1)</w:t>
            </w:r>
          </w:p>
        </w:tc>
        <w:tc>
          <w:tcPr>
            <w:tcW w:w="300" w:type="dxa"/>
            <w:vAlign w:val="bottom"/>
          </w:tcPr>
          <w:p>
            <w:pPr>
              <w:spacing w:after="0"/>
              <w:rPr>
                <w:sz w:val="14"/>
                <w:szCs w:val="14"/>
                <w:color w:val="auto"/>
              </w:rPr>
            </w:pPr>
          </w:p>
        </w:tc>
        <w:tc>
          <w:tcPr>
            <w:tcW w:w="880" w:type="dxa"/>
            <w:vAlign w:val="bottom"/>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8,544</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27</w:t>
            </w:r>
          </w:p>
        </w:tc>
        <w:tc>
          <w:tcPr>
            <w:tcW w:w="800" w:type="dxa"/>
            <w:vAlign w:val="bottom"/>
            <w:gridSpan w:val="2"/>
          </w:tcPr>
          <w:p>
            <w:pPr>
              <w:jc w:val="center"/>
              <w:spacing w:after="0" w:line="166" w:lineRule="exact"/>
              <w:rPr>
                <w:sz w:val="20"/>
                <w:szCs w:val="20"/>
                <w:color w:val="auto"/>
              </w:rPr>
            </w:pPr>
            <w:r>
              <w:rPr>
                <w:rFonts w:ascii="Times New Roman" w:cs="Times New Roman" w:eastAsia="Times New Roman" w:hAnsi="Times New Roman"/>
                <w:sz w:val="13"/>
                <w:szCs w:val="13"/>
                <w:color w:val="0000FF"/>
              </w:rPr>
              <w:t>1,887</w:t>
            </w:r>
            <w:r>
              <w:rPr>
                <w:rFonts w:ascii="Times New Roman" w:cs="Times New Roman" w:eastAsia="Times New Roman" w:hAnsi="Times New Roman"/>
                <w:sz w:val="17"/>
                <w:szCs w:val="17"/>
                <w:color w:val="008000"/>
                <w:vertAlign w:val="superscript"/>
              </w:rPr>
              <w:t>(3)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ind w:right="26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ICCA Labs,</w:t>
            </w: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7"/>
                <w:szCs w:val="17"/>
                <w:color w:val="008000"/>
                <w:vertAlign w:val="superscript"/>
              </w:rPr>
              <w:t>(4)</w:t>
            </w: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the full exercise by the underwriters of a greenshoe option of the previously reported underwritten secondary offering that closed on June 7, 2024.</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8,065 restricted stock units, each of which represents a contingent right to receive one share of the Issuer's common stock upon vesting.</w:t>
      </w:r>
    </w:p>
    <w:p>
      <w:pPr>
        <w:spacing w:after="0" w:line="40"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3" w:lineRule="exact"/>
        <w:rPr>
          <w:rFonts w:ascii="Times New Roman" w:cs="Times New Roman" w:eastAsia="Times New Roman" w:hAnsi="Times New Roman"/>
          <w:sz w:val="10"/>
          <w:szCs w:val="10"/>
          <w:color w:val="008000"/>
        </w:rPr>
      </w:pPr>
    </w:p>
    <w:p>
      <w:pPr>
        <w:ind w:left="40" w:right="3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a member of ICCA Labs, LLC, an entity that holds an aggregate of 8,219 shares of the Issuer's common stock. The number of shares sold and held as reported herein by the Reporting Person represents his proportionate ownership interest in ICCA Labs, LLC.</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Russell J. Burke, Attorney-in-Fact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06/20/2024</w:t>
            </w:r>
          </w:p>
        </w:tc>
      </w:tr>
      <w:tr>
        <w:trPr>
          <w:trHeight w:val="178"/>
        </w:trPr>
        <w:tc>
          <w:tcPr>
            <w:tcW w:w="6580" w:type="dxa"/>
            <w:vAlign w:val="bottom"/>
          </w:tcPr>
          <w:p>
            <w:pPr>
              <w:spacing w:after="0"/>
              <w:rPr>
                <w:sz w:val="15"/>
                <w:szCs w:val="15"/>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626"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2024-06-20T13:38:44Z</dcterms:created>
  <dcterms:modified xsi:type="dcterms:W3CDTF">2024-06-20T13:38:44Z</dcterms:modified>
</cp:coreProperties>
</file>