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829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8299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Goines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NONE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6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8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05/29/2024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6,030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ind w:right="174"/>
              <w:spacing w:after="0"/>
              <w:rPr>
                <w:sz w:val="20"/>
                <w:szCs w:val="20"/>
                <w:color w:val="auto"/>
              </w:rPr>
            </w:pPr>
            <w:r>
              <w:rPr>
                <w:rFonts w:ascii="Times New Roman" w:cs="Times New Roman" w:eastAsia="Times New Roman" w:hAnsi="Times New Roman"/>
                <w:sz w:val="17"/>
                <w:szCs w:val="17"/>
                <w:color w:val="0000FF"/>
              </w:rPr>
              <w:t>68,552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33"/>
        </w:trPr>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jc w:val="center"/>
              <w:ind w:right="134"/>
              <w:spacing w:after="0" w:line="233" w:lineRule="exact"/>
              <w:rPr>
                <w:sz w:val="20"/>
                <w:szCs w:val="20"/>
                <w:color w:val="auto"/>
              </w:rPr>
            </w:pPr>
            <w:r>
              <w:rPr>
                <w:rFonts w:ascii="Times New Roman" w:cs="Times New Roman" w:eastAsia="Times New Roman" w:hAnsi="Times New Roman"/>
                <w:sz w:val="17"/>
                <w:szCs w:val="17"/>
                <w:color w:val="0000FF"/>
              </w:rPr>
              <w:t>187,589</w:t>
            </w:r>
            <w:r>
              <w:rPr>
                <w:rFonts w:ascii="Times New Roman" w:cs="Times New Roman" w:eastAsia="Times New Roman" w:hAnsi="Times New Roman"/>
                <w:sz w:val="22"/>
                <w:szCs w:val="22"/>
                <w:color w:val="008000"/>
                <w:vertAlign w:val="superscript"/>
              </w:rPr>
              <w:t>(3)</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Goines</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Wong</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Living</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("RSUs"). Each RSU represents a contingent right to receive one share of the Issuer's common stock upon settlement. 1/4th of the RSUs will vest quarterly from May 15, 2024, subject to the Reporting Person's continuous service through each vest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8,436 RSUs,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334,767 Chess Depositary Interests ("CDIs"). The CDIs are traded on the Australian Securities Exchange (the "ASX") and are held by CHESS Depositary Nominees Pty, Limited, a subsidiary of ASX Limited, the company that operates the ASX. Also includes 76,000 shares of the Issuer's common stock held by the Goines Wong Living Trust.</w:t>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05/31/2024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32585"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2024-05-31T13:05:35Z</dcterms:created>
  <dcterms:modified xsi:type="dcterms:W3CDTF">2024-05-31T13:05:35Z</dcterms:modified>
</cp:coreProperties>
</file>