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7722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7722235"/>
                    </a:xfrm>
                    <a:prstGeom prst="rect">
                      <a:avLst/>
                    </a:prstGeom>
                    <a:noFill/>
                  </pic:spPr>
                </pic:pic>
              </a:graphicData>
            </a:graphic>
          </wp:anchor>
        </w:drawing>
      </w:r>
    </w:p>
    <w:p>
      <w:pPr>
        <w:spacing w:after="0" w:line="1181" w:lineRule="exact"/>
        <w:rPr>
          <w:sz w:val="24"/>
          <w:szCs w:val="24"/>
          <w:color w:val="auto"/>
        </w:rPr>
      </w:pPr>
    </w:p>
    <w:p>
      <w:pPr>
        <w:sectPr>
          <w:pgSz w:w="11900" w:h="16931" w:orient="portrait"/>
          <w:cols w:equalWidth="0" w:num="2">
            <w:col w:w="2320" w:space="260"/>
            <w:col w:w="850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0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Hulls Chris</w:t>
              </w:r>
            </w:hyperlink>
          </w:p>
        </w:tc>
        <w:tc>
          <w:tcPr>
            <w:tcW w:w="1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Life360,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LIF</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13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Borders>
              <w:bottom w:val="single" w:sz="8" w:color="0000EE"/>
            </w:tcBorders>
          </w:tcPr>
          <w:p>
            <w:pPr>
              <w:spacing w:after="0"/>
              <w:rPr>
                <w:sz w:val="6"/>
                <w:szCs w:val="6"/>
                <w:color w:val="auto"/>
              </w:rPr>
            </w:pPr>
          </w:p>
        </w:tc>
        <w:tc>
          <w:tcPr>
            <w:tcW w:w="2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360" w:type="dxa"/>
            <w:vAlign w:val="bottom"/>
            <w:vMerge w:val="restart"/>
          </w:tcPr>
          <w:p>
            <w:pPr>
              <w:ind w:left="1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04/16/2026</w:t>
            </w:r>
          </w:p>
        </w:tc>
        <w:tc>
          <w:tcPr>
            <w:tcW w:w="27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LIFE360, INC.</w:t>
            </w:r>
          </w:p>
        </w:tc>
        <w:tc>
          <w:tcPr>
            <w:tcW w:w="120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27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1900 SOUTH NORFOLK STREET, SUITE 310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27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931" w:orient="portrait"/>
          <w:cols w:equalWidth="0" w:num="1">
            <w:col w:w="11080"/>
          </w:cols>
          <w:pgMar w:left="460" w:top="217" w:right="359" w:bottom="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MATEO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931" w:orient="portrait"/>
          <w:cols w:equalWidth="0" w:num="2">
            <w:col w:w="7540" w:space="720"/>
            <w:col w:w="282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400" w:type="dxa"/>
            <w:vAlign w:val="bottom"/>
          </w:tcPr>
          <w:p>
            <w:pPr>
              <w:spacing w:after="0"/>
              <w:rPr>
                <w:sz w:val="11"/>
                <w:szCs w:val="11"/>
                <w:color w:val="auto"/>
              </w:rPr>
            </w:pPr>
          </w:p>
        </w:tc>
        <w:tc>
          <w:tcPr>
            <w:tcW w:w="172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400" w:type="dxa"/>
            <w:vAlign w:val="bottom"/>
          </w:tcPr>
          <w:p>
            <w:pPr>
              <w:spacing w:after="0"/>
              <w:rPr>
                <w:sz w:val="11"/>
                <w:szCs w:val="11"/>
                <w:color w:val="auto"/>
              </w:rPr>
            </w:pPr>
          </w:p>
        </w:tc>
        <w:tc>
          <w:tcPr>
            <w:tcW w:w="1720" w:type="dxa"/>
            <w:vAlign w:val="bottom"/>
          </w:tcPr>
          <w:p>
            <w:pPr>
              <w:jc w:val="center"/>
              <w:ind w:left="569"/>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4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4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4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9"/>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4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4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4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04/16/2026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27,000</w:t>
            </w:r>
          </w:p>
        </w:tc>
        <w:tc>
          <w:tcPr>
            <w:tcW w:w="520" w:type="dxa"/>
            <w:vAlign w:val="bottom"/>
            <w:tcBorders>
              <w:bottom w:val="single" w:sz="8" w:color="2C2C2C"/>
            </w:tcBorders>
          </w:tcPr>
          <w:p>
            <w:pPr>
              <w:jc w:val="center"/>
              <w:ind w:left="6"/>
              <w:spacing w:after="0"/>
              <w:rPr>
                <w:sz w:val="20"/>
                <w:szCs w:val="20"/>
                <w:color w:val="auto"/>
              </w:rPr>
            </w:pPr>
            <w:r>
              <w:rPr>
                <w:rFonts w:ascii="Times New Roman" w:cs="Times New Roman" w:eastAsia="Times New Roman" w:hAnsi="Times New Roman"/>
                <w:sz w:val="17"/>
                <w:szCs w:val="17"/>
                <w:color w:val="0000FF"/>
                <w:w w:val="97"/>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8.19</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0"/>
              </w:rPr>
              <w:t>415,914</w:t>
            </w:r>
            <w:r>
              <w:rPr>
                <w:rFonts w:ascii="Times New Roman" w:cs="Times New Roman" w:eastAsia="Times New Roman" w:hAnsi="Times New Roman"/>
                <w:sz w:val="21"/>
                <w:szCs w:val="21"/>
                <w:color w:val="008000"/>
                <w:w w:val="90"/>
                <w:vertAlign w:val="superscript"/>
              </w:rPr>
              <w:t>(2)(3)</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04/16/2026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16,105</w:t>
            </w:r>
          </w:p>
        </w:tc>
        <w:tc>
          <w:tcPr>
            <w:tcW w:w="520" w:type="dxa"/>
            <w:vAlign w:val="bottom"/>
            <w:tcBorders>
              <w:bottom w:val="single" w:sz="8" w:color="2C2C2C"/>
            </w:tcBorders>
          </w:tcPr>
          <w:p>
            <w:pPr>
              <w:jc w:val="center"/>
              <w:ind w:left="6"/>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45.51</w:t>
            </w:r>
            <w:r>
              <w:rPr>
                <w:rFonts w:ascii="Times New Roman" w:cs="Times New Roman" w:eastAsia="Times New Roman" w:hAnsi="Times New Roman"/>
                <w:sz w:val="21"/>
                <w:szCs w:val="21"/>
                <w:color w:val="008000"/>
                <w:w w:val="93"/>
                <w:vertAlign w:val="superscript"/>
              </w:rPr>
              <w:t>(4)</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0"/>
              </w:rPr>
              <w:t>399,809</w:t>
            </w:r>
            <w:r>
              <w:rPr>
                <w:rFonts w:ascii="Times New Roman" w:cs="Times New Roman" w:eastAsia="Times New Roman" w:hAnsi="Times New Roman"/>
                <w:sz w:val="21"/>
                <w:szCs w:val="21"/>
                <w:color w:val="008000"/>
                <w:w w:val="90"/>
                <w:vertAlign w:val="superscript"/>
              </w:rPr>
              <w:t>(2)(3)</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04/16/2026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1"/>
                <w:szCs w:val="11"/>
                <w:color w:val="008000"/>
              </w:rPr>
              <w:t>(5)</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6,945</w:t>
            </w:r>
          </w:p>
        </w:tc>
        <w:tc>
          <w:tcPr>
            <w:tcW w:w="520" w:type="dxa"/>
            <w:vAlign w:val="bottom"/>
            <w:tcBorders>
              <w:bottom w:val="single" w:sz="8" w:color="2C2C2C"/>
            </w:tcBorders>
          </w:tcPr>
          <w:p>
            <w:pPr>
              <w:jc w:val="center"/>
              <w:ind w:left="6"/>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39.78</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0"/>
              </w:rPr>
              <w:t>392,864</w:t>
            </w:r>
            <w:r>
              <w:rPr>
                <w:rFonts w:ascii="Times New Roman" w:cs="Times New Roman" w:eastAsia="Times New Roman" w:hAnsi="Times New Roman"/>
                <w:sz w:val="21"/>
                <w:szCs w:val="21"/>
                <w:color w:val="008000"/>
                <w:w w:val="90"/>
                <w:vertAlign w:val="superscript"/>
              </w:rPr>
              <w:t>(2)(3)</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4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06"/>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Robin</w:t>
            </w:r>
          </w:p>
        </w:tc>
        <w:tc>
          <w:tcPr>
            <w:tcW w:w="0" w:type="dxa"/>
            <w:vAlign w:val="bottom"/>
          </w:tcPr>
          <w:p>
            <w:pPr>
              <w:spacing w:after="0"/>
              <w:rPr>
                <w:sz w:val="1"/>
                <w:szCs w:val="1"/>
                <w:color w:val="auto"/>
              </w:rPr>
            </w:pPr>
          </w:p>
        </w:tc>
      </w:tr>
      <w:tr>
        <w:trPr>
          <w:trHeight w:val="206"/>
        </w:trPr>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jc w:val="center"/>
              <w:spacing w:after="0" w:line="207" w:lineRule="exact"/>
              <w:rPr>
                <w:sz w:val="20"/>
                <w:szCs w:val="20"/>
                <w:color w:val="auto"/>
              </w:rPr>
            </w:pPr>
            <w:r>
              <w:rPr>
                <w:rFonts w:ascii="Times New Roman" w:cs="Times New Roman" w:eastAsia="Times New Roman" w:hAnsi="Times New Roman"/>
                <w:sz w:val="17"/>
                <w:szCs w:val="17"/>
                <w:color w:val="0000FF"/>
                <w:w w:val="94"/>
              </w:rPr>
              <w:t>195,312</w:t>
            </w:r>
            <w:r>
              <w:rPr>
                <w:rFonts w:ascii="Times New Roman" w:cs="Times New Roman" w:eastAsia="Times New Roman" w:hAnsi="Times New Roman"/>
                <w:sz w:val="21"/>
                <w:szCs w:val="21"/>
                <w:color w:val="008000"/>
                <w:w w:val="94"/>
                <w:vertAlign w:val="superscript"/>
              </w:rPr>
              <w:t>(6)</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Hulls 2023</w:t>
            </w:r>
          </w:p>
        </w:tc>
        <w:tc>
          <w:tcPr>
            <w:tcW w:w="0" w:type="dxa"/>
            <w:vAlign w:val="bottom"/>
          </w:tcPr>
          <w:p>
            <w:pPr>
              <w:spacing w:after="0"/>
              <w:rPr>
                <w:sz w:val="1"/>
                <w:szCs w:val="1"/>
                <w:color w:val="auto"/>
              </w:rPr>
            </w:pPr>
          </w:p>
        </w:tc>
      </w:tr>
      <w:tr>
        <w:trPr>
          <w:trHeight w:val="206"/>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17"/>
        </w:trPr>
        <w:tc>
          <w:tcPr>
            <w:tcW w:w="2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9"/>
        </w:trPr>
        <w:tc>
          <w:tcPr>
            <w:tcW w:w="24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4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06"/>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Rose</w:t>
            </w:r>
          </w:p>
        </w:tc>
        <w:tc>
          <w:tcPr>
            <w:tcW w:w="0" w:type="dxa"/>
            <w:vAlign w:val="bottom"/>
          </w:tcPr>
          <w:p>
            <w:pPr>
              <w:spacing w:after="0"/>
              <w:rPr>
                <w:sz w:val="1"/>
                <w:szCs w:val="1"/>
                <w:color w:val="auto"/>
              </w:rPr>
            </w:pPr>
          </w:p>
        </w:tc>
      </w:tr>
      <w:tr>
        <w:trPr>
          <w:trHeight w:val="206"/>
        </w:trPr>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jc w:val="center"/>
              <w:spacing w:after="0" w:line="207" w:lineRule="exact"/>
              <w:rPr>
                <w:sz w:val="20"/>
                <w:szCs w:val="20"/>
                <w:color w:val="auto"/>
              </w:rPr>
            </w:pPr>
            <w:r>
              <w:rPr>
                <w:rFonts w:ascii="Times New Roman" w:cs="Times New Roman" w:eastAsia="Times New Roman" w:hAnsi="Times New Roman"/>
                <w:sz w:val="17"/>
                <w:szCs w:val="17"/>
                <w:color w:val="0000FF"/>
                <w:w w:val="94"/>
              </w:rPr>
              <w:t>195,312</w:t>
            </w:r>
            <w:r>
              <w:rPr>
                <w:rFonts w:ascii="Times New Roman" w:cs="Times New Roman" w:eastAsia="Times New Roman" w:hAnsi="Times New Roman"/>
                <w:sz w:val="21"/>
                <w:szCs w:val="21"/>
                <w:color w:val="008000"/>
                <w:w w:val="94"/>
                <w:vertAlign w:val="superscript"/>
              </w:rPr>
              <w:t>(6)</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Hulls 2023</w:t>
            </w:r>
          </w:p>
        </w:tc>
        <w:tc>
          <w:tcPr>
            <w:tcW w:w="0" w:type="dxa"/>
            <w:vAlign w:val="bottom"/>
          </w:tcPr>
          <w:p>
            <w:pPr>
              <w:spacing w:after="0"/>
              <w:rPr>
                <w:sz w:val="1"/>
                <w:szCs w:val="1"/>
                <w:color w:val="auto"/>
              </w:rPr>
            </w:pPr>
          </w:p>
        </w:tc>
      </w:tr>
      <w:tr>
        <w:trPr>
          <w:trHeight w:val="206"/>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17"/>
        </w:trPr>
        <w:tc>
          <w:tcPr>
            <w:tcW w:w="2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9"/>
        </w:trPr>
        <w:tc>
          <w:tcPr>
            <w:tcW w:w="24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4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06"/>
        </w:trPr>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24"/>
        </w:trPr>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jc w:val="center"/>
              <w:spacing w:after="0" w:line="224" w:lineRule="exact"/>
              <w:rPr>
                <w:sz w:val="20"/>
                <w:szCs w:val="20"/>
                <w:color w:val="auto"/>
              </w:rPr>
            </w:pPr>
            <w:r>
              <w:rPr>
                <w:rFonts w:ascii="Times New Roman" w:cs="Times New Roman" w:eastAsia="Times New Roman" w:hAnsi="Times New Roman"/>
                <w:sz w:val="17"/>
                <w:szCs w:val="17"/>
                <w:color w:val="0000FF"/>
                <w:w w:val="94"/>
              </w:rPr>
              <w:t>195,312</w:t>
            </w:r>
            <w:r>
              <w:rPr>
                <w:rFonts w:ascii="Times New Roman" w:cs="Times New Roman" w:eastAsia="Times New Roman" w:hAnsi="Times New Roman"/>
                <w:sz w:val="21"/>
                <w:szCs w:val="21"/>
                <w:color w:val="008000"/>
                <w:w w:val="94"/>
                <w:vertAlign w:val="superscript"/>
              </w:rPr>
              <w:t>(6)</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Mckenzie</w:t>
            </w:r>
          </w:p>
        </w:tc>
        <w:tc>
          <w:tcPr>
            <w:tcW w:w="0" w:type="dxa"/>
            <w:vAlign w:val="bottom"/>
          </w:tcPr>
          <w:p>
            <w:pPr>
              <w:spacing w:after="0"/>
              <w:rPr>
                <w:sz w:val="1"/>
                <w:szCs w:val="1"/>
                <w:color w:val="auto"/>
              </w:rPr>
            </w:pPr>
          </w:p>
        </w:tc>
      </w:tr>
    </w:tbl>
    <w:p>
      <w:pPr>
        <w:ind w:left="10120"/>
        <w:spacing w:after="0"/>
        <w:rPr>
          <w:sz w:val="20"/>
          <w:szCs w:val="20"/>
          <w:color w:val="auto"/>
        </w:rPr>
      </w:pPr>
      <w:r>
        <w:rPr>
          <w:rFonts w:ascii="Times New Roman" w:cs="Times New Roman" w:eastAsia="Times New Roman" w:hAnsi="Times New Roman"/>
          <w:sz w:val="17"/>
          <w:szCs w:val="17"/>
          <w:color w:val="0000FF"/>
        </w:rPr>
        <w:t>Hulls 2023</w:t>
      </w:r>
    </w:p>
    <w:p>
      <w:pPr>
        <w:spacing w:after="0" w:line="4"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7"/>
          <w:szCs w:val="17"/>
          <w:color w:val="0000FF"/>
        </w:rPr>
        <w:t>Irrevocable</w:t>
      </w:r>
    </w:p>
    <w:p>
      <w:pPr>
        <w:spacing w:after="0" w:line="11"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7"/>
          <w:szCs w:val="17"/>
          <w:color w:val="0000FF"/>
        </w:rPr>
        <w:t>Trust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8.19</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04/16/2026</w:t>
            </w:r>
          </w:p>
        </w:tc>
        <w:tc>
          <w:tcPr>
            <w:tcW w:w="1100" w:type="dxa"/>
            <w:vAlign w:val="bottom"/>
          </w:tcPr>
          <w:p>
            <w:pPr>
              <w:spacing w:after="0"/>
              <w:rPr>
                <w:sz w:val="16"/>
                <w:szCs w:val="16"/>
                <w:color w:val="auto"/>
              </w:rPr>
            </w:pPr>
          </w:p>
        </w:tc>
        <w:tc>
          <w:tcPr>
            <w:tcW w:w="780" w:type="dxa"/>
            <w:vAlign w:val="bottom"/>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27,000</w:t>
            </w: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05/20/2028</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27,000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179,801</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8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on this Form 4 was effected pursuant to a Rule 10b5-1 trading plan adopted by the Reporting Person on December 16, 2025. The Rule 10b5-1 trading plan is a written, pre-established trading plan that provides for the automatic sale of Company stock pursuant to predetermined criteria. The Reporting Person adopted the plan at a time when they were not aware of any material nonpublic information about the Company.</w:t>
      </w:r>
    </w:p>
    <w:p>
      <w:pPr>
        <w:spacing w:after="0" w:line="26" w:lineRule="exact"/>
        <w:rPr>
          <w:rFonts w:ascii="Times New Roman" w:cs="Times New Roman" w:eastAsia="Times New Roman" w:hAnsi="Times New Roman"/>
          <w:sz w:val="13"/>
          <w:szCs w:val="13"/>
          <w:color w:val="008000"/>
        </w:rPr>
      </w:pPr>
    </w:p>
    <w:p>
      <w:pPr>
        <w:ind w:left="40" w:right="3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common stock and the number of shares of common stock underlying Chess Depositary Interests ("CDIs") as converted on a 1:3 common stock to CDI ratio. The CDIs are traded on the Australian Securities Exchange (the "ASX") and are held by CHESS Depositary Nominees Pty, Limited, a subsidiary of ASX Limited, the company that operates the ASX.</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149,318 restricted stock units previously granted, each of which represents a contingent right to receive one share of the Issuer's common stock upon vesting.</w:t>
      </w:r>
    </w:p>
    <w:p>
      <w:pPr>
        <w:spacing w:after="0" w:line="43" w:lineRule="exact"/>
        <w:rPr>
          <w:rFonts w:ascii="Times New Roman" w:cs="Times New Roman" w:eastAsia="Times New Roman" w:hAnsi="Times New Roman"/>
          <w:sz w:val="13"/>
          <w:szCs w:val="13"/>
          <w:color w:val="008000"/>
        </w:rPr>
      </w:pPr>
    </w:p>
    <w:p>
      <w:pPr>
        <w:ind w:left="40" w:right="1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$45.36 to $46.11, inclusive, per share. The Reporting Person undertakes to provide to the Issuer, any securityholder of the Issuer or the Staff of the Securities and Exchange Commission, upon request, full details regarding the number of shares sold at each separate price within the</w:t>
      </w:r>
    </w:p>
    <w:p>
      <w:pPr>
        <w:sectPr>
          <w:pgSz w:w="11900" w:h="16931"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range.</w:t>
      </w:r>
    </w:p>
    <w:p>
      <w:pPr>
        <w:spacing w:after="0" w:line="44" w:lineRule="exact"/>
        <w:rPr>
          <w:sz w:val="20"/>
          <w:szCs w:val="20"/>
          <w:color w:val="auto"/>
        </w:rPr>
      </w:pPr>
    </w:p>
    <w:p>
      <w:pPr>
        <w:ind w:firstLine="2"/>
        <w:spacing w:after="0" w:line="255"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Instead, this represents shares that have been withheld by the Issuer to satisfy its income tax withholding and remittance obligations in connection with the vesting and net settlement of previously reported restricted stock units.</w:t>
      </w:r>
    </w:p>
    <w:p>
      <w:pPr>
        <w:spacing w:after="0" w:line="17"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underlying 585,938 CDIs.</w:t>
      </w:r>
    </w:p>
    <w:p>
      <w:pPr>
        <w:spacing w:after="0" w:line="43"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is fully vested and exercisable.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Jay Sood, Attorney-in-Fact</w:t>
            </w:r>
          </w:p>
        </w:tc>
        <w:tc>
          <w:tcPr>
            <w:tcW w:w="18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04/20/2026</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920"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60"/>
      </w:cols>
      <w:pgMar w:left="500" w:top="127"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32498"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2026-04-20T17:17:30Z</dcterms:created>
  <dcterms:modified xsi:type="dcterms:W3CDTF">2026-04-20T17:17:30Z</dcterms:modified>
</cp:coreProperties>
</file>