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2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8"/>
          </w:tcPr>
          <w:p>
            <w:pPr>
              <w:jc w:val="center"/>
              <w:ind w:right="14"/>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gridSpan w:val="5"/>
            <w:vMerge w:val="restart"/>
          </w:tcPr>
          <w:p>
            <w:pPr>
              <w:jc w:val="center"/>
              <w:ind w:right="14"/>
              <w:spacing w:after="0" w:line="143" w:lineRule="exact"/>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8"/>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18"/>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400" w:type="dxa"/>
            <w:vAlign w:val="bottom"/>
            <w:gridSpan w:val="15"/>
            <w:vMerge w:val="restart"/>
          </w:tcPr>
          <w:p>
            <w:pPr>
              <w:jc w:val="center"/>
              <w:ind w:left="66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0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00" w:type="dxa"/>
            <w:vAlign w:val="bottom"/>
          </w:tcPr>
          <w:p>
            <w:pPr>
              <w:spacing w:after="0"/>
              <w:rPr>
                <w:sz w:val="6"/>
                <w:szCs w:val="6"/>
                <w:color w:val="auto"/>
              </w:rPr>
            </w:pPr>
          </w:p>
        </w:tc>
        <w:tc>
          <w:tcPr>
            <w:tcW w:w="5400" w:type="dxa"/>
            <w:vAlign w:val="bottom"/>
            <w:gridSpan w:val="15"/>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0" w:type="dxa"/>
            <w:vAlign w:val="bottom"/>
            <w:gridSpan w:val="1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8"/>
          </w:tcPr>
          <w:p>
            <w:pPr>
              <w:jc w:val="center"/>
              <w:ind w:right="37"/>
              <w:spacing w:after="0"/>
              <w:rPr>
                <w:sz w:val="20"/>
                <w:szCs w:val="20"/>
                <w:color w:val="auto"/>
              </w:rPr>
            </w:pPr>
            <w:r>
              <w:rPr>
                <w:rFonts w:ascii="Arial" w:cs="Arial" w:eastAsia="Arial" w:hAnsi="Arial"/>
                <w:sz w:val="13"/>
                <w:szCs w:val="13"/>
                <w:color w:val="auto"/>
              </w:rPr>
              <w:t>or Section 30(h) of the Investment Company Act of 1940</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3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Kapoor Samir</w:t>
              </w:r>
            </w:hyperlink>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7"/>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Life360,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LIFX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tcBorders>
              <w:bottom w:val="single" w:sz="8" w:color="0000EE"/>
            </w:tcBorders>
            <w:gridSpan w:val="2"/>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tcPr>
          <w:p>
            <w:pPr>
              <w:spacing w:after="0"/>
              <w:rPr>
                <w:sz w:val="3"/>
                <w:szCs w:val="3"/>
                <w:color w:val="auto"/>
              </w:rPr>
            </w:pPr>
          </w:p>
        </w:tc>
        <w:tc>
          <w:tcPr>
            <w:tcW w:w="2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Borders>
              <w:top w:val="single" w:sz="8" w:color="EEEEEE"/>
            </w:tcBorders>
          </w:tcPr>
          <w:p>
            <w:pPr>
              <w:spacing w:after="0"/>
              <w:rPr>
                <w:sz w:val="11"/>
                <w:szCs w:val="11"/>
                <w:color w:val="auto"/>
              </w:rPr>
            </w:pP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1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ind w:left="220"/>
              <w:spacing w:after="0" w:line="128" w:lineRule="exact"/>
              <w:rPr>
                <w:sz w:val="20"/>
                <w:szCs w:val="20"/>
                <w:color w:val="auto"/>
              </w:rPr>
            </w:pPr>
            <w:r>
              <w:rPr>
                <w:rFonts w:ascii="Arial" w:cs="Arial" w:eastAsia="Arial" w:hAnsi="Arial"/>
                <w:sz w:val="13"/>
                <w:szCs w:val="13"/>
                <w:color w:val="auto"/>
              </w:rPr>
              <w:t>below)</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320" w:type="dxa"/>
            <w:vAlign w:val="bottom"/>
            <w:gridSpan w:val="7"/>
          </w:tcPr>
          <w:p>
            <w:pPr>
              <w:ind w:left="240"/>
              <w:spacing w:after="0"/>
              <w:rPr>
                <w:sz w:val="20"/>
                <w:szCs w:val="20"/>
                <w:color w:val="auto"/>
              </w:rPr>
            </w:pPr>
            <w:r>
              <w:rPr>
                <w:rFonts w:ascii="Arial" w:cs="Arial" w:eastAsia="Arial" w:hAnsi="Arial"/>
                <w:sz w:val="17"/>
                <w:szCs w:val="17"/>
                <w:color w:val="0000FF"/>
              </w:rPr>
              <w:t>05/22/2023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6"/>
            <w:vMerge w:val="restart"/>
          </w:tcPr>
          <w:p>
            <w:pPr>
              <w:ind w:left="280"/>
              <w:spacing w:after="0"/>
              <w:rPr>
                <w:sz w:val="20"/>
                <w:szCs w:val="20"/>
                <w:color w:val="auto"/>
              </w:rPr>
            </w:pPr>
            <w:r>
              <w:rPr>
                <w:rFonts w:ascii="Arial" w:cs="Arial" w:eastAsia="Arial" w:hAnsi="Arial"/>
                <w:sz w:val="17"/>
                <w:szCs w:val="17"/>
                <w:color w:val="0000FF"/>
                <w:w w:val="95"/>
              </w:rPr>
              <w:t>Chief Technology Officer</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4"/>
            <w:vMerge w:val="restart"/>
          </w:tcPr>
          <w:p>
            <w:pPr>
              <w:ind w:left="20"/>
              <w:spacing w:after="0" w:line="178" w:lineRule="exact"/>
              <w:rPr>
                <w:sz w:val="20"/>
                <w:szCs w:val="20"/>
                <w:color w:val="auto"/>
              </w:rPr>
            </w:pPr>
            <w:r>
              <w:rPr>
                <w:rFonts w:ascii="Arial" w:cs="Arial" w:eastAsia="Arial" w:hAnsi="Arial"/>
                <w:sz w:val="17"/>
                <w:szCs w:val="17"/>
                <w:color w:val="0000FF"/>
                <w:w w:val="96"/>
              </w:rPr>
              <w:t>C/O LIFE360, INC.</w:t>
            </w: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8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80" w:type="dxa"/>
            <w:vAlign w:val="bottom"/>
            <w:gridSpan w:val="6"/>
          </w:tcPr>
          <w:p>
            <w:pPr>
              <w:ind w:left="20"/>
              <w:spacing w:after="0"/>
              <w:rPr>
                <w:sz w:val="20"/>
                <w:szCs w:val="20"/>
                <w:color w:val="auto"/>
              </w:rPr>
            </w:pPr>
            <w:r>
              <w:rPr>
                <w:rFonts w:ascii="Arial" w:cs="Arial" w:eastAsia="Arial" w:hAnsi="Arial"/>
                <w:sz w:val="17"/>
                <w:szCs w:val="17"/>
                <w:color w:val="0000FF"/>
              </w:rPr>
              <w:t>1900 SOUTH NORFOLK STREET, SUITE 310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9"/>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9"/>
                <w:szCs w:val="19"/>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60" w:type="dxa"/>
            <w:vAlign w:val="bottom"/>
            <w:gridSpan w:val="14"/>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6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20" w:type="dxa"/>
            <w:vAlign w:val="bottom"/>
            <w:gridSpan w:val="12"/>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SAN MATEO   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94403</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2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400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0"/>
                <w:szCs w:val="2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00" w:type="dxa"/>
            <w:vAlign w:val="bottom"/>
            <w:gridSpan w:val="11"/>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2"/>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6"/>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jc w:val="center"/>
              <w:ind w:right="41"/>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60" w:type="dxa"/>
            <w:vAlign w:val="bottom"/>
            <w:gridSpan w:val="6"/>
          </w:tcPr>
          <w:p>
            <w:pPr>
              <w:ind w:left="54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41"/>
              <w:spacing w:after="0" w:line="131"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w w:val="89"/>
              </w:rPr>
              <w:t>05/22/2023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10,000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40"/>
              <w:spacing w:after="0"/>
              <w:rPr>
                <w:sz w:val="20"/>
                <w:szCs w:val="20"/>
                <w:color w:val="auto"/>
              </w:rPr>
            </w:pPr>
            <w:r>
              <w:rPr>
                <w:rFonts w:ascii="Arial" w:cs="Arial" w:eastAsia="Arial" w:hAnsi="Arial"/>
                <w:sz w:val="17"/>
                <w:szCs w:val="17"/>
                <w:color w:val="0000FF"/>
              </w:rPr>
              <w:t>122,718</w:t>
            </w:r>
            <w:r>
              <w:rPr>
                <w:rFonts w:ascii="Arial" w:cs="Arial" w:eastAsia="Arial" w:hAnsi="Arial"/>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w w:val="89"/>
              </w:rPr>
              <w:t>05/23/2023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4,323</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13.8789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4"/>
          </w:tcPr>
          <w:p>
            <w:pPr>
              <w:ind w:left="240"/>
              <w:spacing w:after="0"/>
              <w:rPr>
                <w:sz w:val="20"/>
                <w:szCs w:val="20"/>
                <w:color w:val="auto"/>
              </w:rPr>
            </w:pPr>
            <w:r>
              <w:rPr>
                <w:rFonts w:ascii="Arial" w:cs="Arial" w:eastAsia="Arial" w:hAnsi="Arial"/>
                <w:sz w:val="17"/>
                <w:szCs w:val="17"/>
                <w:color w:val="0000FF"/>
              </w:rPr>
              <w:t>118,395</w:t>
            </w:r>
            <w:r>
              <w:rPr>
                <w:rFonts w:ascii="Arial" w:cs="Arial" w:eastAsia="Arial" w:hAnsi="Arial"/>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gridSpan w:val="5"/>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ind w:left="260"/>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4.35</w:t>
            </w:r>
          </w:p>
        </w:tc>
        <w:tc>
          <w:tcPr>
            <w:tcW w:w="220" w:type="dxa"/>
            <w:vAlign w:val="bottom"/>
          </w:tcPr>
          <w:p>
            <w:pPr>
              <w:spacing w:after="0"/>
              <w:rPr>
                <w:sz w:val="17"/>
                <w:szCs w:val="17"/>
                <w:color w:val="auto"/>
              </w:rPr>
            </w:pPr>
          </w:p>
        </w:tc>
        <w:tc>
          <w:tcPr>
            <w:tcW w:w="1000" w:type="dxa"/>
            <w:vAlign w:val="bottom"/>
          </w:tcPr>
          <w:p>
            <w:pPr>
              <w:jc w:val="right"/>
              <w:ind w:right="111"/>
              <w:spacing w:after="0"/>
              <w:rPr>
                <w:sz w:val="20"/>
                <w:szCs w:val="20"/>
                <w:color w:val="auto"/>
              </w:rPr>
            </w:pPr>
            <w:r>
              <w:rPr>
                <w:rFonts w:ascii="Arial" w:cs="Arial" w:eastAsia="Arial" w:hAnsi="Arial"/>
                <w:sz w:val="13"/>
                <w:szCs w:val="13"/>
                <w:color w:val="0000FF"/>
              </w:rPr>
              <w:t>05/22/2023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3"/>
          </w:tcPr>
          <w:p>
            <w:pPr>
              <w:ind w:left="2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0000FF"/>
                <w:w w:val="95"/>
              </w:rPr>
              <w:t>10,000</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04/07/2030</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00" w:type="dxa"/>
            <w:vAlign w:val="bottom"/>
            <w:gridSpan w:val="2"/>
          </w:tcPr>
          <w:p>
            <w:pPr>
              <w:ind w:left="120"/>
              <w:spacing w:after="0"/>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220"/>
              <w:spacing w:after="0"/>
              <w:rPr>
                <w:sz w:val="20"/>
                <w:szCs w:val="20"/>
                <w:color w:val="auto"/>
              </w:rPr>
            </w:pPr>
            <w:r>
              <w:rPr>
                <w:rFonts w:ascii="Arial" w:cs="Arial" w:eastAsia="Arial" w:hAnsi="Arial"/>
                <w:sz w:val="13"/>
                <w:szCs w:val="13"/>
                <w:color w:val="0000FF"/>
                <w:w w:val="95"/>
              </w:rPr>
              <w:t>68,713</w:t>
            </w:r>
          </w:p>
        </w:tc>
        <w:tc>
          <w:tcPr>
            <w:tcW w:w="26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ind w:left="160"/>
              <w:spacing w:after="0" w:line="93" w:lineRule="exact"/>
              <w:rPr>
                <w:sz w:val="20"/>
                <w:szCs w:val="20"/>
                <w:color w:val="auto"/>
              </w:rPr>
            </w:pPr>
            <w:r>
              <w:rPr>
                <w:rFonts w:ascii="Arial" w:cs="Arial" w:eastAsia="Arial" w:hAnsi="Arial"/>
                <w:sz w:val="10"/>
                <w:szCs w:val="10"/>
                <w:color w:val="0000FF"/>
              </w:rPr>
              <w:t>stock</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-6191250</wp:posOffset>
            </wp:positionV>
            <wp:extent cx="7045960" cy="6344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3449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Includes shares of the Issuer's common stock underlying CDIs and 107,108 restricted stock units, each of which represents a contingent right to receive one share of the Issuer's common stock upon vesting</w:t>
      </w:r>
    </w:p>
    <w:p>
      <w:pPr>
        <w:spacing w:after="0" w:line="69" w:lineRule="exact"/>
        <w:rPr>
          <w:rFonts w:ascii="Arial" w:cs="Arial" w:eastAsia="Arial" w:hAnsi="Arial"/>
          <w:sz w:val="11"/>
          <w:szCs w:val="11"/>
          <w:color w:val="008000"/>
        </w:rPr>
      </w:pPr>
    </w:p>
    <w:p>
      <w:pPr>
        <w:ind w:left="40" w:right="2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sale was executed on the Australian Securities Exchange (the "ASX") as Chess Depositary Interests ("CDIs") and sold using Australian Dollars. The CDIs are traded on the ASX and are held by CHESS Depositary Nominees Pty, Limited, a subsidiary of ASX Limited, the company that operates the ASX.</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price is expressed in United States Dollars using the conversion rate on May 18, 2023.</w:t>
      </w:r>
    </w:p>
    <w:p>
      <w:pPr>
        <w:spacing w:after="0" w:line="46" w:lineRule="exact"/>
        <w:rPr>
          <w:rFonts w:ascii="Arial" w:cs="Arial" w:eastAsia="Arial" w:hAnsi="Arial"/>
          <w:sz w:val="13"/>
          <w:szCs w:val="13"/>
          <w:color w:val="008000"/>
        </w:rPr>
      </w:pPr>
    </w:p>
    <w:p>
      <w:pPr>
        <w:ind w:left="40" w:right="30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vests and becomes exercisable as to 1/48th of the total number of shares in equal monthly installments beginning on May 7, 2020, until such time as the option is 100% vested, subject to the continuing employment of the Reporting Person on each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w w:val="95"/>
              </w:rPr>
              <w:t>/s/ Jay Sood, Attorney-in-fact</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w w:val="89"/>
              </w:rPr>
              <w:t>05/23/2023</w:t>
            </w:r>
          </w:p>
        </w:tc>
      </w:tr>
      <w:tr>
        <w:trPr>
          <w:trHeight w:val="227"/>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32558" TargetMode="External"/><Relationship Id="rId9"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2023-05-24T17:13:36Z</dcterms:created>
  <dcterms:modified xsi:type="dcterms:W3CDTF">2023-05-24T17:13:36Z</dcterms:modified>
</cp:coreProperties>
</file>