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Burke Russell John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08/22/2025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5,870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190,548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reflects a bona fide gift of Company stock to a donor-advised fund (DAF) for charitable purposes. The Reporting Person retains no beneficial ownership or control over the donated securities following the contribution.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111,231 restricted stock units previously granted,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Allison Chang,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3232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2025-08-26T18:07:06Z</dcterms:created>
  <dcterms:modified xsi:type="dcterms:W3CDTF">2025-08-26T18:07:06Z</dcterms:modified>
</cp:coreProperties>
</file>