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64" w:lineRule="exact"/>
        <w:rPr>
          <w:sz w:val="24"/>
          <w:szCs w:val="24"/>
          <w:color w:val="auto"/>
        </w:rPr>
      </w:pPr>
    </w:p>
    <w:p>
      <w:pPr>
        <w:ind w:left="4320" w:right="3560" w:hanging="4301"/>
        <w:spacing w:after="0" w:line="353" w:lineRule="auto"/>
        <w:tabs>
          <w:tab w:leader="none" w:pos="517"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2025</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4" w:lineRule="exact"/>
        <w:rPr>
          <w:sz w:val="24"/>
          <w:szCs w:val="24"/>
          <w:color w:val="auto"/>
        </w:rPr>
      </w:pPr>
    </w:p>
    <w:p>
      <w:pPr>
        <w:ind w:left="4140" w:right="3600" w:hanging="4121"/>
        <w:spacing w:after="0" w:line="559" w:lineRule="auto"/>
        <w:tabs>
          <w:tab w:leader="none" w:pos="476"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 to __________</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001-42120</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Life360, Inc.</w:t>
      </w:r>
    </w:p>
    <w:p>
      <w:pPr>
        <w:sectPr>
          <w:pgSz w:w="11900" w:h="16838" w:orient="portrait"/>
          <w:cols w:equalWidth="0" w:num="1">
            <w:col w:w="11280"/>
          </w:cols>
          <w:pgMar w:left="300" w:top="1078" w:right="319" w:bottom="1440" w:gutter="0" w:footer="0" w:header="0"/>
        </w:sectPr>
      </w:pP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2"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5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4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1900 South Norfolk Street, Suite 310</w:t>
      </w:r>
    </w:p>
    <w:p>
      <w:pPr>
        <w:spacing w:after="0" w:line="2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San Mateo, CA</w:t>
      </w:r>
    </w:p>
    <w:p>
      <w:pPr>
        <w:spacing w:after="0" w:line="37"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40" w:lineRule="exact"/>
        <w:rPr>
          <w:sz w:val="24"/>
          <w:szCs w:val="24"/>
          <w:color w:val="auto"/>
        </w:rPr>
      </w:pPr>
    </w:p>
    <w:p>
      <w:pPr>
        <w:jc w:val="center"/>
        <w:ind w:left="4080"/>
        <w:spacing w:after="0"/>
        <w:rPr>
          <w:sz w:val="20"/>
          <w:szCs w:val="20"/>
          <w:color w:val="auto"/>
        </w:rPr>
      </w:pPr>
      <w:r>
        <w:rPr>
          <w:rFonts w:ascii="Times New Roman" w:cs="Times New Roman" w:eastAsia="Times New Roman" w:hAnsi="Times New Roman"/>
          <w:sz w:val="14"/>
          <w:szCs w:val="14"/>
          <w:b w:val="1"/>
          <w:bCs w:val="1"/>
          <w:color w:val="auto"/>
        </w:rPr>
        <w:t>Tel: (</w:t>
      </w:r>
      <w:r>
        <w:rPr>
          <w:rFonts w:ascii="Times New Roman" w:cs="Times New Roman" w:eastAsia="Times New Roman" w:hAnsi="Times New Roman"/>
          <w:sz w:val="14"/>
          <w:szCs w:val="14"/>
          <w:color w:val="auto"/>
        </w:rPr>
        <w:t>415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484-5244</w:t>
      </w:r>
    </w:p>
    <w:p>
      <w:pPr>
        <w:spacing w:after="0" w:line="25" w:lineRule="exact"/>
        <w:rPr>
          <w:sz w:val="24"/>
          <w:szCs w:val="24"/>
          <w:color w:val="auto"/>
        </w:rPr>
      </w:pPr>
    </w:p>
    <w:p>
      <w:pPr>
        <w:jc w:val="center"/>
        <w:ind w:left="40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26-0197666</w:t>
      </w:r>
    </w:p>
    <w:p>
      <w:pPr>
        <w:spacing w:after="0" w:line="6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pacing w:after="0" w:line="238"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94403</w:t>
      </w:r>
    </w:p>
    <w:p>
      <w:pPr>
        <w:spacing w:after="0" w:line="25"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(Zip Code)</w:t>
      </w:r>
    </w:p>
    <w:p>
      <w:pPr>
        <w:spacing w:after="0" w:line="724" w:lineRule="exact"/>
        <w:rPr>
          <w:sz w:val="24"/>
          <w:szCs w:val="24"/>
          <w:color w:val="auto"/>
        </w:rPr>
      </w:pPr>
    </w:p>
    <w:p>
      <w:pPr>
        <w:sectPr>
          <w:pgSz w:w="11900" w:h="16838" w:orient="portrait"/>
          <w:cols w:equalWidth="0" w:num="2">
            <w:col w:w="7220" w:space="720"/>
            <w:col w:w="3340"/>
          </w:cols>
          <w:pgMar w:left="300" w:top="107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98"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2"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2"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400" w:type="dxa"/>
        <w:tblCellMar>
          <w:top w:w="0" w:type="dxa"/>
          <w:left w:w="0" w:type="dxa"/>
          <w:bottom w:w="0" w:type="dxa"/>
          <w:right w:w="0" w:type="dxa"/>
        </w:tblCellMar>
      </w:tblP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40" w:type="dxa"/>
            <w:vAlign w:val="bottom"/>
          </w:tcPr>
          <w:p>
            <w:pPr>
              <w:ind w:left="700"/>
              <w:spacing w:after="0"/>
              <w:rPr>
                <w:sz w:val="20"/>
                <w:szCs w:val="20"/>
                <w:color w:val="auto"/>
              </w:rPr>
            </w:pPr>
            <w:r>
              <w:rPr>
                <w:rFonts w:ascii="Wingdings" w:cs="Wingdings" w:eastAsia="Wingdings" w:hAnsi="Wingdings"/>
                <w:sz w:val="14"/>
                <w:szCs w:val="14"/>
                <w:b w:val="1"/>
                <w:bCs w:val="1"/>
                <w:color w:val="auto"/>
              </w:rPr>
              <w:t>x</w:t>
            </w:r>
          </w:p>
        </w:tc>
        <w:tc>
          <w:tcPr>
            <w:tcW w:w="33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rPr>
                <w:sz w:val="20"/>
                <w:szCs w:val="20"/>
                <w:color w:val="auto"/>
              </w:rPr>
            </w:pPr>
            <w:r>
              <w:rPr>
                <w:rFonts w:ascii="Wingdings" w:cs="Wingdings" w:eastAsia="Wingdings" w:hAnsi="Wingdings"/>
                <w:sz w:val="14"/>
                <w:szCs w:val="14"/>
                <w:b w:val="1"/>
                <w:bCs w:val="1"/>
                <w:color w:val="auto"/>
                <w:w w:val="79"/>
              </w:rPr>
              <w:t>o</w:t>
            </w: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40" w:type="dxa"/>
            <w:vAlign w:val="bottom"/>
          </w:tcPr>
          <w:p>
            <w:pPr>
              <w:ind w:left="720"/>
              <w:spacing w:after="0"/>
              <w:rPr>
                <w:sz w:val="20"/>
                <w:szCs w:val="20"/>
                <w:color w:val="auto"/>
              </w:rPr>
            </w:pPr>
            <w:r>
              <w:rPr>
                <w:rFonts w:ascii="Wingdings" w:cs="Wingdings" w:eastAsia="Wingdings" w:hAnsi="Wingdings"/>
                <w:sz w:val="14"/>
                <w:szCs w:val="14"/>
                <w:b w:val="1"/>
                <w:bCs w:val="1"/>
                <w:color w:val="auto"/>
              </w:rPr>
              <w:t>o</w:t>
            </w:r>
          </w:p>
        </w:tc>
        <w:tc>
          <w:tcPr>
            <w:tcW w:w="33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rPr>
                <w:sz w:val="20"/>
                <w:szCs w:val="20"/>
                <w:color w:val="auto"/>
              </w:rPr>
            </w:pPr>
            <w:r>
              <w:rPr>
                <w:rFonts w:ascii="Wingdings" w:cs="Wingdings" w:eastAsia="Wingdings" w:hAnsi="Wingdings"/>
                <w:sz w:val="14"/>
                <w:szCs w:val="14"/>
                <w:b w:val="1"/>
                <w:bCs w:val="1"/>
                <w:color w:val="auto"/>
                <w:w w:val="79"/>
              </w:rPr>
              <w:t>o</w:t>
            </w:r>
          </w:p>
        </w:tc>
      </w:tr>
      <w:tr>
        <w:trPr>
          <w:trHeight w:val="184"/>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940" w:type="dxa"/>
            <w:vAlign w:val="bottom"/>
          </w:tcPr>
          <w:p>
            <w:pPr>
              <w:ind w:left="720"/>
              <w:spacing w:after="0"/>
              <w:rPr>
                <w:sz w:val="20"/>
                <w:szCs w:val="20"/>
                <w:color w:val="auto"/>
              </w:rPr>
            </w:pPr>
            <w:r>
              <w:rPr>
                <w:rFonts w:ascii="Wingdings" w:cs="Wingdings" w:eastAsia="Wingdings" w:hAnsi="Wingdings"/>
                <w:sz w:val="14"/>
                <w:szCs w:val="14"/>
                <w:b w:val="1"/>
                <w:bCs w:val="1"/>
                <w:color w:val="auto"/>
              </w:rPr>
              <w:t>o</w:t>
            </w:r>
          </w:p>
        </w:tc>
        <w:tc>
          <w:tcPr>
            <w:tcW w:w="334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98"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4" w:lineRule="exact"/>
        <w:rPr>
          <w:sz w:val="24"/>
          <w:szCs w:val="24"/>
          <w:color w:val="auto"/>
        </w:rPr>
      </w:pPr>
    </w:p>
    <w:p>
      <w:pPr>
        <w:spacing w:after="0"/>
        <w:tabs>
          <w:tab w:leader="none" w:pos="658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47"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November 4, 2025, the registrant had 78,400,518 shares of common stock, par value $0.001 per share, including shares underlying all issued and outstanding Chess Depositary Interests (“CDIs”),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702310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182245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Life360,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 for the Quarter Ended September 30, 2025</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6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41"/>
        </w:trPr>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8840" w:type="dxa"/>
            <w:vAlign w:val="bottom"/>
            <w:gridSpan w:val="14"/>
          </w:tcPr>
          <w:p>
            <w:pPr>
              <w:spacing w:after="0"/>
              <w:rPr>
                <w:sz w:val="24"/>
                <w:szCs w:val="24"/>
                <w:color w:val="auto"/>
              </w:rPr>
            </w:pPr>
          </w:p>
        </w:tc>
        <w:tc>
          <w:tcPr>
            <w:tcW w:w="600" w:type="dxa"/>
            <w:vAlign w:val="bottom"/>
          </w:tcPr>
          <w:p>
            <w:pPr>
              <w:spacing w:after="0"/>
              <w:rPr>
                <w:sz w:val="24"/>
                <w:szCs w:val="24"/>
                <w:color w:val="auto"/>
              </w:rPr>
            </w:pPr>
          </w:p>
        </w:tc>
      </w:tr>
      <w:tr>
        <w:trPr>
          <w:trHeight w:val="245"/>
        </w:trPr>
        <w:tc>
          <w:tcPr>
            <w:tcW w:w="8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6820" w:type="dxa"/>
            <w:vAlign w:val="bottom"/>
            <w:gridSpan w:val="8"/>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0"/>
        </w:trPr>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and Comprehensive Income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0"/>
        </w:trPr>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w:t>
            </w:r>
          </w:p>
        </w:tc>
        <w:tc>
          <w:tcPr>
            <w:tcW w:w="1440" w:type="dxa"/>
            <w:vAlign w:val="bottom"/>
            <w:tcBorders>
              <w:top w:val="single" w:sz="8" w:color="0000FF"/>
            </w:tcBorders>
            <w:gridSpan w:val="2"/>
          </w:tcPr>
          <w:p>
            <w:pPr>
              <w:spacing w:after="0"/>
              <w:rPr>
                <w:sz w:val="13"/>
                <w:szCs w:val="13"/>
                <w:color w:val="auto"/>
              </w:rPr>
            </w:pPr>
          </w:p>
        </w:tc>
        <w:tc>
          <w:tcPr>
            <w:tcW w:w="4240" w:type="dxa"/>
            <w:vAlign w:val="bottom"/>
            <w:gridSpan w:val="2"/>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0"/>
        </w:trPr>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5300" w:type="dxa"/>
            <w:vAlign w:val="bottom"/>
            <w:gridSpan w:val="3"/>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8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3.</w:t>
            </w:r>
          </w:p>
        </w:tc>
        <w:tc>
          <w:tcPr>
            <w:tcW w:w="940" w:type="dxa"/>
            <w:vAlign w:val="bottom"/>
            <w:gridSpan w:val="2"/>
          </w:tcPr>
          <w:p>
            <w:pPr>
              <w:spacing w:after="0"/>
              <w:rPr>
                <w:sz w:val="17"/>
                <w:szCs w:val="17"/>
                <w:color w:val="auto"/>
              </w:rPr>
            </w:pPr>
          </w:p>
        </w:tc>
        <w:tc>
          <w:tcPr>
            <w:tcW w:w="3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700" w:type="dxa"/>
            <w:vAlign w:val="bottom"/>
            <w:gridSpan w:val="5"/>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3"/>
        </w:trPr>
        <w:tc>
          <w:tcPr>
            <w:tcW w:w="8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62"/>
        </w:trPr>
        <w:tc>
          <w:tcPr>
            <w:tcW w:w="106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FF"/>
              </w:rPr>
              <w:t>Part II - Other Information</w:t>
            </w:r>
          </w:p>
        </w:tc>
        <w:tc>
          <w:tcPr>
            <w:tcW w:w="600" w:type="dxa"/>
            <w:vAlign w:val="bottom"/>
          </w:tcPr>
          <w:p>
            <w:pPr>
              <w:spacing w:after="0"/>
              <w:rPr>
                <w:sz w:val="24"/>
                <w:szCs w:val="24"/>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5"/>
        </w:trPr>
        <w:tc>
          <w:tcPr>
            <w:tcW w:w="8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1A.</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940" w:type="dxa"/>
            <w:vAlign w:val="bottom"/>
            <w:gridSpan w:val="2"/>
          </w:tcPr>
          <w:p>
            <w:pPr>
              <w:spacing w:after="0"/>
              <w:rPr>
                <w:sz w:val="17"/>
                <w:szCs w:val="17"/>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3"/>
            <w:shd w:val="clear" w:color="auto" w:fill="0000FF"/>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3.</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73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920" w:type="dxa"/>
            <w:vAlign w:val="bottom"/>
          </w:tcPr>
          <w:p>
            <w:pPr>
              <w:spacing w:after="0"/>
              <w:rPr>
                <w:sz w:val="17"/>
                <w:szCs w:val="17"/>
                <w:color w:val="auto"/>
              </w:rPr>
            </w:pP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740" w:type="dxa"/>
            <w:vAlign w:val="bottom"/>
            <w:gridSpan w:val="10"/>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3"/>
        </w:trPr>
        <w:tc>
          <w:tcPr>
            <w:tcW w:w="8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5.</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10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6.</w:t>
            </w:r>
          </w:p>
        </w:tc>
        <w:tc>
          <w:tcPr>
            <w:tcW w:w="9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Exhibits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62"/>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bl>
    <w:p>
      <w:pPr>
        <w:spacing w:after="0" w:line="2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Securities Exchange Act of 1934, as amended (the “Exchange Act”). These forward-looking statements include statements regarding, among other things, (a) our expectations regarding our results of operations and key performance indicators, (b) key factors affecting our performance (c) our growth strategy, (d) our future financing plans, (e) our anticipated needs for, and use of, working capital and (f) our expectations regarding the effect of the capped call transactions entered into in connection with the pricing of our 0.00% convertible senior notes due June 1, 2030.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“Risk Factors” under Part II, Item 1A in this Quarterly Report, Part II, Item 1A in our previous Quarterly Reports on Form 10-Q for the quarters ended March 31, 2025 and June 30, 2025, filed with the Securities and Exchange Commission (the “SEC”) on May 12, 2025 and August 11, 2025, respectively, and Part I, Item 1A of the Company’s Form 10-K for the year ended December 31, 2024, filed with the SEC on February 27, 2025 (“Annual Report”), as well as in other sections of this report, as such risks may be updated in subsequent filings with the SEC or the Australian Securities Exchange (“ASX”). In light of these risks and uncertainties, there can be no assurance that the forward-looking statements contained in this filing will in fact occur. You should not place undue reliance on these forward-looking statements.</w:t>
      </w:r>
    </w:p>
    <w:p>
      <w:pPr>
        <w:spacing w:after="0" w:line="15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but not limited to, those discussed in “Risk Factors” under Part II, Item 1A in this Quarterly Report, Part II, Item 1A in our previous Quarterly Reports on Form 10-Q for the quarters ended March 31, 2025 and June 30, 2025, and Part I, Item 1A in our Annual Report, and other sections in this Quarterly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0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159,238</w:t>
            </w:r>
          </w:p>
        </w:tc>
      </w:tr>
      <w:tr>
        <w:trPr>
          <w:trHeight w:val="180"/>
        </w:trPr>
        <w:tc>
          <w:tcPr>
            <w:tcW w:w="802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Accounts receivable, net</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57,997</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w:t>
            </w:r>
          </w:p>
        </w:tc>
      </w:tr>
      <w:tr>
        <w:trPr>
          <w:trHeight w:val="180"/>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Costs capitalized to obtain contracts, net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240,989</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r>
      <w:tr>
        <w:trPr>
          <w:trHeight w:val="180"/>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Costs capitalized to obtain contracts, noncurrent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r>
      <w:tr>
        <w:trPr>
          <w:trHeight w:val="180"/>
        </w:trPr>
        <w:tc>
          <w:tcPr>
            <w:tcW w:w="802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Prepaid expenses and other assets, noncurrent</w:t>
            </w:r>
            <w:r>
              <w:rPr>
                <w:rFonts w:ascii="Times New Roman" w:cs="Times New Roman" w:eastAsia="Times New Roman" w:hAnsi="Times New Roman"/>
                <w:sz w:val="18"/>
                <w:szCs w:val="18"/>
                <w:color w:val="auto"/>
                <w:vertAlign w:val="superscript"/>
              </w:rPr>
              <w:t>(2)(3)</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21,611</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0"/>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40,574</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134,619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133,674</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787,454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441,580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8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w:t>
            </w:r>
          </w:p>
        </w:tc>
      </w:tr>
      <w:tr>
        <w:trPr>
          <w:trHeight w:val="180"/>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32,015</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39,860</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77,338</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Convertible notes, net, noncurrent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5,338</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396,007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83,035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2"/>
        </w:trPr>
        <w:tc>
          <w:tcPr>
            <w:tcW w:w="8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38"/>
        </w:trPr>
        <w:tc>
          <w:tcPr>
            <w:tcW w:w="80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Common Stock, $0.001 par value; 500,000,000 authorized as of September 30, 2025 and December 31, 2024, respectively; 78,268,702</w:t>
            </w: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91"/>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and 75,404,996 issued and outstanding as of September 30, 2025 and December 31, 2024, respectively</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648,124</w:t>
            </w:r>
          </w:p>
        </w:tc>
      </w:tr>
      <w:tr>
        <w:trPr>
          <w:trHeight w:val="180"/>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(289,698)</w:t>
            </w:r>
          </w:p>
        </w:tc>
      </w:tr>
      <w:tr>
        <w:trPr>
          <w:trHeight w:val="180"/>
        </w:trPr>
        <w:tc>
          <w:tcPr>
            <w:tcW w:w="8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391,447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0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787,454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441,580</w:t>
            </w: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160" w:hanging="155"/>
        <w:spacing w:after="0"/>
        <w:tabs>
          <w:tab w:leader="none" w:pos="1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 party receivables of $206 and $55 as of September 30, 2025 and December 31, 2024, respectively.</w:t>
      </w:r>
    </w:p>
    <w:p>
      <w:pPr>
        <w:spacing w:after="0" w:line="85" w:lineRule="exact"/>
        <w:rPr>
          <w:rFonts w:ascii="Times New Roman" w:cs="Times New Roman" w:eastAsia="Times New Roman" w:hAnsi="Times New Roman"/>
          <w:sz w:val="11"/>
          <w:szCs w:val="11"/>
          <w:color w:val="auto"/>
        </w:rPr>
      </w:pPr>
    </w:p>
    <w:p>
      <w:pPr>
        <w:ind w:left="200" w:right="260" w:hanging="195"/>
        <w:spacing w:after="0" w:line="270" w:lineRule="auto"/>
        <w:tabs>
          <w:tab w:leader="none" w:pos="18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$26,208 and zero measured using the fair value option as of September 30, 2025 and December 31, 2024, respectively, related to the Convertible Note Investment. Refer to Note 5, "Fair Value Measurements" for additional information.</w:t>
      </w:r>
    </w:p>
    <w:p>
      <w:pPr>
        <w:spacing w:after="0" w:line="218" w:lineRule="exact"/>
        <w:rPr>
          <w:rFonts w:ascii="Times New Roman" w:cs="Times New Roman" w:eastAsia="Times New Roman" w:hAnsi="Times New Roman"/>
          <w:sz w:val="11"/>
          <w:szCs w:val="11"/>
          <w:color w:val="auto"/>
        </w:rPr>
      </w:pPr>
    </w:p>
    <w:p>
      <w:pPr>
        <w:ind w:left="200" w:hanging="195"/>
        <w:spacing w:after="0" w:line="300" w:lineRule="auto"/>
        <w:tabs>
          <w:tab w:leader="none" w:pos="174"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balance as of September 30, 2025 includes the $5,882 Related Party Investment and the $3,898 Related Party Warrant. The balance as of December 31, 2024 includes the $5,000 Related Party SAFE and the $3,898 Related Party Warrant. Refer to Note 5, "Fair Value Measurements" and Note 14, "Related-Party Transactions" for additional information.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consolidated financial statements (unaudited).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60" w:type="dxa"/>
            <w:vAlign w:val="bottom"/>
          </w:tcPr>
          <w:p>
            <w:pPr>
              <w:spacing w:after="0"/>
              <w:rPr>
                <w:sz w:val="13"/>
                <w:szCs w:val="13"/>
                <w:color w:val="auto"/>
              </w:rPr>
            </w:pPr>
          </w:p>
        </w:tc>
        <w:tc>
          <w:tcPr>
            <w:tcW w:w="2760" w:type="dxa"/>
            <w:vAlign w:val="bottom"/>
            <w:gridSpan w:val="4"/>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9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revenue</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199,090</w:t>
            </w:r>
          </w:p>
        </w:tc>
      </w:tr>
      <w:tr>
        <w:trPr>
          <w:trHeight w:val="180"/>
        </w:trPr>
        <w:tc>
          <w:tcPr>
            <w:tcW w:w="496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Hardware revenue</w:t>
            </w:r>
            <w:r>
              <w:rPr>
                <w:rFonts w:ascii="Times New Roman" w:cs="Times New Roman" w:eastAsia="Times New Roman" w:hAnsi="Times New Roman"/>
                <w:sz w:val="17"/>
                <w:szCs w:val="17"/>
                <w:color w:val="auto"/>
                <w:vertAlign w:val="superscript"/>
              </w:rPr>
              <w:t>(1)</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33,833</w:t>
            </w:r>
          </w:p>
        </w:tc>
      </w:tr>
      <w:tr>
        <w:trPr>
          <w:trHeight w:val="180"/>
        </w:trPr>
        <w:tc>
          <w:tcPr>
            <w:tcW w:w="4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17"/>
                <w:szCs w:val="17"/>
                <w:color w:val="auto"/>
                <w:vertAlign w:val="superscript"/>
              </w:rPr>
              <w:t>(2)</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23,032</w:t>
            </w:r>
          </w:p>
        </w:tc>
      </w:tr>
      <w:tr>
        <w:trPr>
          <w:trHeight w:val="168"/>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92,865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343,502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255,955</w:t>
            </w:r>
          </w:p>
        </w:tc>
      </w:tr>
      <w:tr>
        <w:trPr>
          <w:trHeight w:val="18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subscription revenue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30,367</w:t>
            </w:r>
          </w:p>
        </w:tc>
      </w:tr>
      <w:tr>
        <w:trPr>
          <w:trHeight w:val="180"/>
        </w:trPr>
        <w:tc>
          <w:tcPr>
            <w:tcW w:w="496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Cost of hardware revenue</w:t>
            </w:r>
            <w:r>
              <w:rPr>
                <w:rFonts w:ascii="Times New Roman" w:cs="Times New Roman" w:eastAsia="Times New Roman" w:hAnsi="Times New Roman"/>
                <w:sz w:val="17"/>
                <w:szCs w:val="17"/>
                <w:color w:val="auto"/>
                <w:vertAlign w:val="superscript"/>
              </w:rPr>
              <w:t>(3)</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29,147</w:t>
            </w: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other revenue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w:t>
            </w:r>
          </w:p>
        </w:tc>
      </w:tr>
      <w:tr>
        <w:trPr>
          <w:trHeight w:val="168"/>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cost of revenue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62,304</w:t>
            </w:r>
          </w:p>
        </w:tc>
      </w:tr>
      <w:tr>
        <w:trPr>
          <w:trHeight w:val="184"/>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Gross profit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271,185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193,651</w:t>
            </w:r>
          </w:p>
        </w:tc>
      </w:tr>
      <w:tr>
        <w:trPr>
          <w:trHeight w:val="179"/>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83,283</w:t>
            </w:r>
          </w:p>
        </w:tc>
      </w:tr>
      <w:tr>
        <w:trPr>
          <w:trHeight w:val="177"/>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Sales and marketing</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79,818</w:t>
            </w:r>
          </w:p>
        </w:tc>
      </w:tr>
      <w:tr>
        <w:trPr>
          <w:trHeight w:val="184"/>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53,037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44,243</w:t>
            </w:r>
          </w:p>
        </w:tc>
      </w:tr>
      <w:tr>
        <w:trPr>
          <w:trHeight w:val="16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91,444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261,313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207,344</w:t>
            </w:r>
          </w:p>
        </w:tc>
      </w:tr>
      <w:tr>
        <w:trPr>
          <w:trHeight w:val="17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(13,693)</w:t>
            </w:r>
          </w:p>
        </w:tc>
      </w:tr>
      <w:tr>
        <w:trPr>
          <w:trHeight w:val="179"/>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Convertible notes fair value adjustment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r>
      <w:tr>
        <w:trPr>
          <w:trHeight w:val="177"/>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Derivative liability fair value adjustment</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w:t>
            </w:r>
          </w:p>
        </w:tc>
      </w:tr>
      <w:tr>
        <w:trPr>
          <w:trHeight w:val="184"/>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settlement of convertible notes</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r>
      <w:tr>
        <w:trPr>
          <w:trHeight w:val="177"/>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settlement of derivative liability</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w:t>
            </w:r>
          </w:p>
        </w:tc>
      </w:tr>
      <w:tr>
        <w:trPr>
          <w:trHeight w:val="184"/>
        </w:trPr>
        <w:tc>
          <w:tcPr>
            <w:tcW w:w="4960" w:type="dxa"/>
            <w:vAlign w:val="bottom"/>
            <w:shd w:val="clear" w:color="auto" w:fill="CCEEFF"/>
          </w:tcPr>
          <w:p>
            <w:pPr>
              <w:ind w:left="280"/>
              <w:spacing w:after="0" w:line="184" w:lineRule="exact"/>
              <w:rPr>
                <w:sz w:val="20"/>
                <w:szCs w:val="20"/>
                <w:color w:val="auto"/>
              </w:rPr>
            </w:pPr>
            <w:r>
              <w:rPr>
                <w:rFonts w:ascii="Times New Roman" w:cs="Times New Roman" w:eastAsia="Times New Roman" w:hAnsi="Times New Roman"/>
                <w:sz w:val="13"/>
                <w:szCs w:val="13"/>
                <w:color w:val="auto"/>
              </w:rPr>
              <w:t>Gain on change in fair value of investments</w:t>
            </w:r>
            <w:r>
              <w:rPr>
                <w:rFonts w:ascii="Times New Roman" w:cs="Times New Roman" w:eastAsia="Times New Roman" w:hAnsi="Times New Roman"/>
                <w:sz w:val="17"/>
                <w:szCs w:val="17"/>
                <w:color w:val="auto"/>
                <w:vertAlign w:val="superscript"/>
              </w:rPr>
              <w:t>(4)</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5,389</w:t>
            </w:r>
          </w:p>
        </w:tc>
      </w:tr>
      <w:tr>
        <w:trPr>
          <w:trHeight w:val="177"/>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income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4,214</w:t>
            </w:r>
          </w:p>
        </w:tc>
      </w:tr>
      <w:tr>
        <w:trPr>
          <w:trHeight w:val="184"/>
        </w:trPr>
        <w:tc>
          <w:tcPr>
            <w:tcW w:w="4960" w:type="dxa"/>
            <w:vAlign w:val="bottom"/>
            <w:shd w:val="clear" w:color="auto" w:fill="CCEEFF"/>
          </w:tcPr>
          <w:p>
            <w:pPr>
              <w:ind w:left="280"/>
              <w:spacing w:after="0" w:line="184" w:lineRule="exact"/>
              <w:rPr>
                <w:sz w:val="20"/>
                <w:szCs w:val="20"/>
                <w:color w:val="auto"/>
              </w:rPr>
            </w:pPr>
            <w:r>
              <w:rPr>
                <w:rFonts w:ascii="Times New Roman" w:cs="Times New Roman" w:eastAsia="Times New Roman" w:hAnsi="Times New Roman"/>
                <w:sz w:val="13"/>
                <w:szCs w:val="13"/>
                <w:color w:val="auto"/>
              </w:rPr>
              <w:t>Other income (expense), net</w:t>
            </w:r>
            <w:r>
              <w:rPr>
                <w:rFonts w:ascii="Times New Roman" w:cs="Times New Roman" w:eastAsia="Times New Roman" w:hAnsi="Times New Roman"/>
                <w:sz w:val="17"/>
                <w:szCs w:val="17"/>
                <w:color w:val="auto"/>
                <w:vertAlign w:val="superscript"/>
              </w:rPr>
              <w:t>(5)</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w:t>
            </w:r>
          </w:p>
        </w:tc>
      </w:tr>
      <w:tr>
        <w:trPr>
          <w:trHeight w:val="16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11,126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2,786</w:t>
            </w:r>
          </w:p>
        </w:tc>
      </w:tr>
      <w:tr>
        <w:trPr>
          <w:trHeight w:val="17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(10,907)</w:t>
            </w:r>
          </w:p>
        </w:tc>
      </w:tr>
      <w:tr>
        <w:trPr>
          <w:trHeight w:val="177"/>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2,146</w:t>
            </w:r>
          </w:p>
        </w:tc>
      </w:tr>
      <w:tr>
        <w:trPr>
          <w:trHeight w:val="17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(13,053)</w:t>
            </w:r>
          </w:p>
        </w:tc>
      </w:tr>
      <w:tr>
        <w:trPr>
          <w:trHeight w:val="168"/>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 basic (Note 15)</w:t>
            </w: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80" w:type="dxa"/>
            <w:vAlign w:val="bottom"/>
          </w:tcPr>
          <w:p>
            <w:pPr>
              <w:spacing w:after="0"/>
              <w:rPr>
                <w:sz w:val="14"/>
                <w:szCs w:val="14"/>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4"/>
                <w:szCs w:val="14"/>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14"/>
                <w:szCs w:val="14"/>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r>
      <w:tr>
        <w:trPr>
          <w:trHeight w:val="18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per share, diluted (Note 15)</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r>
      <w:tr>
        <w:trPr>
          <w:trHeight w:val="177"/>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shares used in computing net income (loss) per share, basic (Note 15)</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77,736,272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74,232,140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76,752,859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71,187,103</w:t>
            </w:r>
          </w:p>
        </w:tc>
      </w:tr>
      <w:tr>
        <w:trPr>
          <w:trHeight w:val="18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used in computing net income (loss) per share, diluted (Note 15)</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85,794,178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82,083,976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84,760,161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71,187,103</w:t>
            </w:r>
          </w:p>
        </w:tc>
      </w:tr>
      <w:tr>
        <w:trPr>
          <w:trHeight w:val="179"/>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(loss)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(13,053)</w:t>
            </w:r>
          </w:p>
        </w:tc>
      </w:tr>
      <w:tr>
        <w:trPr>
          <w:trHeight w:val="177"/>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foreign currency translation adjustment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99"/>
        </w:trPr>
        <w:tc>
          <w:tcPr>
            <w:tcW w:w="49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 party revenue of $203 for the three and nine months ended September 30, 2025. No related party revenue was recorded during the three and nine months ended September 30, 2024.</w:t>
      </w:r>
    </w:p>
    <w:p>
      <w:pPr>
        <w:spacing w:after="0" w:line="96"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 party revenue of $195 and $682 for the three and nine months ended September 30, 2025, respectively. No related party revenue was recorded during the three and nine months ended September 30, 2024.</w:t>
      </w:r>
    </w:p>
    <w:p>
      <w:pPr>
        <w:spacing w:after="0" w:line="96"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 party cost of revenue of $137 for the three and nine months ended September 30, 2025. No related party cost of revenue was recorded during the three and nine months ended September 30, 2024.</w:t>
      </w:r>
    </w:p>
    <w:p>
      <w:pPr>
        <w:spacing w:after="0" w:line="96"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 related party gain of zero and $882 for the three and nine months ended September 30, 2025, respectively. No related party gain was recorded during the three and nine months ended September 30, 2024.</w:t>
      </w:r>
    </w:p>
    <w:p>
      <w:pPr>
        <w:spacing w:after="0" w:line="96"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 party other expense of zero and $5,498 for the three and nine months ended September 30, 2024, respectively. No related party other expense was recorded during the three and nine months ended September 30, 2025.</w:t>
      </w:r>
    </w:p>
    <w:p>
      <w:pPr>
        <w:spacing w:after="0" w:line="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consolidated financial statements (unaudited).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140" w:type="dxa"/>
            <w:vAlign w:val="bottom"/>
            <w:gridSpan w:val="3"/>
            <w:vMerge w:val="restart"/>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14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8"/>
                <w:szCs w:val="8"/>
                <w:color w:val="auto"/>
              </w:rPr>
            </w:pPr>
          </w:p>
        </w:tc>
        <w:tc>
          <w:tcPr>
            <w:tcW w:w="10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4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160" w:type="dxa"/>
            <w:vAlign w:val="bottom"/>
          </w:tcPr>
          <w:p>
            <w:pPr>
              <w:spacing w:after="0"/>
              <w:rPr>
                <w:sz w:val="8"/>
                <w:szCs w:val="8"/>
                <w:color w:val="auto"/>
              </w:rPr>
            </w:pPr>
          </w:p>
        </w:tc>
        <w:tc>
          <w:tcPr>
            <w:tcW w:w="106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6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75,404,996</w:t>
            </w: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648,124</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346,874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644,538</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Taxes paid related to the settlement of equity awards, net of</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proceeds received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in connection with an acquisition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76,418,660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661,479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3780" w:type="dxa"/>
            <w:vAlign w:val="bottom"/>
            <w:tcBorders>
              <w:top w:val="single" w:sz="8" w:color="CCEEFF"/>
            </w:tcBorders>
            <w:vMerge w:val="continue"/>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510,285</w:t>
            </w: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2,762</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2,763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587,287</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Taxes paid related to the settlement of equity awards, net of</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proceeds received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of capped calls related to the June 2025 Convertible</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77,516,232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644,950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3780" w:type="dxa"/>
            <w:vAlign w:val="bottom"/>
            <w:tcBorders>
              <w:top w:val="single" w:sz="8" w:color="CCEEFF"/>
            </w:tcBorders>
            <w:vMerge w:val="continue"/>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127,699</w:t>
            </w: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1,158</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617,566</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Taxes paid related to the settlement of equity awards, net of</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proceeds received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78,268,702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659,761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2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9"/>
                <w:szCs w:val="9"/>
                <w:color w:val="auto"/>
              </w:rPr>
            </w:pPr>
          </w:p>
        </w:tc>
        <w:tc>
          <w:tcPr>
            <w:tcW w:w="2140" w:type="dxa"/>
            <w:vAlign w:val="bottom"/>
            <w:gridSpan w:val="3"/>
            <w:vMerge w:val="restart"/>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214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80" w:type="dxa"/>
            <w:vAlign w:val="bottom"/>
          </w:tcPr>
          <w:p>
            <w:pPr>
              <w:spacing w:after="0"/>
              <w:rPr>
                <w:sz w:val="8"/>
                <w:szCs w:val="8"/>
                <w:color w:val="auto"/>
              </w:rPr>
            </w:pPr>
          </w:p>
        </w:tc>
        <w:tc>
          <w:tcPr>
            <w:tcW w:w="10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6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160" w:type="dxa"/>
            <w:vAlign w:val="bottom"/>
          </w:tcPr>
          <w:p>
            <w:pPr>
              <w:spacing w:after="0"/>
              <w:rPr>
                <w:sz w:val="8"/>
                <w:szCs w:val="8"/>
                <w:color w:val="auto"/>
              </w:rPr>
            </w:pPr>
          </w:p>
        </w:tc>
        <w:tc>
          <w:tcPr>
            <w:tcW w:w="1020" w:type="dxa"/>
            <w:vAlign w:val="bottom"/>
          </w:tcPr>
          <w:p>
            <w:pPr>
              <w:jc w:val="center"/>
              <w:ind w:right="91"/>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3"/>
                <w:szCs w:val="13"/>
                <w:color w:val="auto"/>
              </w:rPr>
            </w:pPr>
          </w:p>
        </w:tc>
        <w:tc>
          <w:tcPr>
            <w:tcW w:w="102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68,155,830</w:t>
            </w: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532,128</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(285,143)</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247,064</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277,309</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965,238</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69,440,062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534,679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239,840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tcBorders>
              <w:top w:val="single" w:sz="8" w:color="CCEEFF"/>
            </w:tcBorders>
            <w:vMerge w:val="continue"/>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129,968</w:t>
            </w: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1,006</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88,212</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428,378</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convertible notes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341,877</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0" w:type="dxa"/>
            <w:vAlign w:val="bottom"/>
          </w:tcPr>
          <w:p>
            <w:pPr>
              <w:spacing w:after="0"/>
              <w:rPr>
                <w:sz w:val="1"/>
                <w:szCs w:val="1"/>
                <w:color w:val="auto"/>
              </w:rPr>
            </w:pPr>
          </w:p>
        </w:tc>
      </w:tr>
      <w:tr>
        <w:trPr>
          <w:trHeight w:val="138"/>
        </w:trPr>
        <w:tc>
          <w:tcPr>
            <w:tcW w:w="38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stock net of underwriting discounts,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and issuance costs of $13,293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3,703,704</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86,707</w:t>
            </w: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74,132,201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(305,884)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326,716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tcBorders>
              <w:top w:val="single" w:sz="8" w:color="CCEEFF"/>
            </w:tcBorders>
            <w:vMerge w:val="continue"/>
          </w:tcPr>
          <w:p>
            <w:pPr>
              <w:spacing w:after="0"/>
              <w:rPr>
                <w:sz w:val="12"/>
                <w:szCs w:val="12"/>
                <w:color w:val="auto"/>
              </w:rPr>
            </w:pP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128,727</w:t>
            </w: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1,103</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403,820</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11,610</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74,664,748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637,806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(298,195)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339,691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consolidated financial statements (unaudited).</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U.S. $,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21,177</w:t>
            </w:r>
          </w:p>
        </w:tc>
        <w:tc>
          <w:tcPr>
            <w:tcW w:w="80" w:type="dxa"/>
            <w:vAlign w:val="bottom"/>
          </w:tcPr>
          <w:p>
            <w:pPr>
              <w:spacing w:after="0"/>
              <w:rPr>
                <w:sz w:val="15"/>
                <w:szCs w:val="15"/>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costs capitalized to obtain contracts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operating lease right-of-use asset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 net of amounts capitalized</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30,507</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expense, net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Convertible notes fair value adjustment</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liability fair value adjustment</w:t>
            </w:r>
          </w:p>
        </w:tc>
        <w:tc>
          <w:tcPr>
            <w:tcW w:w="9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settlement of convertible notes</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settlement of derivative liability</w:t>
            </w:r>
          </w:p>
        </w:tc>
        <w:tc>
          <w:tcPr>
            <w:tcW w:w="9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Gain on change in fair value of investments</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revenue from investments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Costs capitalized to obtain contracts, net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51,830</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20,289</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acquisition</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Convertible note investment</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(33,928)</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related to tax withholdings on restricted stock settlements and the exercise of stock options and warrants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(23,371)</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issuance of common stock in U.S. initial public offering, net of underwriting discounts and commissions</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93,000</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U.S. initial public offering issuance costs</w:t>
            </w:r>
          </w:p>
        </w:tc>
        <w:tc>
          <w:tcPr>
            <w:tcW w:w="9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issuance of convertible senior notes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capped calls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(33,728)</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278,866</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72,474</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296,768</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89,472</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 Period</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160,459</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70,713</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457,227</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160,185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600"/>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8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600" w:type="dxa"/>
            <w:vAlign w:val="bottom"/>
          </w:tcPr>
          <w:p>
            <w:pPr>
              <w:jc w:val="right"/>
              <w:ind w:right="2729"/>
              <w:spacing w:after="0"/>
              <w:rPr>
                <w:sz w:val="20"/>
                <w:szCs w:val="20"/>
                <w:color w:val="auto"/>
              </w:rPr>
            </w:pPr>
            <w:r>
              <w:rPr>
                <w:rFonts w:ascii="Times New Roman" w:cs="Times New Roman" w:eastAsia="Times New Roman" w:hAnsi="Times New Roman"/>
                <w:sz w:val="14"/>
                <w:szCs w:val="14"/>
                <w:b w:val="1"/>
                <w:bCs w:val="1"/>
                <w:color w:val="auto"/>
              </w:rPr>
              <w:t>Life360, Inc.</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467"/>
        </w:trPr>
        <w:tc>
          <w:tcPr>
            <w:tcW w:w="5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3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during the period for taxes</w:t>
            </w:r>
          </w:p>
        </w:tc>
        <w:tc>
          <w:tcPr>
            <w:tcW w:w="3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w:t>
            </w:r>
          </w:p>
        </w:tc>
        <w:tc>
          <w:tcPr>
            <w:tcW w:w="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r>
      <w:tr>
        <w:trPr>
          <w:trHeight w:val="180"/>
        </w:trPr>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36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payments included in the measurement of operating lease liabilities</w:t>
            </w:r>
          </w:p>
        </w:tc>
        <w:tc>
          <w:tcPr>
            <w:tcW w:w="36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291</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Fair value of stock issued in connection with acquisition</w:t>
            </w:r>
          </w:p>
        </w:tc>
        <w:tc>
          <w:tcPr>
            <w:tcW w:w="36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1,000</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Conversion of September 2021 Convertible Notes to common stock</w:t>
            </w:r>
          </w:p>
        </w:tc>
        <w:tc>
          <w:tcPr>
            <w:tcW w:w="36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r>
      <w:tr>
        <w:trPr>
          <w:trHeight w:val="180"/>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July 2021 Convertible Notes and accrued interest to common stock</w:t>
            </w:r>
          </w:p>
        </w:tc>
        <w:tc>
          <w:tcPr>
            <w:tcW w:w="36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r>
      <w:tr>
        <w:trPr>
          <w:trHeight w:val="180"/>
        </w:trPr>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included within accrued expenses and other current liabilities</w:t>
            </w:r>
          </w:p>
        </w:tc>
        <w:tc>
          <w:tcPr>
            <w:tcW w:w="36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w:t>
            </w: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r>
      <w:tr>
        <w:trPr>
          <w:trHeight w:val="180"/>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included in internally developed software</w:t>
            </w:r>
          </w:p>
        </w:tc>
        <w:tc>
          <w:tcPr>
            <w:tcW w:w="36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904</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180"/>
        </w:trPr>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IPO-related transaction costs included in accrued expenses and other current liabilities</w:t>
            </w:r>
          </w:p>
        </w:tc>
        <w:tc>
          <w:tcPr>
            <w:tcW w:w="36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r>
      <w:tr>
        <w:trPr>
          <w:trHeight w:val="184"/>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Related Party SAFE to Related Party Investment</w:t>
            </w:r>
          </w:p>
        </w:tc>
        <w:tc>
          <w:tcPr>
            <w:tcW w:w="36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w:t>
            </w:r>
          </w:p>
        </w:tc>
        <w:tc>
          <w:tcPr>
            <w:tcW w:w="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a related party gain of $882 and zero for the nine months ended September 30,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cash, cash equivalents, and restricted cash reported within the condensed consolidated statements of cash flows shown 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3"/>
        </w:trPr>
        <w:tc>
          <w:tcPr>
            <w:tcW w:w="8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158,980</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160,185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condensed consolidated financial statements (unaudited).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Business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the Life360 mobile application, the Company also offers hardware tracking devices through the sale of Tile, Inc. (“Tile”) and Jio, Inc. (“Jiobit”) products to keep members close to the people, pets and things they care about most.</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and Board of Directors Transitions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11, 2025, the Company announced that its Board of Directors appointed Lauren Antonoff, then Chief Operating Officer, as the Company’s Chief Executive Officer and a member of the Company’s Board of Directors, and Chris Hulls, the Company’s Co-Founder and then Chief Executive Officer, as Executive Chairman of the Board.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the same date, the Company’s Board of Directors appointed Mark Goines as Lead Independent Director.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Initial Public Offering (“U.S. IPO”)</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June 6, 2024, the Company completed its U.S. IPO and began trading on the Nasdaq Global Select Market under the trading symbol “LIF”. The Company issued and sold 3,703,704 shares of common stock 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 Refer to Note 14, "Related-Party Transactions" for further details. The Company did not receive any proceeds from the sale of shares of common stock by the selling securityholders.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U.S. IPO, the Company restated its certificate of incorporation to increase the authorized number of shares of its common stock from 100,000,000 shares to 500,000,000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Included below are select significant accounting policies. Refer to Note 2, "Summary of Significant Accounting Policies" in the Company’s Annual Report for a full list of the Company’s significant accounting policies.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Consolidation</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 for interim reporting. As permitted under those rules, certain footnotes or other financial information that are normally required by GAAP can be condensed or omitted. All intercompany balances and transactions have been eliminated in consolidation.</w:t>
      </w:r>
    </w:p>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condensed consolidated balance sheet as of December 31, 2024,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condensed consolidated financial statements should be read in conjunction with the audited consolidated financial statements and notes thereto included in the Company’s Annual Report.</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current period, the Company revised its presentation of Interest income in the condensed consolidated statements of operations and comprehensive income (loss) to provide more meaningful information to financial statement users. Previously, Interest income was included within Other income (expense), net. Comparative prior period amounts have been reclassified to conform to the current period presentation. The reclassification had no impact on net income (loss).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w:t>
      </w:r>
    </w:p>
    <w:p>
      <w:pPr>
        <w:spacing w:after="0" w:line="39" w:lineRule="exact"/>
        <w:rPr>
          <w:sz w:val="20"/>
          <w:szCs w:val="20"/>
          <w:color w:val="auto"/>
        </w:rPr>
      </w:pP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 for credit losses and product returns;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promotional and marketing allowances;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valuation;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useful customer life;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stock-based awards, including market-based restricted stock units (“MRSUs”);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Times New Roman" w:cs="Times New Roman" w:eastAsia="Times New Roman" w:hAnsi="Times New Roman"/>
          <w:sz w:val="14"/>
          <w:szCs w:val="14"/>
          <w:color w:val="auto"/>
        </w:rPr>
        <w:t>achievement of performance-based restricted stock units (“PRSUs”);</w:t>
      </w:r>
    </w:p>
    <w:p>
      <w:pPr>
        <w:spacing w:after="0" w:line="50"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contingencies;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long-lived assets and goodwill;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non-cash consideration, contingent consideration, investments, convertible notes and embedded derivatives;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useful lives of long-lived assets;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including valuation allowances on deferred tax assets.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bases its estimates and judgments on historical experience and on various assumptions that it believes are reasonable under the circumstances. Actual results could differ significantly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not yet adopted</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2025, the Financial Accounting Standards Board (“FASB”) issued Accounting Standards Update (“ASU”) 2025-07, </w:t>
      </w:r>
      <w:r>
        <w:rPr>
          <w:rFonts w:ascii="Times New Roman" w:cs="Times New Roman" w:eastAsia="Times New Roman" w:hAnsi="Times New Roman"/>
          <w:sz w:val="14"/>
          <w:szCs w:val="14"/>
          <w:i w:val="1"/>
          <w:iCs w:val="1"/>
          <w:color w:val="auto"/>
        </w:rPr>
        <w:t>Derivatives and Hedging (Topic 815) and Revenue from Contracts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with Customers (Topic 606): Derivatives Scope Refinements and Scope Clarification for Share-Based Noncash Consideration from a Customer in a Revenue Contract</w:t>
      </w:r>
      <w:r>
        <w:rPr>
          <w:rFonts w:ascii="Times New Roman" w:cs="Times New Roman" w:eastAsia="Times New Roman" w:hAnsi="Times New Roman"/>
          <w:sz w:val="14"/>
          <w:szCs w:val="14"/>
          <w:color w:val="auto"/>
        </w:rPr>
        <w:t>. The ASU narrows the scope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accounting by excluding certain non-exchange-traded contracts whose terms are based on the normal operations or activities of one of the parties, and clarifies that share-based noncash consideration received from a customer in a revenue contract should be accounted for under ASC 606 until the right to the consideration becomes unconditional. The ASU is effective for annual periods beginning after December 15, 2026, and interim periods within those annual periods, with early adoption is permitted. The Company does not expect the adoption of this ASU to have a material impact on its financial position or results of operations.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 - Goodwill and Other - Internal-Use Software (Subtopic 350-40): Targeted Improvements to the Accounting for Internal-Use Software</w:t>
      </w:r>
      <w:r>
        <w:rPr>
          <w:rFonts w:ascii="Times New Roman" w:cs="Times New Roman" w:eastAsia="Times New Roman" w:hAnsi="Times New Roman"/>
          <w:sz w:val="14"/>
          <w:szCs w:val="14"/>
          <w:color w:val="auto"/>
        </w:rPr>
        <w:t>. The ASU eliminates project stages and requires software cost capitalization to begin after management has authorized and committed to funding the software project and it is probable the project will be completed and used to perform the function intended. The ASU also requires additional property, plant and equipment disclosures for all capitalized software costs. The ASU is effective for annual periods beginning after December 15, 2027, and interim periods within those years, with early adoption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4"/>
          <w:szCs w:val="14"/>
          <w:color w:val="auto"/>
        </w:rPr>
        <w:t>. The ASU introduces a practical expedient for estimating expected credit losses on current accounts receivable and current contract assets arising from revenue transactions from contracts with customers. The ASU is effective for annual periods beginning after December 15, 2025, and interim periods within those annual periods, with early adoption permitted. The Company is currently evaluating the impact of this ASU on its consolidated financial statements and related disclosures.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(Subtopic 220-40): Disaggregation of Income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The ASU requires the disclosure of additional information related to certain costs and expenses, including amounts of inventory purchases, employee compensation, and depreciation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the adoption of this ASU to have a material impact on its financial position or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Risk and Significant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Major Customers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customers primarily consist of individual consumers, who subscribe to the Company’s product offerings through its third-party platforms (each a “Channel Partner”),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the Company’s results of operations and financial condition.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derives its accounts receivable from revenue earned from customers located in the United States and internationally. Channel and retail partners account for the majority of the Company’s revenue and accounts receivable for all periods presented.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set forth the information about the Company’s Channel Partners that processed the Company’s overall revenue transactions and retail partners who represented greater than 10% of the Company’s revenue or accounts receivable,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Percentage of Revenue</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54"/>
        </w:trPr>
        <w:tc>
          <w:tcPr>
            <w:tcW w:w="4020" w:type="dxa"/>
            <w:vAlign w:val="bottom"/>
          </w:tcPr>
          <w:p>
            <w:pPr>
              <w:spacing w:after="0"/>
              <w:rPr>
                <w:sz w:val="13"/>
                <w:szCs w:val="13"/>
                <w:color w:val="auto"/>
              </w:rPr>
            </w:pPr>
          </w:p>
        </w:tc>
        <w:tc>
          <w:tcPr>
            <w:tcW w:w="296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5"/>
          </w:tcPr>
          <w:p>
            <w:pPr>
              <w:jc w:val="right"/>
              <w:ind w:right="89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0"/>
        </w:trPr>
        <w:tc>
          <w:tcPr>
            <w:tcW w:w="4020" w:type="dxa"/>
            <w:vAlign w:val="bottom"/>
          </w:tcPr>
          <w:p>
            <w:pPr>
              <w:spacing w:after="0"/>
              <w:rPr>
                <w:sz w:val="13"/>
                <w:szCs w:val="13"/>
                <w:color w:val="auto"/>
              </w:rPr>
            </w:pPr>
          </w:p>
        </w:tc>
        <w:tc>
          <w:tcPr>
            <w:tcW w:w="120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7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right"/>
              <w:ind w:right="69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Channel Partner (Apple)</w:t>
            </w:r>
          </w:p>
        </w:tc>
        <w:tc>
          <w:tcPr>
            <w:tcW w:w="1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Channel Partner (Google)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411"/>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right"/>
              <w:ind w:right="1334"/>
              <w:spacing w:after="0"/>
              <w:rPr>
                <w:sz w:val="20"/>
                <w:szCs w:val="20"/>
                <w:color w:val="auto"/>
              </w:rPr>
            </w:pPr>
            <w:r>
              <w:rPr>
                <w:rFonts w:ascii="Times New Roman" w:cs="Times New Roman" w:eastAsia="Times New Roman" w:hAnsi="Times New Roman"/>
                <w:sz w:val="11"/>
                <w:szCs w:val="11"/>
                <w:b w:val="1"/>
                <w:bCs w:val="1"/>
                <w:color w:val="auto"/>
              </w:rPr>
              <w:t>Percentage of Gross Accounts Receivable</w:t>
            </w:r>
          </w:p>
        </w:tc>
      </w:tr>
      <w:tr>
        <w:trPr>
          <w:trHeight w:val="154"/>
        </w:trPr>
        <w:tc>
          <w:tcPr>
            <w:tcW w:w="4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As of September 30,</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0"/>
        </w:trPr>
        <w:tc>
          <w:tcPr>
            <w:tcW w:w="40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Channel Partner (Apple)</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Channel Partner (Google)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8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Partner A</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 Partner A</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bl>
    <w:p>
      <w:pPr>
        <w:spacing w:after="0" w:line="12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i w:val="1"/>
          <w:iCs w:val="1"/>
          <w:color w:val="auto"/>
        </w:rPr>
        <w:t>*</w:t>
        <w:tab/>
        <w:t>Represents less than 10%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Supplier Concentration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restricted cash, noncurrent balance of $1.5 million and $1.2 million as of September 30, 2025 and December 31, 2024, respectively, relates to cash deposits restricted under letters of credit issued on behalf of the Company in support of indebtedness to trade creditors incurred in the ordinary course of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Segment and Geographic Revenue</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condensed consolidated financial statements, that is regularly provided to the CODM. The allocation of resources and assessment of performance of the operating segment is based on consolidated net income (loss) and functional expenses as reported on our condensed consolidated statements of operations and comprehensive income (loss). Because the Company operates as one operating segment, financial segment information, including expense and asset information, can be found in the condensed consolidated financial statements. All material long-lived assets are based in the United States.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by geography is generally based on the address of the customer as defined in the contract with the customer. The following table sets forth revenue by geographic region for the periods presented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20" w:type="dxa"/>
            <w:vAlign w:val="bottom"/>
            <w:tcBorders>
              <w:bottom w:val="single" w:sz="8" w:color="auto"/>
            </w:tcBorders>
          </w:tcPr>
          <w:p>
            <w:pPr>
              <w:spacing w:after="0"/>
              <w:rPr>
                <w:sz w:val="13"/>
                <w:szCs w:val="13"/>
                <w:color w:val="auto"/>
              </w:rPr>
            </w:pPr>
          </w:p>
        </w:tc>
      </w:tr>
      <w:tr>
        <w:trPr>
          <w:trHeight w:val="154"/>
        </w:trPr>
        <w:tc>
          <w:tcPr>
            <w:tcW w:w="42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r>
      <w:tr>
        <w:trPr>
          <w:trHeight w:val="17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107,201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298,708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226,213</w:t>
            </w: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and Africa</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17,675</w:t>
            </w: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international regions</w:t>
            </w: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19,942</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12,067</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124,497</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92,865</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343,502</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255,955</w:t>
            </w:r>
          </w:p>
        </w:tc>
      </w:tr>
      <w:tr>
        <w:trPr>
          <w:trHeight w:val="20"/>
        </w:trPr>
        <w:tc>
          <w:tcPr>
            <w:tcW w:w="4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revenues in the United States were $104.6 million, or 84%, of total revenue for the three months ended September 30, 2025 and $79.1 million, or 85%, of total revenue for the three months ended September 30, 2024. The Company’s revenues in the United States were $291.6 million, or 85%, of total revenue for the nine months ended September 30, 2025 and $221.4 million, or 86%, of total revenue for the nine months ended September 30,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Deferred Revenue</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and the remaining portion is recorded as deferred revenue, noncurrent on the condensed consolidated balance sheets.</w:t>
      </w:r>
    </w:p>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recognized revenue of $5.9 million and $37.5 million, respectively, that was included in the deferred revenue balance at December 31, 2024. During the three and nine months ended September 30, 2024, the Company recognized revenue of $5.0 million and $31.2 million, respectively, that was included in the deferred revenue balance at December 31, 2023.</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in connection with remaining performance obligations was $225.3 million as of September 30, 2025, of which the Company expects 39% to be recognized over the next twelve months.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Measurements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measures and reports certain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three levels of inputs which may be used to measure fair value are as follows: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Observable inputs, such as quoted prices in active markets for identical assets or liabilities.</w:t>
      </w:r>
    </w:p>
    <w:p>
      <w:pPr>
        <w:spacing w:after="0" w:line="94" w:lineRule="exact"/>
        <w:rPr>
          <w:sz w:val="20"/>
          <w:szCs w:val="20"/>
          <w:color w:val="auto"/>
        </w:rPr>
      </w:pPr>
    </w:p>
    <w:p>
      <w:pPr>
        <w:ind w:left="520" w:right="200"/>
        <w:spacing w:after="0" w:line="287" w:lineRule="auto"/>
        <w:rPr>
          <w:sz w:val="20"/>
          <w:szCs w:val="20"/>
          <w:color w:val="auto"/>
        </w:rPr>
      </w:pPr>
      <w:r>
        <w:rPr>
          <w:rFonts w:ascii="Times New Roman" w:cs="Times New Roman" w:eastAsia="Times New Roman" w:hAnsi="Times New Roman"/>
          <w:sz w:val="14"/>
          <w:szCs w:val="14"/>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39" w:lineRule="exact"/>
        <w:rPr>
          <w:sz w:val="20"/>
          <w:szCs w:val="20"/>
          <w:color w:val="auto"/>
        </w:rPr>
      </w:pPr>
    </w:p>
    <w:p>
      <w:pPr>
        <w:ind w:left="520" w:right="60"/>
        <w:spacing w:after="0" w:line="287" w:lineRule="auto"/>
        <w:rPr>
          <w:sz w:val="20"/>
          <w:szCs w:val="20"/>
          <w:color w:val="auto"/>
        </w:rPr>
      </w:pPr>
      <w:r>
        <w:rPr>
          <w:rFonts w:ascii="Times New Roman" w:cs="Times New Roman" w:eastAsia="Times New Roman" w:hAnsi="Times New Roman"/>
          <w:sz w:val="14"/>
          <w:szCs w:val="14"/>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2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carrying amounts of certain financial instruments, including cash and cash equivalents, prepaid expenses, accounts receivable, and accounts payable approximate fair value due to their short-term maturities.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measures and reports certain assets at fair value on a recurring basis. The fair value of these assets and liabilities as of September 30, 2025 and December 31, 2024 are classified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388,752</w:t>
            </w:r>
          </w:p>
        </w:tc>
        <w:tc>
          <w:tcPr>
            <w:tcW w:w="80" w:type="dxa"/>
            <w:vAlign w:val="bottom"/>
          </w:tcPr>
          <w:p>
            <w:pPr>
              <w:spacing w:after="0"/>
              <w:rPr>
                <w:sz w:val="15"/>
                <w:szCs w:val="15"/>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388,752</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 Investment</w:t>
            </w:r>
          </w:p>
        </w:tc>
        <w:tc>
          <w:tcPr>
            <w:tcW w:w="9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26,208</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388,752</w:t>
            </w: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26,208</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414,960</w:t>
            </w: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72"/>
        </w:trPr>
        <w:tc>
          <w:tcPr>
            <w:tcW w:w="5080" w:type="dxa"/>
            <w:vAlign w:val="bottom"/>
          </w:tcPr>
          <w:p>
            <w:pPr>
              <w:spacing w:after="0"/>
              <w:rPr>
                <w:sz w:val="24"/>
                <w:szCs w:val="24"/>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20" w:type="dxa"/>
            <w:vAlign w:val="bottom"/>
          </w:tcPr>
          <w:p>
            <w:pPr>
              <w:spacing w:after="0"/>
              <w:rPr>
                <w:sz w:val="13"/>
                <w:szCs w:val="13"/>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6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520" w:type="dxa"/>
            <w:vAlign w:val="bottom"/>
          </w:tcPr>
          <w:p>
            <w:pPr>
              <w:spacing w:after="0"/>
              <w:rPr>
                <w:sz w:val="13"/>
                <w:szCs w:val="13"/>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133,959</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133,959</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133,959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change in fair value of the Level 3 instruments were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Convertible Note Investment</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beginning of the year</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investment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end of period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Note Investment</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On May 12, 2025, the Company entered into a series of transactions with Aura Consolidated Group, Inc (“Aura”) including (i) a 3 year advertising partnership and revenue sharing agreement intended to expand the Company's other revenue channels and subscription membership offerings, and (ii) a $25.0 million convertible note investment by the Company into Aura (“Convertible Note Investment”). The note bears zero interest and matures on May 12, 2030. The principal is due at maturity and includes both optional and mandatory conversion features, which may result in conversion into the issuer’s equity upon the occurrence of specific events, including financing events, change in control, or at maturity. The Company elected to apply the fair value option in accordance with ASC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to account for the hybrid instrument as a single financial instrument. As a result, the entire instrument is measured at fair value, with changes in fair value recognized in the condensed consolidated statements of operations and comprehensive income (loss) within other income (expense). The Convertible Note Investment is included within prepaid expenses and other assets, noncurrent on the condensed consolidated balance sheet.</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classifies the Convertible Note Investment as Level 3 due to the absence of relevant observable inputs. The fair value of the Convertible Note Investment was estimated using a scenario-based, probability-weighted option pricing model. Significant assumptions include the discount rate as well as the timing and probability weighting of each settlement scenario.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Non-Recurring Fair Value Measurements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measures certain non-marketable equity securities and warrant investments at fair value on a nonrecurring basis in accordance with ASC 321, </w:t>
      </w:r>
      <w:r>
        <w:rPr>
          <w:rFonts w:ascii="Times New Roman" w:cs="Times New Roman" w:eastAsia="Times New Roman" w:hAnsi="Times New Roman"/>
          <w:sz w:val="14"/>
          <w:szCs w:val="14"/>
          <w:i w:val="1"/>
          <w:iCs w:val="1"/>
          <w:color w:val="auto"/>
        </w:rPr>
        <w:t>Investment - Equity Securities</w:t>
      </w:r>
      <w:r>
        <w:rPr>
          <w:rFonts w:ascii="Times New Roman" w:cs="Times New Roman" w:eastAsia="Times New Roman" w:hAnsi="Times New Roman"/>
          <w:sz w:val="14"/>
          <w:szCs w:val="14"/>
          <w:color w:val="auto"/>
        </w:rPr>
        <w:t>, which are included within prepaid expenses and other assets, noncurrent on the condensed consolidated balance sheet. For additional information, refer to Note 7, "Balance Sheet Components". Instruments are remeasured to fair value when observable price changes in orderly transactions for an identical or a similar investment of the same issuer occur are considered Level 2 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Related Party Simple Agreement for Future Equity (“SAFE”) Conversion to Related Party Investment</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December 2024, the Company entered into a SAFE with Hubble Network, Inc., (“Hubble”) and invested $5.0 million (the “Related Party SAFE”). For additional information, refer to Note 14, "Related-Party Transactions". Under the terms of the SAFE, the Company held the right to receive equity upon the occurrence of specified future events. In April 2025, the related party completed a qualified equity financing and the SAFE was converted into shares of preferred stock in the related party (the “Related Party Investment”).</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conversion resulted in an observable price change based on the financing round for identical preferred shares. As a result, a $0.9 million gain on the change in the fair value of the investment was recorded within other income (expense), net on the condensed consolidated statements of operations and comprehensive income (loss) for the nine months ended September 30, 2025. The Related Party Investment balance as of September 30, 2025 was $5.9 million and is included within prepaid expenses and other assets, noncurrent on the condensed consolidated balance sheet.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Business Combinations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27, 2025, the Company entered into an Asset Purchase Agreement with Fantix, Inc., to purchase certain assets of Fantix, Inc. for total consideration of $4.5 million, consisting of $3.5 million in cash and $1.0 million in common stock. Of the $3.5 million in cash consideration, $2.8 million was paid at closing and $0.7 million, which is payable one year from the closing date, has been recorded in accrued expenses and other current liabilities on the Company’s condensed consolidated balance sheet. The transaction has been accounted for as a business combination.</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recorded $3.6 million to intangible assets, net and $0.9 million to goodwill. Goodwill represents the excess of the purchase price over the fair value of net assets acquired and reflects benefits from assets not individually identifiable, including anticipated synergies and growth opportunities. The goodwill is not deductible for tax purposes.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not presented the pro forma results of operations for the acquisition as the impact is not material to the Company’s condensed consolidated results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Balance Sheet Components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net consists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As of September 30,</w:t>
            </w:r>
          </w:p>
        </w:tc>
        <w:tc>
          <w:tcPr>
            <w:tcW w:w="240" w:type="dxa"/>
            <w:vAlign w:val="bottom"/>
          </w:tcPr>
          <w:p>
            <w:pPr>
              <w:spacing w:after="0"/>
              <w:rPr>
                <w:sz w:val="13"/>
                <w:szCs w:val="13"/>
                <w:color w:val="auto"/>
              </w:rPr>
            </w:pPr>
          </w:p>
        </w:tc>
        <w:tc>
          <w:tcPr>
            <w:tcW w:w="148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4"/>
        </w:trPr>
        <w:tc>
          <w:tcPr>
            <w:tcW w:w="77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58,391</w:t>
            </w:r>
          </w:p>
        </w:tc>
      </w:tr>
      <w:tr>
        <w:trPr>
          <w:trHeight w:val="18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196"/>
        </w:trPr>
        <w:tc>
          <w:tcPr>
            <w:tcW w:w="7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Accounts receivable, net is presented net of the allowance for credit losses, which represents management’s estimate of expected credit losses based on historical trends, current economic conditions, and other relevant factors as of September 30, 2025 and December 31,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consists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As of September 30,</w:t>
            </w:r>
          </w:p>
        </w:tc>
        <w:tc>
          <w:tcPr>
            <w:tcW w:w="240" w:type="dxa"/>
            <w:vAlign w:val="bottom"/>
          </w:tcPr>
          <w:p>
            <w:pPr>
              <w:spacing w:after="0"/>
              <w:rPr>
                <w:sz w:val="13"/>
                <w:szCs w:val="13"/>
                <w:color w:val="auto"/>
              </w:rPr>
            </w:pPr>
          </w:p>
        </w:tc>
        <w:tc>
          <w:tcPr>
            <w:tcW w:w="148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54"/>
        </w:trPr>
        <w:tc>
          <w:tcPr>
            <w:tcW w:w="77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8,033</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inventory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As of September 30,</w:t>
            </w:r>
          </w:p>
        </w:tc>
        <w:tc>
          <w:tcPr>
            <w:tcW w:w="240" w:type="dxa"/>
            <w:vAlign w:val="bottom"/>
          </w:tcPr>
          <w:p>
            <w:pPr>
              <w:spacing w:after="0"/>
              <w:rPr>
                <w:sz w:val="24"/>
                <w:szCs w:val="24"/>
                <w:color w:val="auto"/>
              </w:rPr>
            </w:pPr>
          </w:p>
        </w:tc>
        <w:tc>
          <w:tcPr>
            <w:tcW w:w="148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54"/>
        </w:trPr>
        <w:tc>
          <w:tcPr>
            <w:tcW w:w="77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11,074</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Prepaid expenses primarily consist of advance payments for certain cloud platform costs, insurance, advertising, and inventory. Other receivables primarily consist of refunds owed to the Company and other amounts which the Company is expected to receive in less than twelve months.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 (in thousands):</w:t>
      </w:r>
    </w:p>
    <w:p>
      <w:pPr>
        <w:sectPr>
          <w:pgSz w:w="11900" w:h="16838" w:orient="portrait"/>
          <w:cols w:equalWidth="0" w:num="1">
            <w:col w:w="11280"/>
          </w:cols>
          <w:pgMar w:left="300" w:top="208" w:right="319" w:bottom="1440" w:gutter="0" w:footer="0" w:header="0"/>
        </w:sectPr>
      </w:pPr>
    </w:p>
    <w:p>
      <w:pPr>
        <w:spacing w:after="0" w:line="206"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26035</wp:posOffset>
            </wp:positionV>
            <wp:extent cx="109156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26035</wp:posOffset>
            </wp:positionV>
            <wp:extent cx="109156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9220" w:space="720"/>
            <w:col w:w="1340"/>
          </w:cols>
          <w:pgMar w:left="300" w:top="208"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manufacturing equipment</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7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 gross</w:t>
            </w: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171"/>
        </w:trPr>
        <w:tc>
          <w:tcPr>
            <w:tcW w:w="7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w:t>
            </w:r>
          </w:p>
        </w:tc>
      </w:tr>
      <w:tr>
        <w:trPr>
          <w:trHeight w:val="20"/>
        </w:trPr>
        <w:tc>
          <w:tcPr>
            <w:tcW w:w="7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Construction in progress relates to certain costs incurred with production manufacturing equipment.</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nine months ended September 30, 2025, depreciation expense was $0.1 million and $0.3 million, respectively, and for the three and nine months ended September 30, 2024, depreciation expense was $0.1 million and $0.1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impairment of property and equipment or long-lived assets recognized during the three and nine months ended September 30, 2025 or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Assets, noncurrent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and other assets, noncurrent consist of the following (in thousands):</w:t>
      </w:r>
    </w:p>
    <w:p>
      <w:pPr>
        <w:sectPr>
          <w:pgSz w:w="11900" w:h="16838" w:orient="portrait"/>
          <w:cols w:equalWidth="0" w:num="1">
            <w:col w:w="11280"/>
          </w:cols>
          <w:pgMar w:left="300" w:top="208" w:right="319" w:bottom="1440" w:gutter="0" w:footer="0" w:header="0"/>
          <w:type w:val="continuous"/>
        </w:sectPr>
      </w:pPr>
    </w:p>
    <w:p>
      <w:pPr>
        <w:spacing w:after="0" w:line="20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26035</wp:posOffset>
            </wp:positionV>
            <wp:extent cx="10915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26035</wp:posOffset>
            </wp:positionV>
            <wp:extent cx="109156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9240" w:space="720"/>
            <w:col w:w="1320"/>
          </w:cols>
          <w:pgMar w:left="300" w:top="208"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noncurrent</w:t>
            </w: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 Investment</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26,208</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Revenue Partner Warrant</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Investment</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Warrant</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SAFE</w:t>
            </w:r>
          </w:p>
        </w:tc>
        <w:tc>
          <w:tcPr>
            <w:tcW w:w="6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6"/>
        </w:trPr>
        <w:tc>
          <w:tcPr>
            <w:tcW w:w="77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prepaid expenses and other assets, noncurrent</w:t>
            </w: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Prepaid expenses, noncurrent primarily consist of cloud platform costs as of September 30, 2025 and December 31, 2024. As of September 30, 2025, other assets consist of investments, including a warrant to purchase shares of preferred stock of a data partner (the “Data Revenue Partner Warrant”), a warrant to purchase shares of common stock of a Related Party (the “Related Party Warrant”), the Related Party Investment, and the Convertible Note Investment. As of December 31, 2024, investments relate to the Data Revenue Partner Warrant, the Related Party Warrant, and the Related Party SAFE. Refer to Note 5, "Fair Value Measurements" and Note 14, "Related-Party Transactions"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leases office space under a non-cancelable operating lease with a remaining lease term of 1.2 years, which includes the option to extend the 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have any finance leases as of September 30, 2025 or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32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2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Operating lease cost </w:t>
            </w:r>
            <w:r>
              <w:rPr>
                <w:rFonts w:ascii="Times New Roman" w:cs="Times New Roman" w:eastAsia="Times New Roman" w:hAnsi="Times New Roman"/>
                <w:sz w:val="18"/>
                <w:szCs w:val="18"/>
                <w:color w:val="auto"/>
                <w:vertAlign w:val="superscript"/>
              </w:rPr>
              <w:t>(1)</w:t>
            </w:r>
          </w:p>
        </w:tc>
        <w:tc>
          <w:tcPr>
            <w:tcW w:w="128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Amounts include short-term leases, which are immaterial.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is as follows (in thousands, except lease term):</w:t>
      </w:r>
    </w:p>
    <w:p>
      <w:pPr>
        <w:sectPr>
          <w:pgSz w:w="11900" w:h="16838" w:orient="portrait"/>
          <w:cols w:equalWidth="0" w:num="1">
            <w:col w:w="11280"/>
          </w:cols>
          <w:pgMar w:left="300" w:top="208" w:right="319" w:bottom="1440" w:gutter="0" w:footer="0" w:header="0"/>
        </w:sectPr>
      </w:pPr>
    </w:p>
    <w:p>
      <w:pPr>
        <w:spacing w:after="0" w:line="20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26035</wp:posOffset>
            </wp:positionV>
            <wp:extent cx="109156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26035</wp:posOffset>
            </wp:positionV>
            <wp:extent cx="109156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9240" w:space="720"/>
            <w:col w:w="1320"/>
          </w:cols>
          <w:pgMar w:left="300" w:top="208"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liability, current (included in accrued expenses and other current liabilities)</w:t>
            </w:r>
          </w:p>
        </w:tc>
        <w:tc>
          <w:tcPr>
            <w:tcW w:w="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noncurrent (included in other liabilities, noncurrent)</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84"/>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term for operating lease (in years)</w:t>
            </w: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discount rate used to measure the present value of the operating lease liabilities was 5.0% for each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Maturities of the Company’s operating lease liability, which does not include short-term leases, as of September 30, 2025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4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2025</w:t>
            </w:r>
          </w:p>
        </w:tc>
        <w:tc>
          <w:tcPr>
            <w:tcW w:w="1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3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3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lease liability</w:t>
            </w:r>
          </w:p>
        </w:tc>
        <w:tc>
          <w:tcPr>
            <w:tcW w:w="1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 net</w:t>
            </w:r>
          </w:p>
        </w:tc>
        <w:tc>
          <w:tcPr>
            <w:tcW w:w="1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1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consists of the following (in thousands):</w:t>
            </w:r>
          </w:p>
        </w:tc>
        <w:tc>
          <w:tcPr>
            <w:tcW w:w="1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Gross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1012"/>
              <w:spacing w:after="0"/>
              <w:rPr>
                <w:sz w:val="20"/>
                <w:szCs w:val="20"/>
                <w:color w:val="auto"/>
              </w:rPr>
            </w:pPr>
            <w:r>
              <w:rPr>
                <w:rFonts w:ascii="Times New Roman" w:cs="Times New Roman" w:eastAsia="Times New Roman" w:hAnsi="Times New Roman"/>
                <w:sz w:val="11"/>
                <w:szCs w:val="11"/>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360" w:type="dxa"/>
            <w:vAlign w:val="bottom"/>
            <w:tcBorders>
              <w:top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1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bottom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(37,177)</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1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Gross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1012"/>
              <w:spacing w:after="0"/>
              <w:rPr>
                <w:sz w:val="20"/>
                <w:szCs w:val="20"/>
                <w:color w:val="auto"/>
              </w:rPr>
            </w:pPr>
            <w:r>
              <w:rPr>
                <w:rFonts w:ascii="Times New Roman" w:cs="Times New Roman" w:eastAsia="Times New Roman" w:hAnsi="Times New Roman"/>
                <w:sz w:val="11"/>
                <w:szCs w:val="11"/>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360" w:type="dxa"/>
            <w:vAlign w:val="bottom"/>
            <w:tcBorders>
              <w:top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1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bottom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(27,602)</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three and nine months ended September 30, 2025, the Company capitalized $1.3 million and $5.4 million, respectively, in internally developed software. For the three and nine months ended September 30, 2024, the Company capitalized $1.2 million and $3.8 million, respectively, in internally developed software.</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three and nine months ended September 30, 2025, amortization expense was $3.8 million and $9.6 million, respectively. For the three and nine months ended September 30, 2024, amortization expense was $2.3 million and $6.9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and nine months ended September 30, 2025 and 2024, there was no impairment of intangible assets recorded.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the estimated remaining amortization expense for intangible assets by fiscal year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5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2025</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12,775</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4,169</w:t>
            </w:r>
          </w:p>
        </w:tc>
      </w:tr>
      <w:tr>
        <w:trPr>
          <w:trHeight w:val="171"/>
        </w:trPr>
        <w:tc>
          <w:tcPr>
            <w:tcW w:w="9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future amortization expense</w:t>
            </w: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38,061</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 not yet in service</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w:t>
            </w:r>
          </w:p>
        </w:tc>
      </w:tr>
      <w:tr>
        <w:trPr>
          <w:trHeight w:val="196"/>
        </w:trPr>
        <w:tc>
          <w:tcPr>
            <w:tcW w:w="9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remaining useful lives of the Company’s acquired intangible assets, excluding internally developed software projects that were not yet in service, are as follows:</w:t>
      </w:r>
    </w:p>
    <w:p>
      <w:pPr>
        <w:spacing w:after="0" w:line="3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1"/>
          <w:szCs w:val="11"/>
          <w:b w:val="1"/>
          <w:bCs w:val="1"/>
          <w:color w:val="auto"/>
        </w:rPr>
        <w:t>Weighted-Average Remaining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278892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p>
      <w:pPr>
        <w:spacing w:after="0" w:line="4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36779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67790" cy="6985"/>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26035</wp:posOffset>
            </wp:positionV>
            <wp:extent cx="13677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67790" cy="6985"/>
                    </a:xfrm>
                    <a:prstGeom prst="rect">
                      <a:avLst/>
                    </a:prstGeom>
                    <a:noFill/>
                  </pic:spPr>
                </pic:pic>
              </a:graphicData>
            </a:graphic>
          </wp:anchor>
        </w:drawing>
      </w:r>
    </w:p>
    <w:p>
      <w:pPr>
        <w:spacing w:after="0" w:line="2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9000" w:space="720"/>
            <w:col w:w="1560"/>
          </w:cols>
          <w:pgMar w:left="300" w:top="208"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1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5.7 years</w:t>
            </w:r>
          </w:p>
        </w:tc>
        <w:tc>
          <w:tcPr>
            <w:tcW w:w="8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7.0 years</w:t>
            </w: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2.4 years</w:t>
            </w:r>
          </w:p>
        </w:tc>
        <w:tc>
          <w:tcPr>
            <w:tcW w:w="21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1.9 years</w:t>
            </w: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4.1 years</w:t>
            </w:r>
          </w:p>
        </w:tc>
        <w:tc>
          <w:tcPr>
            <w:tcW w:w="2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5.1 years</w:t>
            </w:r>
          </w:p>
        </w:tc>
      </w:tr>
      <w:tr>
        <w:trPr>
          <w:trHeight w:val="184"/>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2.4 years</w:t>
            </w:r>
          </w:p>
        </w:tc>
        <w:tc>
          <w:tcPr>
            <w:tcW w:w="21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2.6 years</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and December 31, 2024, goodwill was $134.6 million and $133.7 million, respectively. Goodwill increased $0.9 million in connection with the Fantix, Inc. acquisition.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6, "Business Combinations" for additional information. No goodwill impairment was recorded during the three and nine months ended September 30, 2025 or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ectPr>
          <w:pgSz w:w="11900" w:h="16838" w:orient="portrait"/>
          <w:cols w:equalWidth="0" w:num="1">
            <w:col w:w="11280"/>
          </w:cols>
          <w:pgMar w:left="300" w:top="208" w:right="319" w:bottom="1440" w:gutter="0" w:footer="0" w:header="0"/>
        </w:sectPr>
      </w:pPr>
    </w:p>
    <w:p>
      <w:pPr>
        <w:spacing w:after="0" w:line="206"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26035</wp:posOffset>
            </wp:positionV>
            <wp:extent cx="109156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26035</wp:posOffset>
            </wp:positionV>
            <wp:extent cx="109156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9220" w:space="720"/>
            <w:col w:w="1340"/>
          </w:cols>
          <w:pgMar w:left="300" w:top="208"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vendor expenses</w:t>
            </w: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12,325</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13,856</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w:t>
            </w: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related promotions and discounts</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9,761</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return reserves</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w:t>
            </w: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r>
      <w:tr>
        <w:trPr>
          <w:trHeight w:val="171"/>
        </w:trPr>
        <w:tc>
          <w:tcPr>
            <w:tcW w:w="7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27,002</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32,015</w:t>
            </w:r>
          </w:p>
        </w:tc>
      </w:tr>
      <w:tr>
        <w:trPr>
          <w:trHeight w:val="20"/>
        </w:trPr>
        <w:tc>
          <w:tcPr>
            <w:tcW w:w="7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September 30, 2025, other current liabilities primarily relate to the Company’s deferred purchase price liability related to the Fantix, Inc. acquisition, inventory received but not yet billed, and sales taxes payable. As of December 31, 2024, other current liabilities primarily relate to the Company’s operating lease liability and sales taxes payable.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Convertible Notes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June 2025 Convertible Notes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June 2025, the Company issued $320.0 million aggregate principal amount of 0.00% convertible senior notes due June 1, 2030. The June 2025 Convertible Notes are senior unsecured obligations and do not bear regular interest. Each $1,000 principal amount of the notes is initially convertible into 12.3501 shares of the Company’s common stock, which represents a conversion price of approximately $80.97 per share, subject to adjustment upon the occurrence of specified events. In certain circumstances, including conversions in connection with a make-whole fundamental change, the conversion rate may be increased, resulting in a conversion price as low as $61.11. However, the maximum number of shares issuable per $1,000 principal amount is capped at 16.3639, which is subject to the same adjustment provisions as the initial conversion rate.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June 2025 Convertible Notes are convertible at the option of the holders prior to the close of business on the business day immediately preceding March 1, 2030, only under the following circumstances: (1) during any fiscal quarter (and only during such quarter) beginning after September 30, 2025, if the closing price of the Company’s common stock for at least 20 trading days in any 30 consecutive trading day period ending on the last trading day of the prior fiscal quarter is greater than or equal to 130% of the then-applicable conversion price; (2) during the five business days immediately following any 10 consecutive trading day period in which the trading price per $1,000 principal amount of notes was less than 98% of the product of the closing price of the Company’s common stock and the conversion rate on each applicable trading day, following a request for such determination by a holder; (3) if the Company calls the notes for redemption, at any time prior to the close of business on the second scheduled trading day immediately preceding the redemption date; or (4) upon the occurrence of specified corporate events, such as certain mergers, reorganizations, or other changes of control.</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June 2025 Convertible Notes are convertible at the option of the holders on or after March 1, 2030, at any time prior to the close of business on the second scheduled trading day prior to the maturity date. Upon conversion, the Company will settle the principal portion of any June 2025 Convertible Notes in cash. Any amounts due on conversion over the principal portion may be settled, at the Company’s election, in cash, shares of common stock, or a combination thereof.</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may not redeem the June 2025 Convertible Notes prior to June 5, 2028. On or after that date, the Company may redeem all or a portion of the notes for cash if the closing price of the Company’s common stock has been at least 130% of the conversion price then in effect for at least 20 trading days (whether or not consecutive) during a 30 consecutive trading day period ending on the trading day immediately preceding the date on which the Company provides notice of redemption. The redemption price will equal the principal amount of the notes to be redeemed, plus any accrued and unpaid interest up to, but excluding, the redemption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the occurrence of a fundamental change, which includes certain change-of-control transactions, a delisting of the Company’s common stock, or a liquidation event, holders may require the Company to repurchase up to 100% of their notes, plus accrued and unpaid special interest, if any, to, but excluding, the fundamental change repurchase date for cash.</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the June 2025 Convertible Notes entirely as a liability in accordance with ASC 470-20, </w:t>
      </w:r>
      <w:r>
        <w:rPr>
          <w:rFonts w:ascii="Times New Roman" w:cs="Times New Roman" w:eastAsia="Times New Roman" w:hAnsi="Times New Roman"/>
          <w:sz w:val="14"/>
          <w:szCs w:val="14"/>
          <w:i w:val="1"/>
          <w:iCs w:val="1"/>
          <w:color w:val="auto"/>
        </w:rPr>
        <w:t>Debt with Conversion and Other Options,</w:t>
      </w:r>
      <w:r>
        <w:rPr>
          <w:rFonts w:ascii="Times New Roman" w:cs="Times New Roman" w:eastAsia="Times New Roman" w:hAnsi="Times New Roman"/>
          <w:sz w:val="14"/>
          <w:szCs w:val="14"/>
          <w:color w:val="auto"/>
        </w:rPr>
        <w:t xml:space="preserve"> as amended by ASU 2020-06. The embedded conversion feature is not separately accounted for as it does not require bifurcation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as it is considered clearly and closely related to the host debt contract and does not meet the criteria for derivative accounting. The notes were issued at par and are recorded net of debt issuance costs.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September 30, 2025, the June 2025 Convertible Notes are classified as noncurrent as the conditions allowing holders of the notes to convert have not been met and the notes are not redeemable until June 5, 2028. The balance has been recorded within convertible notes, net, noncurrent on the Company’s condensed consolidated balance sheet.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carrying amount of the June 2025 Convertible Notes consists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1"/>
                <w:szCs w:val="11"/>
                <w:b w:val="1"/>
                <w:bCs w:val="1"/>
                <w:color w:val="auto"/>
              </w:rPr>
              <w:t>As of September 30,</w:t>
            </w:r>
          </w:p>
        </w:tc>
      </w:tr>
      <w:tr>
        <w:trPr>
          <w:trHeight w:val="154"/>
        </w:trPr>
        <w:tc>
          <w:tcPr>
            <w:tcW w:w="90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320,000</w:t>
            </w:r>
          </w:p>
        </w:tc>
      </w:tr>
      <w:tr>
        <w:trPr>
          <w:trHeight w:val="18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(10,158)</w:t>
            </w:r>
          </w:p>
        </w:tc>
      </w:tr>
      <w:tr>
        <w:trPr>
          <w:trHeight w:val="196"/>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amount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309,842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debt issuance costs are amortized to interest expense over the term of the June 2025 Convertible Notes using the effective interest rate method. The effective interest rate used to amortize the debt issuance costs is 0.68%. Interest expense recognized related to the June 2025 Convertible Notes was $0.5 million for the three months ended September 30, 2025, and $0.7 million for the nine months ended September 30, 2025. Interest expense is included within other income (expense), net on the condensed consolidated statements of operations and comprehensive income (loss).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estimated fair value of the June 2025 Convertible Notes, which we classify as Level 2 financial instruments, was determined using observable market prices. As of September 30, 2025, the estimated fair value of the June 2025 Convertible Notes was $471.4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June 2025 Capped Calls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pricing of the June 2025 Convertible Notes, the Company entered into privately-negotiated capped call transactions with certain dealer counterparties (the “June 2025 Capped Calls”). The June 2025 Capped Calls have an initial strike price of approximately $80.97 per share, which corresponds to the initial conversion price of the June 2025 Convertible Notes and is subject to certain adjustments. The June 2025 Capped Calls have a cap price of $122.22 per share, which is also subject to certain adjustments. The cost of $33.7 million incurred in connection with the June 2025 Capped Calls was recorded as a reduction to additional paid-in capital on the Company’s condensed consolidated balance sheet. Conditions triggering adjustments to the initial strike price and the initial cap price of these capped calls are similar to those causing adjustments for the June 2025 Convertible Notes.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June 2025 Capped Calls are intended to reduce or offset potential dilution to our common stock upon any conversion of the June 2025 Convertible Notes, with this reduction or offset subject to the specified cap price. The June 2025 Capped Calls are separate transactions, and are not part of the terms of the June 2025 Convertible Notes. These transactions are classified as equity in accordance with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 they are (i) indexed to the Company’s own stock, (ii) settled in shares or permitted net-share settlement, and (iii) do not require net cash settlement. As such, the June 2025 Capped Calls have been recorded within stockholders’ equity and are not accounted for as derivatives.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Company has contractual commitments with our cloud platform provider and contract manufacturer that are non-cancellable. As of September 30, 2025, future non-cancellable commitments under these arrangements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9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2025</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22,375</w:t>
            </w:r>
          </w:p>
        </w:tc>
      </w:tr>
      <w:tr>
        <w:trPr>
          <w:trHeight w:val="180"/>
        </w:trPr>
        <w:tc>
          <w:tcPr>
            <w:tcW w:w="9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w:t>
            </w:r>
          </w:p>
        </w:tc>
      </w:tr>
      <w:tr>
        <w:trPr>
          <w:trHeight w:val="18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r>
      <w:tr>
        <w:trPr>
          <w:trHeight w:val="171"/>
        </w:trPr>
        <w:tc>
          <w:tcPr>
            <w:tcW w:w="9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73,875</w:t>
            </w:r>
          </w:p>
        </w:tc>
      </w:tr>
      <w:tr>
        <w:trPr>
          <w:trHeight w:val="20"/>
        </w:trPr>
        <w:tc>
          <w:tcPr>
            <w:tcW w:w="9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9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To date, the Company has not incurred significant costs and has not accrued any material liabilities in the accompanying condensed consolidated financial statements as a result of its indemnification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Arbitration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Occasionally, the Company is involved in various legal proceedings, formal and informal dispute resolution processes, which may include arbitration or litigation, claims and government investigations in the ordinary course of business. The outcome of litigation and other legal matters is inherently uncertain, though the Company intends to vigorously defend any such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March 12, 2019, a former alleged competitor of Tile, Cellwitch, Inc., filed a patent infringement claim against Tile in the U.S. District Court, Northern District of California, seeking permanent injunction and damages. On December 18, 2019, Tile filed an inter partes review petition with the Patent Trial and Appeal Board (“PTAB”) challenging the validity of the patent. On May 13, 2021, the PTAB issued a Final Written Decision on Tile’s inter partes review petition (the “Final Written Decision”), finding a majority of the claims invalid. The Final Written Decision was affirmed by the U.S. Court of Appeals for the Federal Circuit on May 13, 2022. As reported in our Quarterly Report on Form 10-Q for the quarter ended March 31, 2025, the claim construction hearing took place on January 18, 2024, and on April 23, 2024, the court released its order which found 10 of the claims invalid, leaving only 2 active claims remaining. On May 16, 2025, the District Court granted Tile’s motion for summary judgment of non-infringement. On June 12, 2025, Cellwitch statutorily disclaimed the asserted patent. As reported in our Quarterly Report on Form 10-Q for the quarter ended June 30, 2025, on August 5, 2025, the parties settled the remaining claims at no cost.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August 14, 2023, plaintiffs Stephanie Ireland-Gordy and Shannon Ireland-Gordy filed a putative class action lawsuit against Tile, Life360, and Amazon.com, Inc. in the U.S. District Court for the Northern District of California (the “Court”), seeking damages as well as injunctive and declaratory relief. An amended complaint was filed on April 26, 2024, adding named plaintiffs Melissa Broad and Jane Doe. Plaintiffs allege that Tile trackers were used by third parties to monitor their movements without their consent, and assert product liability and other claims. On February 14, 2025, the Company filed a Motion to Dismiss. As of August 6, 2025, the Court granted the Company’s Motion to Dismiss the claims of the Ireland-Gordy plaintiffs with prejudice and the remaining plaintiffs' claims are stayed pending an appeal of the Court's ruling on the Company's Motion to Compel Arbitration, which was granted-in-part and denied-in-part. The hearing on the appeal is scheduled for January 5, 2026. At this time, a loss is not probable nor estimable, and as a result, no legal accrual has been recorded on the consolidated balance sheets as of September 30, 2025.</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receives claims and other threats of litigation from customers in the ordinary course of business. These claims are arbitrable and the Company accrues various costs for these claims including arbitration fees, legal fees and costs. At this time, a loss is not probable nor estimable from any such claims, and as a result, no legal accruals have been recorded on our condensed consolidated balance sheet as of September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litigation reserve was recorded on our condensed consolidated balance sheets as of September 30, 2025 and December 31, 2024, respectively.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the following potentially outstanding common stock reserved for issuance:</w:t>
      </w:r>
    </w:p>
    <w:p>
      <w:pPr>
        <w:sectPr>
          <w:pgSz w:w="11900" w:h="16838" w:orient="portrait"/>
          <w:cols w:equalWidth="0" w:num="1">
            <w:col w:w="11280"/>
          </w:cols>
          <w:pgMar w:left="300" w:top="208" w:right="319" w:bottom="1440" w:gutter="0" w:footer="0" w:header="0"/>
        </w:sectPr>
      </w:pPr>
    </w:p>
    <w:p>
      <w:pPr>
        <w:spacing w:after="0" w:line="206"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26035</wp:posOffset>
            </wp:positionV>
            <wp:extent cx="11455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23"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26035</wp:posOffset>
            </wp:positionV>
            <wp:extent cx="115189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2" w:lineRule="exact"/>
        <w:rPr>
          <w:sz w:val="20"/>
          <w:szCs w:val="20"/>
          <w:color w:val="auto"/>
        </w:rPr>
      </w:pPr>
    </w:p>
    <w:p>
      <w:pPr>
        <w:sectPr>
          <w:pgSz w:w="11900" w:h="16838" w:orient="portrait"/>
          <w:cols w:equalWidth="0" w:num="2">
            <w:col w:w="9160" w:space="720"/>
            <w:col w:w="1400"/>
          </w:cols>
          <w:pgMar w:left="300" w:top="208"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under stock incentive plan, stock options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4,668,957</w:t>
            </w:r>
          </w:p>
        </w:tc>
        <w:tc>
          <w:tcPr>
            <w:tcW w:w="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5,673,947</w:t>
            </w:r>
          </w:p>
        </w:tc>
      </w:tr>
      <w:tr>
        <w:trPr>
          <w:trHeight w:val="180"/>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 upon exercise of common stock warrants</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7,761</w:t>
            </w:r>
          </w:p>
        </w:tc>
      </w:tr>
      <w:tr>
        <w:trPr>
          <w:trHeight w:val="18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4,724,812</w:t>
            </w: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5,091,601</w:t>
            </w:r>
          </w:p>
        </w:tc>
      </w:tr>
      <w:tr>
        <w:trPr>
          <w:trHeight w:val="18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Shares reserved for shares available to be granted but not granted yet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15,218,506</w:t>
            </w:r>
          </w:p>
        </w:tc>
        <w:tc>
          <w:tcPr>
            <w:tcW w:w="8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12,815,029</w:t>
            </w:r>
          </w:p>
        </w:tc>
      </w:tr>
      <w:tr>
        <w:trPr>
          <w:trHeight w:val="196"/>
        </w:trPr>
        <w:tc>
          <w:tcPr>
            <w:tcW w:w="756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24,612,275</w:t>
            </w: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23,588,338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Warrants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September 2025, all 7,761 outstanding warrants were exercised on a cashless basis at an exercise price of $6.44 per share, resulting in the issuance of 7,205 shares of common stock. As of September 30, 2025 and December 31, 2024, zero and 7,761 warrants remained outstanding,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Equity Incentive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2011 Equity Incentive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equity incentive plan allows the Company to grant restricted stock units (“RSUs”), which includes time-based, performance-based, and market-based restricted stock units, restricted stock, as well as stock options to employees and consultants of the Company, its parent, subsidiaries, or affiliates, and to the members of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Units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Time-based restricted stock units (“TRSUs”) generally vest based on continued service over a specified period, which is typically four years. Each TRSU represents the right to receive one share of common stock upon vesting. The fair value of TRSUs is determined based on the closing price of the Company’s common stock on the date of grant. Stock-based compensation expense for these awards is recognized on a straight-line basis over the requisite service period and is offset by actual forfeitures as they occur.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PRSUs are granted primarily to executive officers and, in limited cases, to other senior-level employees. Vesting is based on continued service and the attainment of certain financial performance metrics, including revenue and Adjusted Earnings Before Interest, Taxes, Depreciation and Amortization targets, over a one-year performance period, as established and approved by the Board of Directors. The number of shares issued upon vesting may be greater or lesser than the target award amount depending on actual performance, and shares attained over target will be recognized as awards granted in the period earned.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nine months ended September 30, 2025, 225,386 PRSUs were granted with a weighted average grant-date fair value per share of $36.61. The fair value of PRSUs is determined based on the closing price of the Company’s common stock on the date of grant. Stock-based compensation expense is recognized on a graded-vesting basis for multi-tranche awards and on a straight-line basis for single-tranche awards, based on the estimated probability of achieving the performance conditions, which is reassessed each period. If achievement of the performance conditions are not considered probable, all previously recognized stock-based compensation expense related to the unvested awards is reversed.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Market-Based Restricted Stock Units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executive officers were granted MRSUs during the nine months ended September 30, 2025. Vesting is based on continued service and the Company’s total shareholder return during one-year, two-year, and three-year performance periods as measured relative to the group of companies comprising the S&amp;P Software and Services Index. The number of shares issued upon vesting may vary from the target award amount depending on actual performance, and shares attained over the target will be recognized as awards granted in the period earned.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nine months ended September 30, 2025, 59,622 MRSUs were granted with a total weighted average grant-date fair value per share of $114.73. Stock-based compensation expense is recognized on a graded-vesting basis over the requisite service period and is not adjusted for actual performance outcomes.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estimated the fair value of the MRSUs granted using a Monte Carlo simulation model with the following assumptions: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Tranche 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Tranche 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Tranche 3</w:t>
            </w:r>
          </w:p>
        </w:tc>
        <w:tc>
          <w:tcPr>
            <w:tcW w:w="0" w:type="dxa"/>
            <w:vAlign w:val="bottom"/>
          </w:tcPr>
          <w:p>
            <w:pPr>
              <w:spacing w:after="0"/>
              <w:rPr>
                <w:sz w:val="1"/>
                <w:szCs w:val="1"/>
                <w:color w:val="auto"/>
              </w:rPr>
            </w:pPr>
          </w:p>
        </w:tc>
      </w:tr>
      <w:tr>
        <w:trPr>
          <w:trHeight w:val="18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55.6 %</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55.6 %</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4"/>
                <w:szCs w:val="14"/>
                <w:color w:val="auto"/>
              </w:rPr>
              <w:t>55.6 %</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 based on U.S. Treasury yields</w:t>
            </w: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grant-date fair value per share</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99.14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121.80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122.99</w:t>
            </w:r>
          </w:p>
        </w:tc>
        <w:tc>
          <w:tcPr>
            <w:tcW w:w="0" w:type="dxa"/>
            <w:vAlign w:val="bottom"/>
          </w:tcPr>
          <w:p>
            <w:pPr>
              <w:spacing w:after="0"/>
              <w:rPr>
                <w:sz w:val="1"/>
                <w:szCs w:val="1"/>
                <w:color w:val="auto"/>
              </w:rPr>
            </w:pPr>
          </w:p>
        </w:tc>
      </w:tr>
      <w:tr>
        <w:trPr>
          <w:trHeight w:val="410"/>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RSUs, including TRSUs, PRSUs, and MRSUs</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RSU activity for the periods presented is as follows:</w:t>
            </w: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6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jc w:val="center"/>
              <w:ind w:right="194"/>
              <w:spacing w:after="0" w:line="108"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58"/>
        </w:trPr>
        <w:tc>
          <w:tcPr>
            <w:tcW w:w="6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8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5,091,601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granted</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1,983,436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left="814"/>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vested and settled</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(1,904,965)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18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RSUs cancelled/forfeited</w:t>
            </w: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(445,260)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814"/>
              <w:spacing w:after="0"/>
              <w:rPr>
                <w:sz w:val="20"/>
                <w:szCs w:val="20"/>
                <w:color w:val="auto"/>
              </w:rPr>
            </w:pPr>
            <w:r>
              <w:rPr>
                <w:rFonts w:ascii="Times New Roman" w:cs="Times New Roman" w:eastAsia="Times New Roman" w:hAnsi="Times New Roman"/>
                <w:sz w:val="14"/>
                <w:szCs w:val="14"/>
                <w:color w:val="auto"/>
              </w:rPr>
              <w:t>18.12</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4,724,812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4"/>
                <w:szCs w:val="14"/>
                <w:color w:val="auto"/>
              </w:rPr>
              <w:t>30.32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September 30, 2025, there was total unrecognized stock-based compensation expense for outstanding RSUs of $128.1 million to be recognized over a period of approximately 2.9 years. This amount is comprised of unrecognized compensation expense of $114.7 million related to outstanding TRSUs, $6.8 million related to outstanding PRSUs, and $6.6 million related to outstanding MRSUs.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RSUs vested and settled includes shares of common stock that the Company withheld on behalf of employees to satisfy the minimum statutory tax withholding requirements.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summary of stock option activity for the periods presented is as follows (in thousands, except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ind w:left="36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360" w:type="dxa"/>
            <w:vAlign w:val="bottom"/>
          </w:tcPr>
          <w:p>
            <w:pPr>
              <w:spacing w:after="0"/>
              <w:rPr>
                <w:sz w:val="9"/>
                <w:szCs w:val="9"/>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jc w:val="center"/>
              <w:ind w:left="243"/>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6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361"/>
              <w:spacing w:after="0" w:line="10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jc w:val="center"/>
              <w:ind w:left="243"/>
              <w:spacing w:after="0" w:line="10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vMerge w:val="restart"/>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7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 w:type="dxa"/>
            <w:vAlign w:val="bottom"/>
          </w:tcPr>
          <w:p>
            <w:pPr>
              <w:spacing w:after="0"/>
              <w:rPr>
                <w:sz w:val="10"/>
                <w:szCs w:val="10"/>
                <w:color w:val="auto"/>
              </w:rPr>
            </w:pPr>
          </w:p>
        </w:tc>
        <w:tc>
          <w:tcPr>
            <w:tcW w:w="1200" w:type="dxa"/>
            <w:vAlign w:val="bottom"/>
          </w:tcPr>
          <w:p>
            <w:pPr>
              <w:jc w:val="center"/>
              <w:ind w:left="361"/>
              <w:spacing w:after="0" w:line="117"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ind w:left="243"/>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Life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36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 Options</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1"/>
                <w:szCs w:val="11"/>
                <w:b w:val="1"/>
                <w:bCs w:val="1"/>
                <w:color w:val="auto"/>
                <w:w w:val="99"/>
              </w:rPr>
              <w:t>per Share</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w w:val="98"/>
              </w:rPr>
              <w:t>(in Years)</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5,673,947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199,239</w:t>
            </w: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40" w:type="dxa"/>
            <w:vAlign w:val="bottom"/>
            <w:gridSpan w:val="3"/>
          </w:tcPr>
          <w:p>
            <w:pPr>
              <w:jc w:val="right"/>
              <w:ind w:right="142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(984,858)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Options cancelled/forfeited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4,668,957</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468,524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as of September 30, 2025</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right"/>
              <w:ind w:right="106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458,143</w:t>
            </w:r>
          </w:p>
        </w:tc>
        <w:tc>
          <w:tcPr>
            <w:tcW w:w="0" w:type="dxa"/>
            <w:vAlign w:val="bottom"/>
          </w:tcPr>
          <w:p>
            <w:pPr>
              <w:spacing w:after="0" w:line="20" w:lineRule="exact"/>
              <w:rPr>
                <w:sz w:val="1"/>
                <w:szCs w:val="1"/>
                <w:color w:val="auto"/>
              </w:rPr>
            </w:pPr>
          </w:p>
        </w:tc>
      </w:tr>
      <w:tr>
        <w:trPr>
          <w:trHeight w:val="143"/>
        </w:trPr>
        <w:tc>
          <w:tcPr>
            <w:tcW w:w="4360" w:type="dxa"/>
            <w:vAlign w:val="bottom"/>
            <w:vMerge w:val="continue"/>
          </w:tcPr>
          <w:p>
            <w:pPr>
              <w:spacing w:after="0"/>
              <w:rPr>
                <w:sz w:val="12"/>
                <w:szCs w:val="12"/>
                <w:color w:val="auto"/>
              </w:rPr>
            </w:pPr>
          </w:p>
        </w:tc>
        <w:tc>
          <w:tcPr>
            <w:tcW w:w="1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4,558,930</w:t>
            </w:r>
          </w:p>
        </w:tc>
        <w:tc>
          <w:tcPr>
            <w:tcW w:w="130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there was total unrecognized stock-based compensation expense for outstanding stock options of $0.5 million to be recognized over a period of approximately 0.3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was allocated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28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2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subscription revenue</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5"/>
                <w:szCs w:val="15"/>
                <w:color w:val="auto"/>
              </w:rPr>
            </w:pP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hardware revenue</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other revenue</w:t>
            </w:r>
          </w:p>
        </w:tc>
        <w:tc>
          <w:tcPr>
            <w:tcW w:w="1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w:t>
            </w:r>
          </w:p>
        </w:tc>
        <w:tc>
          <w:tcPr>
            <w:tcW w:w="1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18,412</w:t>
            </w: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18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8,653</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net of amounts capitalized</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14,866</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There was $0.3 million and $0.9 million of capitalized stock-based compensation expense recognized during the three and nine months ended September 30, 2025, respectively. There was $0.1 million and $0.5 million of capitalized stock-based compensation expense recognized during the three and nine months ended September 30, 2024,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provision for income taxes for interim quarterly reporting periods is based on the Company's estimates of the effective tax rates for the full fiscal year, in accordance with ASC 740-270, </w:t>
      </w:r>
      <w:r>
        <w:rPr>
          <w:rFonts w:ascii="Times New Roman" w:cs="Times New Roman" w:eastAsia="Times New Roman" w:hAnsi="Times New Roman"/>
          <w:sz w:val="14"/>
          <w:szCs w:val="14"/>
          <w:i w:val="1"/>
          <w:iCs w:val="1"/>
          <w:color w:val="auto"/>
        </w:rPr>
        <w:t>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Taxes, Interim Reporting</w:t>
      </w:r>
      <w:r>
        <w:rPr>
          <w:rFonts w:ascii="Times New Roman" w:cs="Times New Roman" w:eastAsia="Times New Roman" w:hAnsi="Times New Roman"/>
          <w:sz w:val="14"/>
          <w:szCs w:val="14"/>
          <w:color w:val="auto"/>
        </w:rPr>
        <w:t>. ASC 740-270-25-2 requires that an annual effective tax rate be determined and such annual effective rate be applied to year to date income/loss in interim periods.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such as the expensing of domestic R&amp;D expenses starting 2025 and the election to expense the remaining domestic R&amp;D unamortized expense in 2025 or over 2025 and 2026. The legislation has multiple effective dates, with certain provisions effective in 2025 and others implemented through 2027. As a result of the expensing of domestic R&amp;D expenses, the Company has reflected a reduction in its estimated annual effective tax rate. The Company will further evaluate the tax impact on the year-end tax provision.</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nine months ended September 30, 2025, the Company recorded a provision for income taxes of $0.4 million and a benefit from income taxes of $0.2 million, respectively. For the three and nine months ended September 30, 2024, the Company recorded a benefit for income taxes of $4.7 million and a provision for income taxes of $2.1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Related-Party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Hubble Transactions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2024, the Company entered into a strategic partnership and series of transactions with Hubble, including (i) a technology exclusivity and revenue share agreement (“Hubble Agreement”), (ii) the Related Party SAFE; and (iii) Hubble’s issuance of the Related Party Warrant. The Hubble Agreement has an initial term of 5 years beginning on November 12, 2024.</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part of this partnership, the Company will leverage Hubble’s global satellite infrastructure to introduce a new global location-tracking network service offering. The partnership agreement includes revenue-share payments in which Hubble will pay the Company a percentage of revenue earned from leveraging the new global location-tracking network service offering. The partnership also allows Hubble to purchase Tile hardware devices at a price equal to the Company’s burdened cost of goods sold plus 12.5%. The Company recognized $0.2 million in hardware revenue from Hubble for both the three and nine months ended September 30, 2025. The related cost of hardware revenue totaled $0.1 million for each of the same periods. These amounts are reflected within hardware revenue and cost of hardware revenue, respectively, on the Company’s condensed consolidated statements of operations and comprehensive income (loss). As of September 30, 2025 and December 31, 2024, the Company also recorded $0.2 million and $0.1 million, from Hubble within accounts receivable, net on the Company’s condensed consolidated balance sheets, respectively.</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grant of the Related Party Warrant was considered non-cash consideration, which the Company measured at fair value on the date of issuance. The Related Party Warrant includes various performance-based vesting conditions based on revenue and operational milestones to be measured and assessed throughout the term of the agreement. As of September 30, 2025, 2,049,191 shares of the Related Party Warrant have vested. The warrant was valued using a Black Scholes option-pricing model, and the fair value of approximately $3.9 million is also included in prepaid expenses and other assets, noncurrent and deferred revenue on the Company’s condensed consolidated balance sheets. The fair value of the warrant included within deferred revenue is amortized to other revenue over the life of the agreement. The Company recognized $0.2 million and $0.7 million in other revenue on the condensed consolidated statements of operations and comprehensive income (loss) in connection with the Related Party Warrant during the three and nine months ended September 30, 2025, respectively.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2025, the Related Party SAFE converted to the Related Party Investment. The conversion resulted in an observable price change of $0.9 million, which was recorded within gain on change in fair value of investments on the condensed consolidated statement of operations and comprehensive income (loss). As of September 30, 2025, the carrying value of the Related Party Investment was $5.9 million and is included within prepaid expenses and other noncurrent assets on the condensed consolidated balance sheet. Refer to Note 5, "Fair Value Measurements" for additional information.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 made on behalf of Related Parties in connection with the U.S. IPO</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6, 2024, in connection with the Company’s initial public offering in the United States (“U.S. IPO”), the Company issued and sold 3,703,704 shares of common stock and certain selling securityholders including members of the Company’s Board of Directors, executive officers, non-executive employees, and other shareholders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9"/>
        </w:trPr>
        <w:tc>
          <w:tcPr>
            <w:tcW w:w="8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0"/>
        </w:trPr>
        <w:tc>
          <w:tcPr>
            <w:tcW w:w="8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Executive Officers</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Directors</w:t>
            </w:r>
          </w:p>
        </w:tc>
        <w:tc>
          <w:tcPr>
            <w:tcW w:w="36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Non-Executive Employees</w:t>
            </w:r>
          </w:p>
        </w:tc>
        <w:tc>
          <w:tcPr>
            <w:tcW w:w="360" w:type="dxa"/>
            <w:vAlign w:val="bottom"/>
            <w:shd w:val="clear" w:color="auto" w:fill="CCEEFF"/>
          </w:tcPr>
          <w:p>
            <w:pPr>
              <w:spacing w:after="0"/>
              <w:rPr>
                <w:sz w:val="15"/>
                <w:szCs w:val="15"/>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$0.7 million in expenses paid on behalf of a securityholder who is both an executive officer and member of the Company’s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$5.5 million in total fees paid have been recorded within Other income (expense), net on the condensed consolidated statements of operations for the nine months ended September 30, 2024.</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Net Income (Loss) Per Share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net income (loss) per share is calculated by dividing net income (loss) available to common stockholders by the weighted-average number of shares of common stock outstanding for the period. Diluted net income (loss) per share reflects the potential dilution that could occur if options, RSUs, warrants, or other securities with features that could result in the issuance of common stock were exercised or converted to common stock using the treasury-stock method.</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connection with the June 2025 Convertible Notes, the Company applied the if-converted method under ASC 260,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to calculate diluted earnings per share. Since the June 2025 Convertible Notes require principal settlement in cash and only the premium is potentially settled in shares, the Company includes the incremental dilutive shares (the conversion spread) in the denominator only when the average stock price exceeds the conversion price.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nine months ended September 30, 2025, the June 2025 Convertible Notes were not dilutive, and therefore no incremental shares were included in diluted EPS.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Life360,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income (loss) per share (in thousands, except share and per share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2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0" w:type="dxa"/>
            <w:vAlign w:val="bottom"/>
          </w:tcPr>
          <w:p>
            <w:pPr>
              <w:spacing w:after="0"/>
              <w:rPr>
                <w:sz w:val="1"/>
                <w:szCs w:val="1"/>
                <w:color w:val="auto"/>
              </w:rPr>
            </w:pP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shares outstanding:</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77,736,272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74,232,140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76,752,859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71,187,103</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Dilutive effect of outstanding options, RSUs and warrants</w:t>
            </w: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8,057,906</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7,851,836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8,007,302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9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85,794,178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82,083,976</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84,760,161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71,187,103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tcBorders>
              <w:bottom w:val="single" w:sz="8" w:color="CCEEFF"/>
            </w:tcBorders>
            <w:vMerge w:val="continue"/>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8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980" w:type="dxa"/>
            <w:vAlign w:val="bottom"/>
            <w:tcBorders>
              <w:bottom w:val="single" w:sz="8" w:color="auto"/>
            </w:tcBorders>
          </w:tcPr>
          <w:p>
            <w:pPr>
              <w:jc w:val="right"/>
              <w:ind w:right="8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4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4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potential shares of common stock were excluded from the diluted net income (loss) per share calculation as their inclusion would have been antidilutive. Excluded shares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120" w:type="dxa"/>
            <w:vAlign w:val="bottom"/>
          </w:tcPr>
          <w:p>
            <w:pPr>
              <w:spacing w:after="0"/>
              <w:rPr>
                <w:sz w:val="11"/>
                <w:szCs w:val="11"/>
                <w:color w:val="auto"/>
              </w:rPr>
            </w:pPr>
          </w:p>
        </w:tc>
      </w:tr>
      <w:tr>
        <w:trPr>
          <w:trHeight w:val="154"/>
        </w:trPr>
        <w:tc>
          <w:tcPr>
            <w:tcW w:w="41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12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under stock incentive plan, stock options</w:t>
            </w:r>
          </w:p>
        </w:tc>
        <w:tc>
          <w:tcPr>
            <w:tcW w:w="10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5,896,659</w:t>
            </w:r>
          </w:p>
        </w:tc>
      </w:tr>
      <w:tr>
        <w:trPr>
          <w:trHeight w:val="18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Issuances upon exercise of common stock warrants</w:t>
            </w:r>
          </w:p>
        </w:tc>
        <w:tc>
          <w:tcPr>
            <w:tcW w:w="184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3"/>
          </w:tcPr>
          <w:p>
            <w:pPr>
              <w:jc w:val="right"/>
              <w:ind w:right="1103"/>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7,761</w:t>
            </w:r>
          </w:p>
        </w:tc>
      </w:tr>
      <w:tr>
        <w:trPr>
          <w:trHeight w:val="18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upon vesting of restricted stock units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5,546,127</w:t>
            </w:r>
          </w:p>
        </w:tc>
      </w:tr>
      <w:tr>
        <w:trPr>
          <w:trHeight w:val="18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Issuances upon conversion of convertible notes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5,236,448</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5,236,448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5,288,748</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269,715</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5,302,525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11,450,547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9, 2025, the Company signed a definitive agreement to acquire all of the capital stock of Nativo, Inc. for approximately $120.0 million (the “Acquisition”) in cash and stock. The Acquisition is subject to customary closing conditions which is expected to take place in January 2026.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2024, filed with the SEC on February 27, 2025 (“Annual Report”). In addition to historical financial information, the following discussion contains forward-looking statements that are based upon current plans, expectations and beliefs that involve risks and uncertainties. Our actual results could differ materially from those discussed in the forward-looking statements as a result of a variety of factors, including but not limited to those discussed in “Risk Factors” under Part II, Item 1A in this Quarterly Report, Part II, Item 1A in our previous Quarterly Reports on Form 10-Q for the quarters ended March 31, 2025 and June 30, 2025, and Part I, Item 1A in our Annual Report.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offerings on our platform; attracting and retaining talent; seasonality; and international expansion.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Results of Operations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discussion describes certain line items in our condensed consolidated statements of operations and comprehensive income (loss).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generates revenue from direct and indirect streams. Direct revenue includes subscription and hardware revenue, while indirect revenue consists of all other revenue sources, such as data and partnership, which includes advertising.</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Subscription Revenue</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generate revenue primarily from sales of subscriptions on our platform, including Life360, Jio, Inc. (“Jiobit”) and Tile, Inc.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Hardware Revenue</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generate our hardware revenue from the sale of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Other Revenue</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Other revenue consists of data and partnership revenue, which includes advertising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advertising on the Company’s mobile platform, and through the recognition of revenue related to the Related Party Warrant.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Cost of Revenue and Gross Margin</w:t>
      </w:r>
    </w:p>
    <w:p>
      <w:pPr>
        <w:spacing w:after="0" w:line="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Cost of Subscription Revenue</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4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plan to continue increasing the capacity and enhancing the capability and reliability of our infrastructure to support member growth and increased use of our platform. We expect that cost of revenue will increase in absolute dollars in future periods.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Cost of Hardware Revenue</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Cost of Other Revenue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Cost of other revenue includes cloud-based hosting costs, as well as costs of product operations functions and personnel-related costs associated with our data and advertising platforms.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Personnel-related expenses include salaries, bonuses, benefits, and stock-based compensation for operations personnel.</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Gross Profit and Gross Profit Margin</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gross profit has been, and may in the future be, influenced by several factors, including timing of capital expenditures and related depreciation expense, increases in infrastructure costs, component costs, tariffs, contract manufacturing and supplier pricing, and foreign currency exchange rates. Gross profit and gross profit margin may fluctuate over time based on the factors described above.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operating expenses consist of research and development, selling and marketing, and general and administrative expenses.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Research and Development</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Sales and Marketing</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Our sales and marketing expenses consist primarily of commissions to the Company’s third-party platforms (each a “Channel Partner”), personnel-related costs, brand marketing costs, lead generation costs, sales incentives, sponsorships and amortization of acquired intangibles, bad debt expense, and allocated overhead. Commission payments to Channel Partners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14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General and Administrative</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and non-income-based taxes. We expect general and administrative expenses will increase in absolute dollars as our business grows.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Other Income (Expense)</w:t>
      </w:r>
    </w:p>
    <w:p>
      <w:pPr>
        <w:spacing w:after="0" w:line="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Convertible Notes Fair Value Adjustment</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issued convertible notes to investors in July 2021 (the “July 2021 Convertible Notes”), and as part of the purchase consideration related to the acquisition of Jiobit in September 2021 (the “September 2021 Convertible Notes” and together with the July 2021 Convertible Notes, the “Convertible Notes”). The September 2021 Convertible Notes were recorded at fair value and revalued at each reporting period prior to their conversion to common stock in April 2024.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Derivative Liability Fair Value Adjustment</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Derivative liability fair value adjustment relates to the change in the fair value of the embedded conversion and redemption features associated with the July 2021 Convertible Notes prior to their conversion to common stock in June 2024.</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Loss on Settlement of Convertible Notes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Loss on settlement of convertible notes relates to the conversion of the July 2021 Convertible Notes into common stock, which resulted in a loss recognized upon settlement.</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Gain on Settlement of Derivative Liability</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Gain on settlement of derivative liability relates to the conversion by the holders of the July 2021 Convertible Notes, which settled the embedded share-settled redemption features bifurcated from the Company’s July 2021 Convertible Notes.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Gain on Change in Fair Value of Investments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April 2025, an observable price change took place related to the conversion of the Related Party SAFE into the Related Party Investment. In addition, in May 2025, the Company entered into a series of transactions with Aura Consolidated Group, Inc (“Aura”), which included a convertible note investment by the Company into Aura (“Convertible Note Investment”). The Company elected to apply the fair value option in accordance with ASC 825</w:t>
      </w:r>
      <w:r>
        <w:rPr>
          <w:rFonts w:ascii="Times New Roman" w:cs="Times New Roman" w:eastAsia="Times New Roman" w:hAnsi="Times New Roman"/>
          <w:sz w:val="14"/>
          <w:szCs w:val="14"/>
          <w:i w:val="1"/>
          <w:iCs w:val="1"/>
          <w:color w:val="auto"/>
        </w:rPr>
        <w:t>, Financial Instruments</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Gain on change in fair value of investments relates to the change in fair value associated with the Convertible Note Investment and the observable price change upon the conversion of the Related Party SAFE into the Related Party Investment.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Interest Income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income consists of interest earned on our cash and cash equivalents balances received from bank deposits and our investments in money market funds.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u w:val="single" w:color="auto"/>
          <w:color w:val="auto"/>
        </w:rPr>
        <w:t>Other Income (expense), net</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Other income (expense), net consists of foreign currency exchange gains/(losses) related to the remeasurement of certain assets and liabilities of our foreign subsidiaries that are denominated in currencies other than the functional currency of the subsidiary, foreign exchange transactions gains/(losses), and interest expense primarily related to convertible notes.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Provision for (Benefit from) Income Taxes</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Provision for (benefit from)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tables set forth our condensed consolidated statements of operations and comprehensive income (loss) for the three and nine months ended September 30, 2025 and 2024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3"/>
        </w:trPr>
        <w:tc>
          <w:tcPr>
            <w:tcW w:w="3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13"/>
                <w:szCs w:val="13"/>
                <w:color w:val="auto"/>
              </w:rPr>
            </w:pPr>
          </w:p>
        </w:tc>
        <w:tc>
          <w:tcPr>
            <w:tcW w:w="122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6"/>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revenue</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96,300</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71,833</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266,756</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199,090</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Hardware revenue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171"/>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124,497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343,502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255,955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80"/>
        </w:trPr>
        <w:tc>
          <w:tcPr>
            <w:tcW w:w="3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Cost of subscription revenue</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0"/>
        </w:trPr>
        <w:tc>
          <w:tcPr>
            <w:tcW w:w="39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Cost of hardware revenue</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3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Cost of other revenue</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71"/>
        </w:trPr>
        <w:tc>
          <w:tcPr>
            <w:tcW w:w="3900" w:type="dxa"/>
            <w:vAlign w:val="bottom"/>
          </w:tcPr>
          <w:p>
            <w:pPr>
              <w:ind w:left="280"/>
              <w:spacing w:after="0" w:line="171" w:lineRule="exact"/>
              <w:rPr>
                <w:sz w:val="20"/>
                <w:szCs w:val="20"/>
                <w:color w:val="auto"/>
              </w:rPr>
            </w:pPr>
            <w:r>
              <w:rPr>
                <w:rFonts w:ascii="Times New Roman" w:cs="Times New Roman" w:eastAsia="Times New Roman" w:hAnsi="Times New Roman"/>
                <w:sz w:val="14"/>
                <w:szCs w:val="14"/>
                <w:color w:val="auto"/>
              </w:rPr>
              <w:t>Total cost of revenue</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193,651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0"/>
        </w:trPr>
        <w:tc>
          <w:tcPr>
            <w:tcW w:w="39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Operating expenses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113,205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71"/>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91,444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74,963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261,313</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207,344</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7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Convertible notes fair value adjustment</w:t>
            </w: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liability fair value adjustment</w:t>
            </w:r>
          </w:p>
        </w:tc>
        <w:tc>
          <w:tcPr>
            <w:tcW w:w="2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settlement of convertible notes</w:t>
            </w: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settlement of derivative liability</w:t>
            </w:r>
          </w:p>
        </w:tc>
        <w:tc>
          <w:tcPr>
            <w:tcW w:w="2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change in fair value of investments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114 %</w:t>
            </w:r>
          </w:p>
        </w:tc>
      </w:tr>
      <w:tr>
        <w:trPr>
          <w:trHeight w:val="180"/>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299 %</w:t>
            </w:r>
          </w:p>
        </w:tc>
      </w:tr>
      <w:tr>
        <w:trPr>
          <w:trHeight w:val="17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293 %</w:t>
            </w:r>
          </w:p>
        </w:tc>
      </w:tr>
      <w:tr>
        <w:trPr>
          <w:trHeight w:val="18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7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262 %</w:t>
            </w:r>
          </w:p>
        </w:tc>
      </w:tr>
      <w:tr>
        <w:trPr>
          <w:trHeight w:val="18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2,933 %</w:t>
            </w:r>
          </w:p>
        </w:tc>
      </w:tr>
      <w:tr>
        <w:trPr>
          <w:trHeight w:val="196"/>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 (in thousands, except percentages):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gridSpan w:val="9"/>
          </w:tcPr>
          <w:p>
            <w:pPr>
              <w:ind w:left="3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11"/>
                <w:szCs w:val="11"/>
                <w:color w:val="auto"/>
              </w:rPr>
            </w:pPr>
          </w:p>
        </w:tc>
      </w:tr>
      <w:tr>
        <w:trPr>
          <w:trHeight w:val="153"/>
        </w:trPr>
        <w:tc>
          <w:tcPr>
            <w:tcW w:w="36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9"/>
        </w:trPr>
        <w:tc>
          <w:tcPr>
            <w:tcW w:w="36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0"/>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subscription revenue</w:t>
            </w:r>
          </w:p>
        </w:tc>
        <w:tc>
          <w:tcPr>
            <w:tcW w:w="70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5"/>
                <w:szCs w:val="15"/>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137 %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48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hardware revenue</w:t>
            </w:r>
          </w:p>
        </w:tc>
        <w:tc>
          <w:tcPr>
            <w:tcW w:w="7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180"/>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other revenue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1220" w:type="dxa"/>
            <w:vAlign w:val="bottom"/>
            <w:gridSpan w:val="5"/>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w:t>
            </w:r>
          </w:p>
        </w:tc>
        <w:tc>
          <w:tcPr>
            <w:tcW w:w="7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18,412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7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139 %</w:t>
            </w:r>
          </w:p>
        </w:tc>
      </w:tr>
      <w:tr>
        <w:trPr>
          <w:trHeight w:val="18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11,356</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8,653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7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net of amounts capitalized</w:t>
            </w:r>
          </w:p>
        </w:tc>
        <w:tc>
          <w:tcPr>
            <w:tcW w:w="7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11,460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30,507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498"/>
        </w:trPr>
        <w:tc>
          <w:tcPr>
            <w:tcW w:w="55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as a percentage of total revenue:</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8"/>
        </w:trPr>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60" w:type="dxa"/>
            <w:vAlign w:val="bottom"/>
          </w:tcPr>
          <w:p>
            <w:pPr>
              <w:spacing w:after="0"/>
              <w:rPr>
                <w:sz w:val="24"/>
                <w:szCs w:val="24"/>
                <w:color w:val="auto"/>
              </w:rPr>
            </w:pPr>
          </w:p>
        </w:tc>
      </w:tr>
      <w:tr>
        <w:trPr>
          <w:trHeight w:val="154"/>
        </w:trPr>
        <w:tc>
          <w:tcPr>
            <w:tcW w:w="3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60" w:type="dxa"/>
            <w:vAlign w:val="bottom"/>
            <w:tcBorders>
              <w:bottom w:val="single" w:sz="8" w:color="auto"/>
            </w:tcBorders>
          </w:tcPr>
          <w:p>
            <w:pPr>
              <w:spacing w:after="0"/>
              <w:rPr>
                <w:sz w:val="13"/>
                <w:szCs w:val="13"/>
                <w:color w:val="auto"/>
              </w:rPr>
            </w:pPr>
          </w:p>
        </w:tc>
      </w:tr>
      <w:tr>
        <w:trPr>
          <w:trHeight w:val="150"/>
        </w:trPr>
        <w:tc>
          <w:tcPr>
            <w:tcW w:w="36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revenue</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Hardware revenue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subscription revenue</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hardware revenue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other revenue</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1"/>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71"/>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7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Convertible notes fair value adjustment</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20" w:type="dxa"/>
            <w:vAlign w:val="bottom"/>
            <w:gridSpan w:val="5"/>
            <w:shd w:val="clear" w:color="auto" w:fill="CCEEFF"/>
          </w:tcPr>
          <w:p>
            <w:pPr>
              <w:jc w:val="right"/>
              <w:ind w:right="62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liability fair value adjustment</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5"/>
          </w:tcPr>
          <w:p>
            <w:pPr>
              <w:jc w:val="right"/>
              <w:ind w:right="62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settlement of convertible notes</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20" w:type="dxa"/>
            <w:vAlign w:val="bottom"/>
            <w:gridSpan w:val="5"/>
            <w:shd w:val="clear" w:color="auto" w:fill="CCEEFF"/>
          </w:tcPr>
          <w:p>
            <w:pPr>
              <w:jc w:val="right"/>
              <w:ind w:right="62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settlement of derivative liability</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5"/>
          </w:tcPr>
          <w:p>
            <w:pPr>
              <w:jc w:val="right"/>
              <w:ind w:right="62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change in fair value of investments</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5"/>
          </w:tcPr>
          <w:p>
            <w:pPr>
              <w:jc w:val="right"/>
              <w:ind w:right="623"/>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5"/>
          </w:tcPr>
          <w:p>
            <w:pPr>
              <w:jc w:val="right"/>
              <w:ind w:right="62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6"/>
        </w:trPr>
        <w:tc>
          <w:tcPr>
            <w:tcW w:w="3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662"/>
        </w:trPr>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99"/>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36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revenue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266,756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199,090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67,666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Hardware revenue</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(1,348)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21,229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75"/>
        </w:trPr>
        <w:tc>
          <w:tcPr>
            <w:tcW w:w="2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124,497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92,865</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343,502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255,955</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87,547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Subscription revenue increased $24.5 million, or 34%, during the three months ended September 30, 2025 as compared to the three months ended September 30, 2024, primarily due to 23% growth in Paying Circles (as defined below) and 16% growth in total subscriptions. Additionally, subscription revenue in the current period benefited from an 8% uplift in Average Revenue per Paying Circle (as defined below).</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Hardware revenue decreased $0.4 million, or 4%, during the three months ended September 30, 2025 as compared to the three months ended September 30, 2024. Hardware revenue before discounts increased $2.5 million, driven by a 15% increase in net hardware units shipped. This was more than offset by a $1.6 million increase in discounts and a $1.3 million reduction in revenue related to bundled offerings.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revenue increased $7.6 million, or 82%, during the three months ended September 30, 2025 as compared to the three months ended September 30, 2024. This was primarily due to a $6.6 million increase in partnership revenue, which includes advertising revenue, and reflects growth in advertising activity from both existing arrangements and an increased number of partners. In addition, data revenue increased $1.0 million, which was primarily attributable to the Amended and Restated Data Services and License Agreement with Placer.ai we entered into in July 2024.</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Subscription revenue increased $67.7 million, or 34%, during the nine months ended September 30, 2025 as compared to the nine months ended September 30, 2024, primarily due to 23% growth in Paying Circles and 16% growth in total subscriptions. Additionally, subscription revenue in the current period benefited from an 8% uplift in Average Revenue per Paying Circle.</w:t>
      </w:r>
    </w:p>
    <w:p>
      <w:pPr>
        <w:spacing w:after="0" w:line="12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Hardware revenue decreased $1.3 million, or 4%, during the nine months ended September 30, 2025 as compared to the nine months ended September 30, 2024. Hardware revenue before discounts increased $5.7 million, driven by an 11% increase in net hardware units shipped. This was more than offset by a $3.8 million increase in discounts and a $3.2 million reduction in revenue related to bundled offerings.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revenue increased $21.2 million, or 92%, during the nine months ended September 30, 2025 as compared to the nine months ended September 30, 2024. This was primarily due to a $16.0 million increase in partnership revenue, which includes advertising revenue, and reflects growth in advertising activity from both existing arrangements and an increased number of partners. In addition, data revenue increased $5.2 million due to the Amended and Restated Data Services and License Agreement with Placer.ai we entered into in July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Cost of Revenue, Gross Profit, and Gross Margin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60" w:type="dxa"/>
            <w:vAlign w:val="bottom"/>
          </w:tcPr>
          <w:p>
            <w:pPr>
              <w:spacing w:after="0"/>
              <w:rPr>
                <w:sz w:val="11"/>
                <w:szCs w:val="11"/>
                <w:color w:val="auto"/>
              </w:rPr>
            </w:pPr>
          </w:p>
        </w:tc>
        <w:tc>
          <w:tcPr>
            <w:tcW w:w="11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80" w:type="dxa"/>
            <w:vAlign w:val="bottom"/>
          </w:tcPr>
          <w:p>
            <w:pPr>
              <w:spacing w:after="0"/>
              <w:rPr>
                <w:sz w:val="11"/>
                <w:szCs w:val="11"/>
                <w:color w:val="auto"/>
              </w:rPr>
            </w:pPr>
          </w:p>
        </w:tc>
        <w:tc>
          <w:tcPr>
            <w:tcW w:w="11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2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subscription revenue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14,003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10,659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37,193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30,367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6,826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hardware revenue</w:t>
            </w:r>
          </w:p>
        </w:tc>
        <w:tc>
          <w:tcPr>
            <w:tcW w:w="24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11,213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30,491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29,147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other revenue</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4,633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2,790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cost of revenue</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27,362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22,853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72,317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62,304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10,013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97,135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70,012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27,123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271,185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193,651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77,534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Hardware</w:t>
            </w:r>
          </w:p>
        </w:tc>
        <w:tc>
          <w:tcPr>
            <w:tcW w:w="24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Cost of subscription revenue increased $3.3 million, or 31%, during the three months ended September 30, 2025 as compared to the three months ended September 30, 2024, primarily due to increases of $1.3 million in personnel-related and stock-based compensation costs and $1.2 million in amortization of internally developed software related to the release of new features and significant updates on our platform. In addition, technology expenses increased $0.5 million, attributable to Company growth, and costs associated with premium membership offerings increased $0.3 million.</w:t>
      </w: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Subscription gross margin remained flat at 85% during the three months ended September 30, 2025 as compared to the three months ended September 30, 2024.</w:t>
      </w:r>
    </w:p>
    <w:p>
      <w:pPr>
        <w:spacing w:after="0" w:line="17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Cost of hardware revenue increased $0.5 million, or 4%, during the three months ended September 30, 2025 as compared to the three months ended September 30, 2024. This was primarily driven by increases of $1.1 million in tariff costs and $0.6 million in personnel-related and stock-based compensation costs attributable to Company growth. The increases were partially offset by decreases of $0.7 million in freight costs, $0.3 million in fulfillment costs, and $0.2 million in product costs, all associated with a shift in channel mix.</w:t>
      </w:r>
    </w:p>
    <w:p>
      <w:pPr>
        <w:spacing w:after="0" w:line="16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Hardware gross margin decreased to (3)% during the three months ended September 30, 2025 from 5% during the three months ended September 30, 2024, primarily due to an increase in discounts and tariff costs.</w:t>
      </w:r>
    </w:p>
    <w:p>
      <w:pPr>
        <w:spacing w:after="0" w:line="12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other revenue increased $0.7 million, or 69%, during the three months ended September 30, 2025 as compared to the three months ended September 30, 2024, primarily due to increases of $0.7 million in technology and other related expenses to support the existing customer base.</w:t>
      </w:r>
    </w:p>
    <w:p>
      <w:pPr>
        <w:spacing w:after="0" w:line="12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gross margin increased to 90% during the three months ended September 30, 2025 from 89% during the three months ended September 30, 2024, primarily due to revenue outpacing the increase in costs.</w:t>
      </w:r>
    </w:p>
    <w:p>
      <w:pPr>
        <w:spacing w:after="0" w:line="12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Cost of subscription revenue increased $6.8 million, or 22%, during the nine months ended September 30, 2025 as compared to the nine months ended September 30, 2024,primarily due to increases of $3.0 million in personnel-related and stock-based compensation costs, $2.1 million in amortization of internally developed software related to the release of new features and significant updates on our platform, and $2.1 million in technology expenses attributable to Company growth. The increases were partially offset by a $0.4 million decrease in costs associated with premium membership offerings.</w:t>
      </w:r>
    </w:p>
    <w:p>
      <w:pPr>
        <w:spacing w:after="0" w:line="14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Subscription gross margin increased to 86% during the nine months ended September 30, 2025 from 85% during the nine months ended September 30, 2024, primarily due to price increases for new and existing Life360 subscriptions implemented during the second half of 2024 and continuing into 2025.</w:t>
      </w:r>
    </w:p>
    <w:p>
      <w:pPr>
        <w:spacing w:after="0" w:line="124" w:lineRule="exact"/>
        <w:rPr>
          <w:sz w:val="20"/>
          <w:szCs w:val="20"/>
          <w:color w:val="auto"/>
        </w:rPr>
      </w:pPr>
    </w:p>
    <w:p>
      <w:pPr>
        <w:jc w:val="both"/>
        <w:ind w:firstLine="318"/>
        <w:spacing w:after="0" w:line="317" w:lineRule="auto"/>
        <w:rPr>
          <w:sz w:val="20"/>
          <w:szCs w:val="20"/>
          <w:color w:val="auto"/>
        </w:rPr>
      </w:pPr>
      <w:r>
        <w:rPr>
          <w:rFonts w:ascii="Times New Roman" w:cs="Times New Roman" w:eastAsia="Times New Roman" w:hAnsi="Times New Roman"/>
          <w:sz w:val="14"/>
          <w:szCs w:val="14"/>
          <w:color w:val="auto"/>
        </w:rPr>
        <w:t>Cost of hardware revenue increased $1.3 million, or 5%, during the nine months ended September 30, 2025 as compared to the nine months ended September 30, 2024. This was primarily driven by increases of $2.0 million in tariff costs, $1.7 million in personnel-related and stock-based compensation costs, and $0.6 million in technology and other costs, attributable to Company growth. The increases were partially offset by decreases of $1.1 million in freight costs, $1.0 million in product costs, and $0.9 million in fulfillment costs, all associated with a shift in channel mix.</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Hardware gross margin decreased to 6% during the nine months ended September 30, 2025 from 14% during the nine months ended September 30, 2024, primarily due to an increase in discounts and tariff costs.</w:t>
      </w:r>
    </w:p>
    <w:p>
      <w:pPr>
        <w:spacing w:after="0" w:line="12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other revenue increased $1.8 million, or 66%, during the nine months ended September 30, 2025 as compared to the nine months ended September 30, 2024, due to increases of $1.8 million in technology and other related expenses to support the existing customer base.</w:t>
      </w:r>
    </w:p>
    <w:p>
      <w:pPr>
        <w:spacing w:after="0" w:line="12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gross margin increased to 90% during the nine months ended September 30, 2025 from 88% during the nine months ended September 30, 2024, primarily due to revenue outpacing the increase in costs.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12 %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95,071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increased $3.4 million, or 12%, during the three months ended September 30, 2025 as compared to the three months ended September 30, 2024. This was primarily due to a $3.7 million increase in personnel-related and stock-based compensation costs and a $0.8 million increase in technology and other costs attributable to company growth. The increases were partially offset by a $0.5 million decrease in contractor spend, higher capitalized costs of $0.5 million related to construction in progress in line with our product development roadmap, and $0.1 million of higher capitalized costs for internally developed software related to the development of new features and significant updates to our platform.</w:t>
      </w:r>
    </w:p>
    <w:p>
      <w:pPr>
        <w:spacing w:after="0" w:line="14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increased $11.8 million, or 14%, during the nine months ended September 30, 2025 as compared to the nine months ended September 30, 2024. This was primarily due to increases of $10.9 million in personnel-related and stock-based compensation costs, and $2.1 million in technology expenses, attributable to Company growth. The increases were partially offset by higher capitalized costs of $1.2 million for internally developed software related to the development of new features and significant updates to our platform.</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Sales and Marketing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9"/>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79,818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Sales and marketing expenses increased $8.3 million, or 27%, during the three months ended September 30, 2025 as compared to the three months ended September 30, 2024. This was primarily due to increases of $4.6 million in commissions to the Company’s Channel Partners, in line with the increase in subscription revenue, $3.8 million in growth media spend, and $0.5 million in personnel-related and stock-based compensation costs, all attributable to Company growth. These increases were partially offset by a $0.3 million decrease in other marketing spend and a $0.3 million decrease in professional and outside services.</w:t>
      </w:r>
    </w:p>
    <w:p>
      <w:pPr>
        <w:spacing w:after="0" w:line="16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Sales and marketing expenses increased $33.4 million, or 42%, during the nine months ended September 30, 2025 as compared to the nine months ended September 30, 2024. This was primarily due to increases of $12.5 million in commissions to the Company’s Channel Partners, in line with the increase in subscription revenue, and $12.4 million in growth media spend. Additional increases include $5.9 million in personnel-related and stock-based compensation costs, $1.5 million in marketing spend related to production and public relations, and $1.1 million in technology expenses, all attributable to Company growth.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General and Administrative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6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80" w:type="dxa"/>
            <w:vAlign w:val="bottom"/>
          </w:tcPr>
          <w:p>
            <w:pPr>
              <w:spacing w:after="0"/>
              <w:rPr>
                <w:sz w:val="11"/>
                <w:szCs w:val="11"/>
                <w:color w:val="auto"/>
              </w:rPr>
            </w:pPr>
          </w:p>
        </w:tc>
        <w:tc>
          <w:tcPr>
            <w:tcW w:w="11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0"/>
        </w:trPr>
        <w:tc>
          <w:tcPr>
            <w:tcW w:w="2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31 %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53,037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increased $4.8 million, or 31%, during the three months ended September 30, 2025 as compared to the three months ended September 30, 2024. This was primarily due to increases of $3.0 million in personnel-related and stock-based compensation costs, $0.8 million related to travel and entertainment costs for the Company’s annual event, $0.5 million in professional and outside services, and $0.3 million in other administrative costs, all attributable to Company growth. In addition, $0.2 million of the increase was attributable to lower capitalized costs related to internally developed software.</w:t>
      </w:r>
    </w:p>
    <w:p>
      <w:pPr>
        <w:spacing w:after="0" w:line="14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increased $8.8 million, or 20%, during the nine months ended September 30, 2025 as compared to the nine months ended September 30, 2024. This was primarily due to increases of $8.0 million in personnel-related and stock-based compensation costs, $1.1 million related to travel and entertainment costs for the Company’s annual event, $0.6 million in technology expenses, and $0.5 million in insurance costs, all attributable to Company growth. These increases were partially offset by a $1.4 million decrease in professional and outside services spend, primarily driven by lower Sarbanes-Oxley related compliance costs.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Convertible Notes Fair Value Adjustment</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April and June 2024, the September 2021 Convertible Notes and the July 2021 Convertible Notes, respectively, were converted to common stock. As a result, the Company recorded no gain or loss associated with the Convertible Notes fair value adjustment for both the three and nine months ended September 30, 2025. The Company recorded no gain or loss and a $0.6 million loss associated with the Convertible Notes fair value adjustment for the three and nine months ended September 30, 2024, respectively.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Derivative Liability Fair Value Adjustment</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June 2024, the holders of the July 2021 Convertible Notes converted their notes and accrued interest to common stock and the embedded derivative liability was settled as a result of the conversion. As such, the Company recorded no gain or loss associated with the derivative liability fair value adjustment for the three and nine months ended September 30, 2025. The Company recorded no gain or loss and a $1.7 million loss associated with the derivative liability fair value adjustment for the three and nine months ended September 30, 2024, respectively.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Loss on Settlement of Convertible Notes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April and June 2024, the September 2021 Convertible Notes and the July 2021 Convertible Notes, respectively, were converted to common stock. As a result, the Company recorded no gain or loss related to the settlement of the September 2021 Convertible Notes and July 2021 Convertible Notes for both the three and nine months ended September 30, 2025. The Company recorded no gain or loss and a $0.4 million loss related to the settlement of the July 2021 Convertible Notes and the September 2021 Convertible Notes for the three and nine months ended September 30, 2024, respectively.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Gain on Settlement of Derivative Liability</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June 2024, the holders of the July 2021 Convertible Notes converted their notes and accrued interest to common stock and the derivative liability was settled as a result of the conversion. As a result, the Company recorded no gain or loss related to the settlement of the derivative liability upon conversion of the July 2021 Convertible Notes for the three and nine months ended September 30, 2025. The Company recorded no gain or loss and a $1.9 million gain related to the settlement of the derivative liability upon conversion of the July 2021 Convertible Notes for the three and nine months ended September 30, 2024,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Gain on Change in Fair Value of Investments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April 2025, an observable price change related to the conversion of the Related Party SAFE into the Related Party Investment took place. As a result, a $0.9 million gain related to the observable price change was recognized during the nine months ended September 30, 2025. No observable price changes were recorded during the three months ended September 30, 2025.</w:t>
      </w:r>
    </w:p>
    <w:p>
      <w:pPr>
        <w:spacing w:after="0" w:line="12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 addition, in May 2025, the Company entered into a series of transactions with Aura Consolidated Group, Inc. (“Aura”), which included a $25.0 million convertible note investment by the Company into Aura (the “Convertible Note Investment”). The Company elected to apply the fair value option in accordance with ASC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As a result, a $0.8 million and $1.2 million gain related to the revaluation of the Convertible Note Investment was recognized during the three and nine months ended September 30, 2025, respectively.</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July 2024, an observable price change related to our investment in warrants held to purchase shares of preferred stock of a data revenue partner took place. The observable price change resulted in a fair value adjustment and gain of $5.4 million recorded for the three and nine months ended September 30, 2024.</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Interest Income</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income increased $2.6 million, or 128%, during the three months ended September 30, 2025 as compared to the three months ended September 30, 2024, resulting from higher average gross yields attributable to an increased cash and cash equivalents balance.</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income increased $4.8 million, or 114%, during the nine months ended September 30, 2025 as compared to the nine months ended September 30, 2024, resulting from higher average gross yields attributable to an increased cash and cash equivalents balance.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Other Income (Expense), Net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income (expense), net includes foreign exchange gains and losses, and interest expense associated with the July 2021 and June 2025 Convertible Notes.</w:t>
      </w:r>
    </w:p>
    <w:p>
      <w:pPr>
        <w:spacing w:after="0" w:line="17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income (expense), net decreased $1.5 million, or 320%, during the three months ended September 30, 2025 as compared to the three months ended September 30, 2024. This was primarily driven by a $0.9 million increase in foreign exchange losses, and a $0.6 million increase in interest expense.</w:t>
      </w:r>
    </w:p>
    <w:p>
      <w:pPr>
        <w:spacing w:after="0" w:line="12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income (expense), net increased $6.0 million, or 100%, during the nine months ended September 30, 2025 as compared to the nine months ended September 30, 2024. This was primarily driven by a $5.7 million decrease in transaction costs incurred in the prior period in connection with our U.S. IPO, a $0.7 million increase in foreign exchange gains, and a $0.2 million decrease in other costs. This was partially offset by a $0.6 million increase in interest expense.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u w:val="single" w:color="auto"/>
          <w:color w:val="auto"/>
        </w:rPr>
        <w:t>Provision for (benefit from) Income Taxes</w:t>
      </w:r>
    </w:p>
    <w:p>
      <w:pPr>
        <w:spacing w:after="0" w:line="9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Provision for income taxes increased $5.2 million during the three months ended September 30, 2025 as compared to the three months ended September 30, 2024. Benefit from income taxes increased $2.3 million during the nine months ended September 30, 2025 as compared to the nine months ended September 30, 2024. The changes are due to the estimated growth in the Company’s annual estimated effective tax rate in the U.S. Provision for income taxes which consists of U.S. federal and state income taxes in jurisdictions in which we conduct business. The annual estimated effective tax rate in any quarter may be subject to fluctuations during the year as new information is obtained, which may positively or negatively affect the assumptions used to estimate the annual effective tax rate. We maintain a full valuation allowance on our federal and state deferred tax assets as we have concluded that it is not more likely than not that the deferred tax assets will be realized.</w:t>
      </w:r>
    </w:p>
    <w:p>
      <w:pPr>
        <w:spacing w:after="0" w:line="31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introducing several changes to the U.S. Internal Revenue Code of 1986, as amended. As a result of the tax law, we currently estimate no federal taxes and reduced state taxes, resulting in expected cash tax savings for the 2025 fiscal year. We continue to evaluate the tax and other provisions of the OBBBA and the potential effects on our financial position, results of operations, and cash flows.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Indicators</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Key Operating Metrics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1960" w:type="dxa"/>
            <w:vAlign w:val="bottom"/>
            <w:gridSpan w:val="4"/>
          </w:tcPr>
          <w:p>
            <w:pPr>
              <w:jc w:val="center"/>
              <w:ind w:left="374"/>
              <w:spacing w:after="0"/>
              <w:rPr>
                <w:sz w:val="20"/>
                <w:szCs w:val="20"/>
                <w:color w:val="auto"/>
              </w:rPr>
            </w:pPr>
            <w:r>
              <w:rPr>
                <w:rFonts w:ascii="Times New Roman" w:cs="Times New Roman" w:eastAsia="Times New Roman" w:hAnsi="Times New Roman"/>
                <w:sz w:val="11"/>
                <w:szCs w:val="11"/>
                <w:b w:val="1"/>
                <w:bCs w:val="1"/>
                <w:color w:val="auto"/>
              </w:rPr>
              <w:t>As of and for the Three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As of and for the Nine</w:t>
            </w:r>
          </w:p>
        </w:tc>
        <w:tc>
          <w:tcPr>
            <w:tcW w:w="1280" w:type="dxa"/>
            <w:vAlign w:val="bottom"/>
          </w:tcPr>
          <w:p>
            <w:pPr>
              <w:spacing w:after="0"/>
              <w:rPr>
                <w:sz w:val="11"/>
                <w:szCs w:val="11"/>
                <w:color w:val="auto"/>
              </w:rPr>
            </w:pPr>
          </w:p>
        </w:tc>
      </w:tr>
      <w:tr>
        <w:trPr>
          <w:trHeight w:val="115"/>
        </w:trPr>
        <w:tc>
          <w:tcPr>
            <w:tcW w:w="3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gridSpan w:val="3"/>
          </w:tcPr>
          <w:p>
            <w:pPr>
              <w:jc w:val="center"/>
              <w:ind w:right="212"/>
              <w:spacing w:after="0" w:line="115" w:lineRule="exact"/>
              <w:rPr>
                <w:sz w:val="20"/>
                <w:szCs w:val="20"/>
                <w:color w:val="auto"/>
              </w:rPr>
            </w:pPr>
            <w:r>
              <w:rPr>
                <w:rFonts w:ascii="Times New Roman" w:cs="Times New Roman" w:eastAsia="Times New Roman" w:hAnsi="Times New Roman"/>
                <w:sz w:val="11"/>
                <w:szCs w:val="11"/>
                <w:b w:val="1"/>
                <w:bCs w:val="1"/>
                <w:color w:val="auto"/>
              </w:rPr>
              <w:t>Months Ended</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3"/>
          </w:tcPr>
          <w:p>
            <w:pPr>
              <w:jc w:val="center"/>
              <w:ind w:left="414"/>
              <w:spacing w:after="0" w:line="115" w:lineRule="exact"/>
              <w:rPr>
                <w:sz w:val="20"/>
                <w:szCs w:val="20"/>
                <w:color w:val="auto"/>
              </w:rPr>
            </w:pPr>
            <w:r>
              <w:rPr>
                <w:rFonts w:ascii="Times New Roman" w:cs="Times New Roman" w:eastAsia="Times New Roman" w:hAnsi="Times New Roman"/>
                <w:sz w:val="11"/>
                <w:szCs w:val="11"/>
                <w:b w:val="1"/>
                <w:bCs w:val="1"/>
                <w:color w:val="auto"/>
              </w:rPr>
              <w:t>Months Ended</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50"/>
        </w:trPr>
        <w:tc>
          <w:tcPr>
            <w:tcW w:w="36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0"/>
        </w:trPr>
        <w:tc>
          <w:tcPr>
            <w:tcW w:w="3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80" w:type="dxa"/>
            <w:vAlign w:val="bottom"/>
          </w:tcPr>
          <w:p>
            <w:pPr>
              <w:spacing w:after="0"/>
              <w:rPr>
                <w:sz w:val="13"/>
                <w:szCs w:val="13"/>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8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39"/>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ARPPC, ARPPS and ASP)</w:t>
            </w: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19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AMR</w:t>
            </w: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MAUs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Paying Circles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3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ARPPC</w:t>
            </w:r>
            <w:r>
              <w:rPr>
                <w:rFonts w:ascii="Times New Roman" w:cs="Times New Roman" w:eastAsia="Times New Roman" w:hAnsi="Times New Roman"/>
                <w:sz w:val="18"/>
                <w:szCs w:val="18"/>
                <w:color w:val="auto"/>
                <w:vertAlign w:val="superscript"/>
              </w:rPr>
              <w:t>(1)</w:t>
            </w: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137.63</w:t>
            </w:r>
          </w:p>
        </w:tc>
        <w:tc>
          <w:tcPr>
            <w:tcW w:w="100" w:type="dxa"/>
            <w:vAlign w:val="bottom"/>
          </w:tcPr>
          <w:p>
            <w:pPr>
              <w:spacing w:after="0"/>
              <w:rPr>
                <w:sz w:val="15"/>
                <w:szCs w:val="15"/>
                <w:color w:val="auto"/>
              </w:rPr>
            </w:pPr>
          </w:p>
        </w:tc>
        <w:tc>
          <w:tcPr>
            <w:tcW w:w="7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127.57</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124.63</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3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ARPPS</w:t>
            </w:r>
            <w:r>
              <w:rPr>
                <w:rFonts w:ascii="Times New Roman" w:cs="Times New Roman" w:eastAsia="Times New Roman" w:hAnsi="Times New Roman"/>
                <w:sz w:val="18"/>
                <w:szCs w:val="18"/>
                <w:color w:val="auto"/>
                <w:vertAlign w:val="superscript"/>
              </w:rPr>
              <w:t>(1)</w:t>
            </w: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119.33</w:t>
            </w:r>
          </w:p>
        </w:tc>
        <w:tc>
          <w:tcPr>
            <w:tcW w:w="100" w:type="dxa"/>
            <w:vAlign w:val="bottom"/>
          </w:tcPr>
          <w:p>
            <w:pPr>
              <w:spacing w:after="0"/>
              <w:rPr>
                <w:sz w:val="15"/>
                <w:szCs w:val="15"/>
                <w:color w:val="auto"/>
              </w:rPr>
            </w:pPr>
          </w:p>
        </w:tc>
        <w:tc>
          <w:tcPr>
            <w:tcW w:w="7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106.27</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hardware units shipped</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ASP</w:t>
            </w:r>
            <w:r>
              <w:rPr>
                <w:rFonts w:ascii="Times New Roman" w:cs="Times New Roman" w:eastAsia="Times New Roman" w:hAnsi="Times New Roman"/>
                <w:sz w:val="18"/>
                <w:szCs w:val="18"/>
                <w:color w:val="auto"/>
                <w:vertAlign w:val="superscript"/>
              </w:rPr>
              <w:t>(2)</w:t>
            </w: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21"/>
                <w:szCs w:val="21"/>
                <w:color w:val="auto"/>
              </w:rPr>
            </w:pPr>
          </w:p>
        </w:tc>
        <w:tc>
          <w:tcPr>
            <w:tcW w:w="7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1"/>
                <w:szCs w:val="21"/>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80" w:type="dxa"/>
            <w:vAlign w:val="bottom"/>
          </w:tcPr>
          <w:p>
            <w:pPr>
              <w:spacing w:after="0"/>
              <w:rPr>
                <w:sz w:val="21"/>
                <w:szCs w:val="21"/>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80" w:lineRule="exact"/>
        <w:rPr>
          <w:sz w:val="20"/>
          <w:szCs w:val="20"/>
          <w:color w:val="auto"/>
        </w:rPr>
      </w:pPr>
    </w:p>
    <w:p>
      <w:pPr>
        <w:ind w:right="260" w:firstLine="5"/>
        <w:spacing w:after="0" w:line="280" w:lineRule="auto"/>
        <w:tabs>
          <w:tab w:leader="none" w:pos="171"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revenue related to bundled Life360 subscription and hardware offerings of $(0.1) and $(0.8) for the three and nine months ended September 30, 2025, respectively, and $(1.4) and $(4.0) for the three and nine months ended September 30, 2024, respectively.</w:t>
      </w:r>
    </w:p>
    <w:p>
      <w:pPr>
        <w:spacing w:after="0" w:line="54" w:lineRule="exact"/>
        <w:rPr>
          <w:rFonts w:ascii="Times New Roman" w:cs="Times New Roman" w:eastAsia="Times New Roman" w:hAnsi="Times New Roman"/>
          <w:sz w:val="11"/>
          <w:szCs w:val="11"/>
          <w:color w:val="auto"/>
        </w:rPr>
      </w:pPr>
    </w:p>
    <w:p>
      <w:pPr>
        <w:ind w:right="260" w:firstLine="5"/>
        <w:spacing w:after="0" w:line="300" w:lineRule="auto"/>
        <w:tabs>
          <w:tab w:leader="none" w:pos="161"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revenue related to bundled Life360 subscription and hardware offerings of $0.1 and $0.7 for the three and nine months ended September 30, 2025, respectively, and $1.4 and $3.9 for the three and nine months ended September 30, 2024, respectively.</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Annualized Monthly Revenue</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September 30, 2025, and 2024 was $446.7 million and $336.2 million, respectively, representing an increase of 33% year-over-year, which is largely attributable to continued subscriber growth as well as an increase in other revenue.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Monthly Active Users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have a large and growing global member base as of September 30, 2025. A Life360 monthly active user (“MAU”) is defined as a unique member who engages with our Life360 branded services each month, which includes both paying and non-paying members, and excludes certain members who have a delayed account setup. As of September 30, 2025 and 2024, we had approximately 91.6 million and approximately 76.9 million MAUs on the Life360 platform, respectively, representing an increase of 19% year-over-year. We believe this has been driven by continued strong new member growth and retention.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Paying Circles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September 30, 2025 and 2024, we had approximately 2.7 million and 2.2 million paid subscribers to services under our Life360 brand, respectively, representing an increase of 23% year-over-year. We grow the number of Paying Circles by increasing our free member base, converting free members to subscribers, and retaining them over time with the provision of high-quality family connectivity and safety services.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Average Revenue per Paying Circle</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define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2025 and 2024, our ARPPC was $137.63 and $127.57, respectively, representing an 8% increase year-over-year. For the nine months ended September 30, 2025 and 2024, our ARPPC was $135.05 and $124.63, respectively, representing an 8% increase year-over-year.</w:t>
      </w:r>
    </w:p>
    <w:p>
      <w:pPr>
        <w:spacing w:after="0" w:line="12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ARPPC is a key indicator utilized by the Company to determine our effectiveness at monetizing Paying Circles through tiered product offerings. The year-over-year growth in ARPPC primarily reflects U.S. price increases for new and existing annual subscribers implemented in the second half of 2024 and continuing into 2025, a shift in product mix toward higher-priced offerings, and the introduction of higher-priced membership tiers across select international markets throughout 2024.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Subscriptions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define Subscriptions as the number of paying subscribers associated with the Life360, Tile, and Jiobit brands who have been billed as of the end of the period.</w:t>
      </w:r>
    </w:p>
    <w:p>
      <w:pPr>
        <w:spacing w:after="0" w:line="17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September 30, 2025 and 2024, we had approximately 3.3 million and 2.8 million paid subscribers, respectively, to services under the Life360, Tile, and Jiobit brands, representing an increase of 16% year-over-year.</w:t>
      </w:r>
    </w:p>
    <w:p>
      <w:pPr>
        <w:spacing w:after="0" w:line="12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grow the number of Subscriptions by selling hardware units and increasing our free member base, converting free members to subscribers, and retaining them over time with the provision of location tracking and high-quality family and safety services.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Average Revenue per Paying Subscription</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4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ARPPS for the three months ended September 30, 2025 and 2024 was $119.33 and $106.27, respectively, representing an increase of 12% year-over-year. ARPPS for the nine months ended September 30, 2025 and 2024 was $115.97 and $103.28, respectively, representing an increase of 12% year-over-year.</w:t>
      </w:r>
    </w:p>
    <w:p>
      <w:pPr>
        <w:spacing w:after="0" w:line="12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ARPPS has increased year-over-year as a result of U.S. price increases for new and existing annual subscribers implemented in the second half of 2024 and continuing into 2025, a shift in product mix towards higher-priced offerings, and the introduction of higher-priced membership tiers across select international markets throughout 2024.</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Hardware Units Shipped</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Net hardware units shipped represents the number of tracking devices sold during a period, excluding certain hardware units related to bundled Life360 subscription and hardware offerings, net of returns by our retail partners and direct consumers. Selling units contributes to hardware revenue and ultimately increases the number of members eligible for a Tile or Jiobit subscription.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three months ended September 30, 2025 and 2024, we sold approximately 0.9 million units and 0.8 million units, respectively, representing an increase of 15% year-over-year. The increase in net hardware units shipped was primarily due to an increase in online retail sales. For the nine months ended September 30, 2025 and 2024, we sold approximately 2.3 million units and 2.0 million units, respectively, representing an increase of 11% year-over-year. The increase in net hardware units shipped was primarily due to an increase in online retail sales.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Average Sales Price (ASP)</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three months ended September 30, 2025 and 2024, the net ASP per unit was $11.99 and $12.69, respectively, representing a decrease of 6% year-over-year. For the nine months ended September 30, 2025 and 2024, the net ASP per unit was $14.12 and $14.78, respectively, representing a decrease of 4% year-over-year. The decrease in net ASP for both periods was primarily due to a shift in channel mix and an increase in discounts.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September 30, 2025, we had cash and cash equivalents of $455.7 million and restricted cash of $1.5 million. As of December 31, 2024, we had cash and cash equivalents of $159.2 million and restricted cash of $1.2 million.</w:t>
      </w:r>
    </w:p>
    <w:p>
      <w:pPr>
        <w:spacing w:after="0" w:line="12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believe our existing cash and cash equivalents and cash provided by sales of our subscriptions and hardware devices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Cash Flows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cash flow activities were as follows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020" w:type="dxa"/>
            <w:vAlign w:val="bottom"/>
            <w:tcBorders>
              <w:bottom w:val="single" w:sz="8" w:color="auto"/>
            </w:tcBorders>
          </w:tcPr>
          <w:p>
            <w:pPr>
              <w:spacing w:after="0"/>
              <w:rPr>
                <w:sz w:val="13"/>
                <w:szCs w:val="13"/>
                <w:color w:val="auto"/>
              </w:rPr>
            </w:pPr>
          </w:p>
        </w:tc>
      </w:tr>
      <w:tr>
        <w:trPr>
          <w:trHeight w:val="154"/>
        </w:trPr>
        <w:tc>
          <w:tcPr>
            <w:tcW w:w="754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7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80" w:type="dxa"/>
            <w:vAlign w:val="bottom"/>
            <w:gridSpan w:val="3"/>
          </w:tcPr>
          <w:p>
            <w:pPr>
              <w:jc w:val="right"/>
              <w:ind w:right="449"/>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tcPr>
          <w:p>
            <w:pPr>
              <w:spacing w:after="0"/>
              <w:rPr>
                <w:sz w:val="13"/>
                <w:szCs w:val="13"/>
                <w:color w:val="auto"/>
              </w:rPr>
            </w:pPr>
          </w:p>
        </w:tc>
      </w:tr>
      <w:tr>
        <w:trPr>
          <w:trHeight w:val="18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20,289</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(3,291)</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278,866</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72,474</w:t>
            </w:r>
          </w:p>
        </w:tc>
      </w:tr>
      <w:tr>
        <w:trPr>
          <w:trHeight w:val="17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4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296,768</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89,472</w:t>
            </w:r>
          </w:p>
        </w:tc>
      </w:tr>
      <w:tr>
        <w:trPr>
          <w:trHeight w:val="20"/>
        </w:trPr>
        <w:tc>
          <w:tcPr>
            <w:tcW w:w="7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largest sources of operating cash are cash collections from our paying members for subscriptions to our platform and hardware device sales. Our primary uses of cash from operating activities are for employee-related expenditures, costs to acquire inventory, infrastructure-related costs, commissions paid to Channel Partners and other marketing expenses.</w:t>
      </w:r>
    </w:p>
    <w:p>
      <w:pPr>
        <w:spacing w:after="0" w:line="12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September 30, 2025 and December 31, 2024, we had deferred revenue of $50.2 million and $45.2 million, respectively, of which $46.1 million and $39.9 million is expected to be recorded as revenue in the next 12 months, respectively, provided all other revenue recognition criteria have been met.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For the nine months ended September 30, 2025, net cash provided by operating activities was $51.8 million. The primary factors affecting our operating cash flows during this period were our net income of $21.2 million, impacted by $49.6 million of non-cash adjustments, and $18.9 million of cash used by changes in our operating assets and liabilities. The non-cash adjustments primarily consist of stock-based compensation, depreciation and amortization. The cash used by changes in our operating assets and liabilities was primarily due to a decrease in accrued expenses and other current liabilities, as well as increases in prepaid expenses and other current assets, accounts receivable, and inventory. These cash outflows were offset by an increase in deferred revenue and accounts payable.</w:t>
      </w:r>
    </w:p>
    <w:p>
      <w:pPr>
        <w:spacing w:after="0" w:line="14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For the nine months ended September 30, 2024, net cash provided by operating activities was $20.3 million. The primary factors affecting our operating cash flows during this period were our net loss of $13.1 million, impacted by $33.3 million of non-cash adjustments and $20 thousand of cash provided by changes in our operating assets and liabilities, which was partially offset by a payment of $5.5 million for expenses paid on behalf of the selling stockholders in connection with the secondary offering completed during the second quarter of 2024. The non-cash adjustments primarily consisted of stock-based compensation, depreciation and amortization, fair value adjustments for our convertible notes, derivative liability, and investment, non-cash interest expense, gain on settlement of derivative liability, and loss on settlement of convertible notes. The cash provided by changes in our operating assets and liabilities was primarily due to decreases in prepaid expenses and other assets as well as increases in accounts payable and accrued expenses and other current liabilities, and deferred revenue, which was offset by increases in accounts receivable, net, inventory, and costs capitalized to obtain contracts, net.</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For the nine months ended September 30, 2025, net cash used in investing activities was $33.9 million, which primarily related to the $25.0 million Convertible Note Investment. Net cash used in investing activities also included capitalization of internally developed software costs in accordance with ASC 350-40, </w:t>
      </w:r>
      <w:r>
        <w:rPr>
          <w:rFonts w:ascii="Times New Roman" w:cs="Times New Roman" w:eastAsia="Times New Roman" w:hAnsi="Times New Roman"/>
          <w:sz w:val="14"/>
          <w:szCs w:val="14"/>
          <w:i w:val="1"/>
          <w:iCs w:val="1"/>
          <w:color w:val="auto"/>
        </w:rPr>
        <w:t>Intangibles - Goodwill and Other, Internal-Use Software</w:t>
      </w:r>
      <w:r>
        <w:rPr>
          <w:rFonts w:ascii="Times New Roman" w:cs="Times New Roman" w:eastAsia="Times New Roman" w:hAnsi="Times New Roman"/>
          <w:sz w:val="14"/>
          <w:szCs w:val="14"/>
          <w:color w:val="auto"/>
        </w:rPr>
        <w:t>, and cash paid for an acquisition. Refer to Note 6, "Business Combinations" for additional information on the acquisition.</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net cash used in investing activities was $3.3 million, which primarily related to the capitalization of internally developed software costs in accordance with ASC 350-40</w:t>
      </w:r>
      <w:r>
        <w:rPr>
          <w:rFonts w:ascii="Times New Roman" w:cs="Times New Roman" w:eastAsia="Times New Roman" w:hAnsi="Times New Roman"/>
          <w:sz w:val="14"/>
          <w:szCs w:val="14"/>
          <w:i w:val="1"/>
          <w:iCs w:val="1"/>
          <w:color w:val="auto"/>
        </w:rPr>
        <w:t>, Intangibles - Goodwill and Other, Internal-Use Software</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the nine months ended September 30, 2025, net cash provided by financing activities was $278.9 million, which primarily related to proceeds of $320.0 million from the issuance of the June 2025 Convertible Notes offset by payments of $10.9 million for debt issuance costs. In connection with the issuance of the June 2025 Convertible Notes, the Company paid $33.7 million in capped call transactions. Refer to Note 8, "Convertible Notes" for more information on the June 2025 Convertible Notes and the June 2025 Capped Calls. Financing activities also included $47.3 million of taxes paid for the net settlement of equity awards, offset by $50.8 million of proceeds related to tax withholdings on restricted stock settlements and the exercise of stock options and warrants.</w:t>
      </w:r>
    </w:p>
    <w:p>
      <w:pPr>
        <w:spacing w:after="0" w:line="14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nine months ended September 30, 2024, net cash provided by financing activities was $72.5 million, which primarily related to net proceeds of $93.0 million after deducting underwriting discounts and commissions from our U.S. IPO and $5.6 million of proceeds from the exercise of options and warrants, offset by $23.4 million of taxes paid for the net settlement of equity awards, and $2.7 million payment of U.S. IPO costs. As of September 30, 2024, $3.6 million of the incurred U.S. IPO costs were unpaid.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Obligations and Other Commitments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principal commitments consist of obligations under our operating leases for office space, and other purchase commitments. Information regarding our non-cancellable lease and other purchase commitments as of September 30, 2025, can be found in Note 7, "Balance Sheet Components" and Note 9, "Commitments and Contingencies" to our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Management Estimates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There were no significant changes to these policies during the nine months ended September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September 30, 2025 and December 31, 2024, we had $388.8 million and $134.0 million, respectively, of cash equivalents invested in money market funds. Our cash and cash equivalents are held for working capital purposes. As of September 30, 2025 and December 31, 2024, a hypothetical 10% relative change in interest rates would not have a material impact on our condensed consolidated financial statements.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9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3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Inflation Risk</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Evaluation of Disclosure Controls and Procedures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as of September 30,</w:t>
      </w:r>
    </w:p>
    <w:p>
      <w:pPr>
        <w:spacing w:after="0" w:line="20" w:lineRule="exact"/>
        <w:rPr>
          <w:sz w:val="20"/>
          <w:szCs w:val="20"/>
          <w:color w:val="auto"/>
        </w:rPr>
      </w:pPr>
    </w:p>
    <w:p>
      <w:pPr>
        <w:jc w:val="both"/>
        <w:spacing w:after="0" w:line="170" w:lineRule="exact"/>
        <w:rPr>
          <w:sz w:val="20"/>
          <w:szCs w:val="20"/>
          <w:color w:val="auto"/>
        </w:rPr>
      </w:pPr>
      <w:r>
        <w:rPr>
          <w:rFonts w:ascii="Times New Roman" w:cs="Times New Roman" w:eastAsia="Times New Roman" w:hAnsi="Times New Roman"/>
          <w:sz w:val="14"/>
          <w:szCs w:val="14"/>
          <w:color w:val="auto"/>
        </w:rPr>
        <w:t>2025 pursuant to Rule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September 30, 2025.</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Changes in Internal Control over Financial Reporting</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identified in connection with the evaluation required by Rule 13a-15(d) and 15d-15(d) of the Exchange Act that occurred during the three months ended September 30, 2025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 and Procedures</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From time to time, we may be and have been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4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information set forth under Note 9, "Commitments and Contingencies" in the notes to our condensed consolidated financial statements under the caption “Litigation and Arbitration”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There have been no material changes from the risk factors set forth under the heading “Risk Factors” in Part I, Item 1A in our Annual Report and in Part II, Item 1A in our Quarterly Reports on Form 10-Q for the quarters ended March 31, 2025 and June 30, 2025, except for the following risk factors which supplement the risk factors previously disclosed and should be considered in conjunction with the risk factors set forth in our Annual Report and Quarterly Reports on Form 10-Q for the quarters ended March 31, 2025 and June 30, 2025. An investment in shares of our common stock involves a high degree of risk. You should carefully consider the risks and uncertainties, described in our Annual Report and Quarterly Reports on Form 10-Q for the quarters ended March 31, 2025 and June 30, 2025, together with all of the other information in the Annual Report, and the following information about risks, together with information appearing elsewhere in this Quarterly Report, including our unaudited condensed consolidated financial statements and related notes hereto, and any other documents that we file with the SEC before deciding to invest in our common stock. The occurrence of any of the following risks or of those described in our Annual Report and Quarterly Reports on Form 10-Q for the quarters ended March 31, 2025 and June 30, 2025,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in our Annual Report or in our Quarterly Reports on Form 10-Q for the quarters ended March 31, 2025 and June 30, 2025, will not occur.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4"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3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November 2024, we entered into a technology exclusivity and revenue sharing agreement with Hubble (the “Hubble Agreement”), under which we became the exclusive consumer application of their satellite Bluetooth technology. We intend to connect the Company’s Tile Bluetooth trackers with Hubble’s satellites to create a global location-tracking network. However, our inability to realize the anticipated benefits of our transactions with Hubble could have a material adverse effect on our growth prospects and expectations. In addition, in November 2025, we agreed to acquire Nativo, Inc. The acquisition intends to accelerate the Company’s advertising roadmap and intends to position the company to scale a full-funnel ads platform. The failure of any significant investment or business strategy, opportunity, partnership or acquisition could materially adversely affect our business, growth prospects, expectations. reputation, results of operations and financial condition.</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Changes to our existing brands, products and services, or the introduction of new brands, products or services, could fail to attract or retain members or generate revenue and profits.</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but not limited to research and development, which may impair our ability to develop new products and services and enhancements of existing products and services, and could substantially increase our costs. For example, as we continue to expand our hardware offerings, including connected devices such as our recently launched pet tracker, we may be exposed to additional risks relating to product performance, quality, safety, or reliability. These devices may contain defects, experience performance issues, or fail to operate as intended. These may result from the design or manufacture of the product, or from the software or other components used in the product. Such issues could result in property damage, personal or pet injury, product returns, warranty claims, or product recalls. Any such issues, or the perception that our products are unsafe or unreliable, could damage our brand, lead to product liability claims or regulatory investigations, and require us to incur significant costs or expenses. Our insurance coverage may not fully protect us against all potential liabilities, and any resulting claims or adverse publicity could materially adversely affect our business, financial condition, and results of operations.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$79.9 million after deducting underwriting discounts and commissions of $7.0 million and total other offering related expenses payable by us of approximately $13.1 million. Other offering related expenses of $6.8 million included on the consolidated statement of operations and comprehensive income (loss) for the twelve months ended December 31, 2024,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has been no material change in the expected use of the net proceeds from our U.S. IPO as described in our final prospectus supplement filed as part of the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4" w:lineRule="exact"/>
        <w:rPr>
          <w:sz w:val="20"/>
          <w:szCs w:val="20"/>
          <w:color w:val="auto"/>
        </w:rPr>
      </w:pPr>
    </w:p>
    <w:p>
      <w:pPr>
        <w:ind w:left="520" w:hanging="197"/>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None</w:t>
      </w:r>
    </w:p>
    <w:p>
      <w:pPr>
        <w:spacing w:after="0" w:line="178" w:lineRule="exact"/>
        <w:rPr>
          <w:rFonts w:ascii="Times New Roman" w:cs="Times New Roman" w:eastAsia="Times New Roman" w:hAnsi="Times New Roman"/>
          <w:sz w:val="14"/>
          <w:szCs w:val="14"/>
          <w:b w:val="1"/>
          <w:bCs w:val="1"/>
          <w:color w:val="auto"/>
        </w:rPr>
      </w:pPr>
    </w:p>
    <w:p>
      <w:pPr>
        <w:ind w:left="540" w:hanging="217"/>
        <w:spacing w:after="0"/>
        <w:tabs>
          <w:tab w:leader="none" w:pos="54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None</w:t>
      </w:r>
    </w:p>
    <w:p>
      <w:pPr>
        <w:spacing w:after="0" w:line="178" w:lineRule="exact"/>
        <w:rPr>
          <w:rFonts w:ascii="Times New Roman" w:cs="Times New Roman" w:eastAsia="Times New Roman" w:hAnsi="Times New Roman"/>
          <w:sz w:val="14"/>
          <w:szCs w:val="14"/>
          <w:b w:val="1"/>
          <w:bCs w:val="1"/>
          <w:color w:val="auto"/>
        </w:rPr>
      </w:pPr>
    </w:p>
    <w:p>
      <w:pPr>
        <w:ind w:left="520" w:hanging="197"/>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Rule 10b5-1 Trading Plans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officers, as defined in Rule 16a-1(f) of the Exchange Act (“Section 16 Officers”), may from time to time enter into plans for the purchase or sale of our common stock that are intended to satisfy the affirmative defense in Rule 10b5-1(c) of the Exchange Act. During the three months ended September 30, 2025, the following Section 16 Officer adopted a “Rule 10b5-1 trading arrangement” as defined in Item 408 of Regulation S-K of the Exchange Act: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74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w w:val="97"/>
              </w:rPr>
              <w:t>Action</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Adoption Date</w:t>
            </w:r>
          </w:p>
        </w:tc>
        <w:tc>
          <w:tcPr>
            <w:tcW w:w="14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234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6"/>
              </w:rPr>
              <w:t>Total number of securities to be sold</w:t>
            </w:r>
          </w:p>
        </w:tc>
      </w:tr>
      <w:tr>
        <w:trPr>
          <w:trHeight w:val="17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Burke</w:t>
            </w:r>
          </w:p>
        </w:tc>
        <w:tc>
          <w:tcPr>
            <w:tcW w:w="2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Chief Financial Officer</w:t>
            </w:r>
          </w:p>
        </w:tc>
        <w:tc>
          <w:tcPr>
            <w:tcW w:w="174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4"/>
                <w:szCs w:val="14"/>
                <w:color w:val="auto"/>
              </w:rPr>
              <w:t>Adoption</w:t>
            </w:r>
          </w:p>
        </w:tc>
        <w:tc>
          <w:tcPr>
            <w:tcW w:w="156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color w:val="auto"/>
              </w:rPr>
              <w:t>9/1/2025</w:t>
            </w:r>
          </w:p>
        </w:tc>
        <w:tc>
          <w:tcPr>
            <w:tcW w:w="1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4"/>
                <w:szCs w:val="14"/>
                <w:color w:val="auto"/>
              </w:rPr>
              <w:t>11/20/2026</w:t>
            </w:r>
          </w:p>
        </w:tc>
        <w:tc>
          <w:tcPr>
            <w:tcW w:w="234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w w:val="99"/>
              </w:rPr>
              <w:t>Up to 99,821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9"/>
        </w:trPr>
        <w:tc>
          <w:tcPr>
            <w:tcW w:w="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20" w:type="dxa"/>
            <w:vAlign w:val="bottom"/>
            <w:gridSpan w:val="11"/>
          </w:tcPr>
          <w:p>
            <w:pPr>
              <w:ind w:left="15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80"/>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720" w:type="dxa"/>
            <w:vAlign w:val="bottom"/>
            <w:tcBorders>
              <w:top w:val="single" w:sz="8" w:color="auto"/>
            </w:tcBorders>
            <w:gridSpan w:val="13"/>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Restated Certificate of Incorporation of the Company.</w:t>
              </w:r>
            </w:hyperlink>
          </w:p>
        </w:tc>
      </w:tr>
      <w:tr>
        <w:trPr>
          <w:trHeight w:val="23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w w:val="99"/>
              </w:rPr>
            </w:pPr>
            <w:hyperlink r:id="rId99">
              <w:r>
                <w:rPr>
                  <w:rFonts w:ascii="Times New Roman" w:cs="Times New Roman" w:eastAsia="Times New Roman" w:hAnsi="Times New Roman"/>
                  <w:sz w:val="14"/>
                  <w:szCs w:val="14"/>
                  <w:color w:val="0000FF"/>
                  <w:w w:val="99"/>
                </w:rPr>
                <w:t>Amended and Restated Bylaws of the Company.</w:t>
              </w:r>
            </w:hyperlink>
          </w:p>
        </w:tc>
        <w:tc>
          <w:tcPr>
            <w:tcW w:w="300" w:type="dxa"/>
            <w:vAlign w:val="bottom"/>
            <w:tcBorders>
              <w:top w:val="single" w:sz="8" w:color="0000FF"/>
            </w:tcBorders>
          </w:tcPr>
          <w:p>
            <w:pPr>
              <w:spacing w:after="0"/>
              <w:rPr>
                <w:sz w:val="20"/>
                <w:szCs w:val="20"/>
                <w:color w:val="auto"/>
              </w:rPr>
            </w:pPr>
          </w:p>
        </w:tc>
        <w:tc>
          <w:tcPr>
            <w:tcW w:w="1680" w:type="dxa"/>
            <w:vAlign w:val="bottom"/>
            <w:gridSpan w:val="9"/>
          </w:tcPr>
          <w:p>
            <w:pPr>
              <w:spacing w:after="0"/>
              <w:rPr>
                <w:sz w:val="20"/>
                <w:szCs w:val="20"/>
                <w:color w:val="auto"/>
              </w:rPr>
            </w:pPr>
          </w:p>
        </w:tc>
      </w:tr>
      <w:tr>
        <w:trPr>
          <w:trHeight w:val="23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Promotion Letter, dated August 8, 2025, between Life360, Inc. and Chris Hulls</w:t>
            </w:r>
          </w:p>
        </w:tc>
        <w:tc>
          <w:tcPr>
            <w:tcW w:w="240" w:type="dxa"/>
            <w:vAlign w:val="bottom"/>
            <w:gridSpan w:val="3"/>
          </w:tcPr>
          <w:p>
            <w:pPr>
              <w:spacing w:after="0"/>
              <w:rPr>
                <w:sz w:val="20"/>
                <w:szCs w:val="20"/>
                <w:color w:val="auto"/>
              </w:rPr>
            </w:pPr>
          </w:p>
        </w:tc>
      </w:tr>
      <w:tr>
        <w:trPr>
          <w:trHeight w:val="23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Promotion Letter, dated August 8, 2025, between Life360, Inc. and Lauren</w:t>
            </w:r>
          </w:p>
        </w:tc>
      </w:tr>
      <w:tr>
        <w:trPr>
          <w:trHeight w:val="118"/>
        </w:trPr>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Antonoff</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Chief Executive Officer Certification Pursuant to Rule 13a-14(a) of the Exchange</w:t>
            </w:r>
          </w:p>
        </w:tc>
      </w:tr>
      <w:tr>
        <w:trPr>
          <w:trHeight w:val="118"/>
        </w:trPr>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w w:val="99"/>
              </w:rPr>
              <w:t>Act.</w:t>
            </w:r>
          </w:p>
        </w:tc>
        <w:tc>
          <w:tcPr>
            <w:tcW w:w="4380" w:type="dxa"/>
            <w:vAlign w:val="bottom"/>
            <w:tcBorders>
              <w:top w:val="single" w:sz="8" w:color="0000FF"/>
            </w:tcBorders>
            <w:gridSpan w:val="11"/>
          </w:tcPr>
          <w:p>
            <w:pPr>
              <w:spacing w:after="0"/>
              <w:rPr>
                <w:sz w:val="10"/>
                <w:szCs w:val="10"/>
                <w:color w:val="auto"/>
              </w:rPr>
            </w:pPr>
          </w:p>
        </w:tc>
        <w:tc>
          <w:tcPr>
            <w:tcW w:w="100" w:type="dxa"/>
            <w:vAlign w:val="bottom"/>
          </w:tcPr>
          <w:p>
            <w:pPr>
              <w:spacing w:after="0"/>
              <w:rPr>
                <w:sz w:val="10"/>
                <w:szCs w:val="10"/>
                <w:color w:val="auto"/>
              </w:rPr>
            </w:pPr>
          </w:p>
        </w:tc>
      </w:tr>
      <w:tr>
        <w:trPr>
          <w:trHeight w:val="21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Chief Financial Officer Certification Pursuant to Rule 13a-14(a) of the Exchange</w:t>
            </w:r>
          </w:p>
        </w:tc>
        <w:tc>
          <w:tcPr>
            <w:tcW w:w="140" w:type="dxa"/>
            <w:vAlign w:val="bottom"/>
            <w:gridSpan w:val="2"/>
          </w:tcPr>
          <w:p>
            <w:pPr>
              <w:spacing w:after="0"/>
              <w:rPr>
                <w:sz w:val="18"/>
                <w:szCs w:val="18"/>
                <w:color w:val="auto"/>
              </w:rPr>
            </w:pPr>
          </w:p>
        </w:tc>
      </w:tr>
      <w:tr>
        <w:trPr>
          <w:trHeight w:val="118"/>
        </w:trPr>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w w:val="99"/>
              </w:rPr>
              <w:t>Act.</w:t>
            </w:r>
          </w:p>
        </w:tc>
        <w:tc>
          <w:tcPr>
            <w:tcW w:w="4340" w:type="dxa"/>
            <w:vAlign w:val="bottom"/>
            <w:gridSpan w:val="10"/>
          </w:tcPr>
          <w:p>
            <w:pPr>
              <w:spacing w:after="0"/>
              <w:rPr>
                <w:sz w:val="10"/>
                <w:szCs w:val="10"/>
                <w:color w:val="auto"/>
              </w:rPr>
            </w:pPr>
          </w:p>
        </w:tc>
        <w:tc>
          <w:tcPr>
            <w:tcW w:w="140" w:type="dxa"/>
            <w:vAlign w:val="bottom"/>
            <w:gridSpan w:val="2"/>
          </w:tcPr>
          <w:p>
            <w:pPr>
              <w:spacing w:after="0"/>
              <w:rPr>
                <w:sz w:val="10"/>
                <w:szCs w:val="10"/>
                <w:color w:val="auto"/>
              </w:rPr>
            </w:pPr>
          </w:p>
        </w:tc>
      </w:tr>
      <w:tr>
        <w:trPr>
          <w:trHeight w:val="21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Chief Executive Officer Certification pursuant to 18 U.S.C. Section 1350 as</w:t>
            </w:r>
          </w:p>
        </w:tc>
      </w:tr>
      <w:tr>
        <w:trPr>
          <w:trHeight w:val="118"/>
        </w:trPr>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400" w:type="dxa"/>
            <w:vAlign w:val="bottom"/>
            <w:tcBorders>
              <w:top w:val="single" w:sz="8" w:color="0000FF"/>
            </w:tcBorders>
            <w:gridSpan w:val="3"/>
          </w:tcPr>
          <w:p>
            <w:pPr>
              <w:spacing w:after="0"/>
              <w:rPr>
                <w:sz w:val="10"/>
                <w:szCs w:val="10"/>
                <w:color w:val="auto"/>
              </w:rPr>
            </w:pPr>
          </w:p>
        </w:tc>
        <w:tc>
          <w:tcPr>
            <w:tcW w:w="440" w:type="dxa"/>
            <w:vAlign w:val="bottom"/>
            <w:gridSpan w:val="4"/>
          </w:tcPr>
          <w:p>
            <w:pPr>
              <w:spacing w:after="0"/>
              <w:rPr>
                <w:sz w:val="10"/>
                <w:szCs w:val="10"/>
                <w:color w:val="auto"/>
              </w:rPr>
            </w:pPr>
          </w:p>
        </w:tc>
      </w:tr>
      <w:tr>
        <w:trPr>
          <w:trHeight w:val="21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Chief Financial Officer Certification pursuant to 18 U.S.C. Section 1350 as</w:t>
            </w:r>
          </w:p>
        </w:tc>
      </w:tr>
      <w:tr>
        <w:trPr>
          <w:trHeight w:val="139"/>
        </w:trPr>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5"/>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380" w:type="dxa"/>
            <w:vAlign w:val="bottom"/>
            <w:tcBorders>
              <w:top w:val="single" w:sz="8" w:color="0000FF"/>
            </w:tcBorders>
            <w:gridSpan w:val="3"/>
          </w:tcPr>
          <w:p>
            <w:pPr>
              <w:spacing w:after="0"/>
              <w:rPr>
                <w:sz w:val="12"/>
                <w:szCs w:val="12"/>
                <w:color w:val="auto"/>
              </w:rPr>
            </w:pPr>
          </w:p>
        </w:tc>
        <w:tc>
          <w:tcPr>
            <w:tcW w:w="480" w:type="dxa"/>
            <w:vAlign w:val="bottom"/>
            <w:gridSpan w:val="5"/>
          </w:tcPr>
          <w:p>
            <w:pPr>
              <w:spacing w:after="0"/>
              <w:rPr>
                <w:sz w:val="12"/>
                <w:szCs w:val="12"/>
                <w:color w:val="auto"/>
              </w:rPr>
            </w:pPr>
          </w:p>
        </w:tc>
      </w:tr>
      <w:tr>
        <w:trPr>
          <w:trHeight w:val="26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23"/>
                <w:szCs w:val="23"/>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Inline XBRL Instance Document</w:t>
            </w:r>
          </w:p>
        </w:tc>
      </w:tr>
      <w:tr>
        <w:trPr>
          <w:trHeight w:val="23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0"/>
                <w:szCs w:val="20"/>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Inline XBRL Taxonomy Extension Schema With Embedded Linkbase</w:t>
            </w:r>
          </w:p>
        </w:tc>
      </w:tr>
      <w:tr>
        <w:trPr>
          <w:trHeight w:val="186"/>
        </w:trPr>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Documents</w:t>
            </w:r>
          </w:p>
        </w:tc>
      </w:tr>
    </w:tbl>
    <w:p>
      <w:pPr>
        <w:spacing w:after="0" w:line="58" w:lineRule="exact"/>
        <w:rPr>
          <w:sz w:val="20"/>
          <w:szCs w:val="20"/>
          <w:color w:val="auto"/>
        </w:rPr>
      </w:pPr>
    </w:p>
    <w:p>
      <w:pPr>
        <w:ind w:left="940" w:right="300" w:hanging="921"/>
        <w:spacing w:after="0" w:line="242"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Cover Page Interactive Data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10795</wp:posOffset>
            </wp:positionV>
            <wp:extent cx="4381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38150"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X</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X</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X</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X</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X</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X</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X</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X</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30384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038475" cy="698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6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File No.</w:t>
            </w:r>
          </w:p>
        </w:tc>
        <w:tc>
          <w:tcPr>
            <w:tcW w:w="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6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r>
      <w:tr>
        <w:trPr>
          <w:trHeight w:val="212"/>
        </w:trPr>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000-56424</w:t>
            </w:r>
          </w:p>
        </w:tc>
        <w:tc>
          <w:tcPr>
            <w:tcW w:w="6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 2024</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r>
      <w:tr>
        <w:trPr>
          <w:trHeight w:val="255"/>
        </w:trPr>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000-56424</w:t>
            </w:r>
          </w:p>
        </w:tc>
        <w:tc>
          <w:tcPr>
            <w:tcW w:w="60" w:type="dxa"/>
            <w:vAlign w:val="bottom"/>
          </w:tcPr>
          <w:p>
            <w:pPr>
              <w:spacing w:after="0"/>
              <w:rPr>
                <w:sz w:val="22"/>
                <w:szCs w:val="2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 2024</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r>
    </w:tbl>
    <w:p>
      <w:pPr>
        <w:spacing w:after="0" w:line="3415" w:lineRule="exact"/>
        <w:rPr>
          <w:sz w:val="20"/>
          <w:szCs w:val="20"/>
          <w:color w:val="auto"/>
        </w:rPr>
      </w:pPr>
    </w:p>
    <w:p>
      <w:pPr>
        <w:sectPr>
          <w:pgSz w:w="11900" w:h="16838" w:orient="portrait"/>
          <w:cols w:equalWidth="0" w:num="3">
            <w:col w:w="5660" w:space="180"/>
            <w:col w:w="460" w:space="180"/>
            <w:col w:w="4800"/>
          </w:cols>
          <w:pgMar w:left="300" w:top="208" w:right="3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87" w:lineRule="exact"/>
        <w:rPr>
          <w:sz w:val="20"/>
          <w:szCs w:val="20"/>
          <w:color w:val="auto"/>
        </w:rPr>
      </w:pPr>
    </w:p>
    <w:p>
      <w:pPr>
        <w:ind w:left="520" w:hanging="515"/>
        <w:spacing w:after="0" w:line="270" w:lineRule="auto"/>
        <w:tabs>
          <w:tab w:leader="none" w:pos="28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spacing w:after="0" w:line="5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a management contract or compensatory plan, contract, or arrangement.</w:t>
      </w:r>
    </w:p>
    <w:p>
      <w:pPr>
        <w:spacing w:after="0" w:line="9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Portions of this exhibit have been redacted in accordance with Regulation S-K Item 601(a)(6).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62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LIFE360, INC.</w:t>
            </w:r>
          </w:p>
        </w:tc>
      </w:tr>
      <w:tr>
        <w:trPr>
          <w:trHeight w:val="38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November 10, 2025</w:t>
            </w:r>
          </w:p>
        </w:tc>
        <w:tc>
          <w:tcPr>
            <w:tcW w:w="21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Lauren Antonoff</w:t>
            </w:r>
          </w:p>
        </w:tc>
      </w:tr>
      <w:tr>
        <w:trPr>
          <w:trHeight w:val="175"/>
        </w:trPr>
        <w:tc>
          <w:tcPr>
            <w:tcW w:w="6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Lauren Antonoff</w:t>
            </w:r>
          </w:p>
        </w:tc>
      </w:tr>
      <w:tr>
        <w:trPr>
          <w:trHeight w:val="245"/>
        </w:trPr>
        <w:tc>
          <w:tcPr>
            <w:tcW w:w="6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6"/>
        </w:trPr>
        <w:tc>
          <w:tcPr>
            <w:tcW w:w="6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584"/>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November 10, 2025</w:t>
            </w:r>
          </w:p>
        </w:tc>
        <w:tc>
          <w:tcPr>
            <w:tcW w:w="21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Russell Burke</w:t>
            </w:r>
          </w:p>
        </w:tc>
      </w:tr>
      <w:tr>
        <w:trPr>
          <w:trHeight w:val="175"/>
        </w:trPr>
        <w:tc>
          <w:tcPr>
            <w:tcW w:w="6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Burke</w:t>
            </w:r>
          </w:p>
        </w:tc>
      </w:tr>
    </w:tbl>
    <w:p>
      <w:pPr>
        <w:spacing w:after="0" w:line="6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80"/>
          </w:cols>
          <w:pgMar w:left="300" w:top="208" w:right="319" w:bottom="1440"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05" w:lineRule="auto"/>
        <w:rPr>
          <w:sz w:val="20"/>
          <w:szCs w:val="20"/>
          <w:color w:val="auto"/>
        </w:rPr>
      </w:pPr>
      <w:r>
        <w:rPr>
          <w:rFonts w:ascii="Times New Roman" w:cs="Times New Roman" w:eastAsia="Times New Roman" w:hAnsi="Times New Roman"/>
          <w:sz w:val="14"/>
          <w:szCs w:val="14"/>
          <w:b w:val="1"/>
          <w:bCs w:val="1"/>
          <w:color w:val="auto"/>
        </w:rPr>
        <w:t>PURSUANT TO EXCHANGE ACT RULE 13a-14(a)/15d-14(a)</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AS ADOPTED PURSUANT TO SECTION 302</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Lauren Antonoff, certify that:</w:t>
      </w:r>
    </w:p>
    <w:p>
      <w:pPr>
        <w:spacing w:after="0" w:line="147"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Life360, Inc. (the “registrant”);</w:t>
      </w:r>
    </w:p>
    <w:p>
      <w:pPr>
        <w:spacing w:after="0" w:line="157" w:lineRule="exact"/>
        <w:rPr>
          <w:rFonts w:ascii="Times New Roman" w:cs="Times New Roman" w:eastAsia="Times New Roman" w:hAnsi="Times New Roman"/>
          <w:sz w:val="14"/>
          <w:szCs w:val="14"/>
          <w:color w:val="auto"/>
        </w:rPr>
      </w:pPr>
    </w:p>
    <w:p>
      <w:pPr>
        <w:ind w:left="220" w:hanging="215"/>
        <w:spacing w:after="0" w:line="239" w:lineRule="auto"/>
        <w:tabs>
          <w:tab w:leader="none" w:pos="27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20" w:hanging="215"/>
        <w:spacing w:after="0" w:line="255" w:lineRule="auto"/>
        <w:tabs>
          <w:tab w:leader="none" w:pos="2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Times New Roman" w:cs="Times New Roman" w:eastAsia="Times New Roman" w:hAnsi="Times New Roman"/>
          <w:sz w:val="14"/>
          <w:szCs w:val="14"/>
          <w:color w:val="auto"/>
        </w:rPr>
      </w:pPr>
    </w:p>
    <w:p>
      <w:pPr>
        <w:ind w:left="220" w:hanging="215"/>
        <w:spacing w:after="0" w:line="239" w:lineRule="auto"/>
        <w:tabs>
          <w:tab w:leader="none" w:pos="26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720" w:hanging="206"/>
        <w:spacing w:after="0" w:line="239" w:lineRule="auto"/>
        <w:tabs>
          <w:tab w:leader="none" w:pos="776"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20" w:hanging="206"/>
        <w:spacing w:after="0" w:line="255" w:lineRule="auto"/>
        <w:tabs>
          <w:tab w:leader="none" w:pos="815"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4"/>
          <w:szCs w:val="14"/>
          <w:color w:val="auto"/>
        </w:rPr>
      </w:pPr>
    </w:p>
    <w:p>
      <w:pPr>
        <w:ind w:left="720" w:hanging="206"/>
        <w:spacing w:after="0" w:line="239" w:lineRule="auto"/>
        <w:tabs>
          <w:tab w:leader="none" w:pos="836"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720" w:hanging="206"/>
        <w:spacing w:after="0" w:line="239" w:lineRule="auto"/>
        <w:tabs>
          <w:tab w:leader="none" w:pos="79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20" w:hanging="215"/>
        <w:spacing w:after="0" w:line="255"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Times New Roman" w:cs="Times New Roman" w:eastAsia="Times New Roman" w:hAnsi="Times New Roman"/>
          <w:sz w:val="14"/>
          <w:szCs w:val="14"/>
          <w:color w:val="auto"/>
        </w:rPr>
      </w:pPr>
    </w:p>
    <w:p>
      <w:pPr>
        <w:ind w:left="720" w:hanging="206"/>
        <w:spacing w:after="0" w:line="239" w:lineRule="auto"/>
        <w:tabs>
          <w:tab w:leader="none" w:pos="783"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940" w:val="left"/>
          <w:tab w:leader="none" w:pos="5960" w:val="left"/>
          <w:tab w:leader="none" w:pos="65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November 10, 2025</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3"/>
          <w:szCs w:val="13"/>
          <w:color w:val="auto"/>
        </w:rPr>
        <w:t>Lauren Antonoff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14605</wp:posOffset>
            </wp:positionV>
            <wp:extent cx="245935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459355" cy="698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Lauren Antonoff</w:t>
      </w:r>
    </w:p>
    <w:p>
      <w:pPr>
        <w:spacing w:after="0" w:line="6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ectPr>
          <w:pgSz w:w="11900" w:h="16838" w:orient="portrait"/>
          <w:cols w:equalWidth="0" w:num="1">
            <w:col w:w="11280"/>
          </w:cols>
          <w:pgMar w:left="300" w:top="749"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PURSUANT TO EXCHANGE ACT RULE 13a-14(a)/15d-14(a)</w:t>
      </w:r>
    </w:p>
    <w:p>
      <w:pPr>
        <w:jc w:val="center"/>
        <w:spacing w:after="0" w:line="206" w:lineRule="auto"/>
        <w:rPr>
          <w:sz w:val="20"/>
          <w:szCs w:val="20"/>
          <w:color w:val="auto"/>
        </w:rPr>
      </w:pPr>
      <w:r>
        <w:rPr>
          <w:rFonts w:ascii="Times New Roman" w:cs="Times New Roman" w:eastAsia="Times New Roman" w:hAnsi="Times New Roman"/>
          <w:sz w:val="14"/>
          <w:szCs w:val="14"/>
          <w:b w:val="1"/>
          <w:bCs w:val="1"/>
          <w:color w:val="auto"/>
        </w:rPr>
        <w:t>AS ADOPTED PURSUANT TO SECTION 302</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Russell Burke, certify that:</w:t>
      </w:r>
    </w:p>
    <w:p>
      <w:pPr>
        <w:spacing w:after="0" w:line="157"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Life360, Inc. (the “registrant”);</w:t>
      </w:r>
    </w:p>
    <w:p>
      <w:pPr>
        <w:spacing w:after="0" w:line="146" w:lineRule="exact"/>
        <w:rPr>
          <w:rFonts w:ascii="Times New Roman" w:cs="Times New Roman" w:eastAsia="Times New Roman" w:hAnsi="Times New Roman"/>
          <w:sz w:val="14"/>
          <w:szCs w:val="14"/>
          <w:color w:val="auto"/>
        </w:rPr>
      </w:pPr>
    </w:p>
    <w:p>
      <w:pPr>
        <w:ind w:left="220" w:hanging="215"/>
        <w:spacing w:after="0" w:line="239" w:lineRule="auto"/>
        <w:tabs>
          <w:tab w:leader="none" w:pos="27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220" w:hanging="215"/>
        <w:spacing w:after="0" w:line="239" w:lineRule="auto"/>
        <w:tabs>
          <w:tab w:leader="none" w:pos="2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20" w:hanging="215"/>
        <w:spacing w:after="0" w:line="255" w:lineRule="auto"/>
        <w:tabs>
          <w:tab w:leader="none" w:pos="26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4"/>
          <w:szCs w:val="14"/>
          <w:color w:val="auto"/>
        </w:rPr>
      </w:pPr>
    </w:p>
    <w:p>
      <w:pPr>
        <w:ind w:left="720" w:hanging="206"/>
        <w:spacing w:after="0" w:line="239" w:lineRule="auto"/>
        <w:tabs>
          <w:tab w:leader="none" w:pos="77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20" w:hanging="206"/>
        <w:spacing w:after="0" w:line="239" w:lineRule="auto"/>
        <w:tabs>
          <w:tab w:leader="none" w:pos="815"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20" w:hanging="206"/>
        <w:spacing w:after="0" w:line="255" w:lineRule="auto"/>
        <w:tabs>
          <w:tab w:leader="none" w:pos="83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4"/>
          <w:szCs w:val="14"/>
          <w:color w:val="auto"/>
        </w:rPr>
      </w:pPr>
    </w:p>
    <w:p>
      <w:pPr>
        <w:ind w:left="720" w:hanging="206"/>
        <w:spacing w:after="0" w:line="239" w:lineRule="auto"/>
        <w:tabs>
          <w:tab w:leader="none" w:pos="79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20" w:hanging="215"/>
        <w:spacing w:after="0" w:line="255"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Times New Roman" w:cs="Times New Roman" w:eastAsia="Times New Roman" w:hAnsi="Times New Roman"/>
          <w:sz w:val="14"/>
          <w:szCs w:val="14"/>
          <w:color w:val="auto"/>
        </w:rPr>
      </w:pPr>
    </w:p>
    <w:p>
      <w:pPr>
        <w:ind w:left="720" w:hanging="206"/>
        <w:spacing w:after="0" w:line="239" w:lineRule="auto"/>
        <w:tabs>
          <w:tab w:leader="none" w:pos="783"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940" w:val="left"/>
          <w:tab w:leader="none" w:pos="5960" w:val="left"/>
          <w:tab w:leader="none" w:pos="65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November 10, 2025</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4"/>
          <w:szCs w:val="14"/>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14605</wp:posOffset>
            </wp:positionV>
            <wp:extent cx="245935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459355" cy="698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Russell Burke</w:t>
      </w:r>
    </w:p>
    <w:p>
      <w:pPr>
        <w:spacing w:after="0" w:line="6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ectPr>
          <w:pgSz w:w="11900" w:h="16838" w:orient="portrait"/>
          <w:cols w:equalWidth="0" w:num="1">
            <w:col w:w="11280"/>
          </w:cols>
          <w:pgMar w:left="300" w:top="919"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PURSUANT TO 18 U.S.C. SECTION 1350</w:t>
      </w:r>
    </w:p>
    <w:p>
      <w:pPr>
        <w:jc w:val="center"/>
        <w:spacing w:after="0" w:line="206"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4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accompanying Quarterly Report of Life360, Inc. (the “Company”), on Form 10-Q for the quarter ended September 30, 2025 (the “Report”), I, Lauren Antonoff, Chief Executive Officer of the Company, hereby certify pursuant to 18 U.S.C. § 1350, as adopted pursuant to § 906 of the Sarbanes-Oxley Act of 2002 that, to my knowledge:</w:t>
      </w:r>
    </w:p>
    <w:p>
      <w:pPr>
        <w:spacing w:after="0" w:line="124" w:lineRule="exact"/>
        <w:rPr>
          <w:sz w:val="20"/>
          <w:szCs w:val="20"/>
          <w:color w:val="auto"/>
        </w:rPr>
      </w:pPr>
    </w:p>
    <w:p>
      <w:pPr>
        <w:ind w:left="1020" w:hanging="506"/>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940" w:val="left"/>
          <w:tab w:leader="none" w:pos="5960" w:val="left"/>
          <w:tab w:leader="none" w:pos="65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November 10, 2025</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3"/>
          <w:szCs w:val="13"/>
          <w:color w:val="auto"/>
        </w:rPr>
        <w:t>Lauren Antonoff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14605</wp:posOffset>
            </wp:positionV>
            <wp:extent cx="245935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459355" cy="698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Lauren Antonoff</w:t>
      </w:r>
    </w:p>
    <w:p>
      <w:pPr>
        <w:spacing w:after="0" w:line="6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ectPr>
          <w:pgSz w:w="11900" w:h="16838" w:orient="portrait"/>
          <w:cols w:equalWidth="0" w:num="1">
            <w:col w:w="11280"/>
          </w:cols>
          <w:pgMar w:left="300" w:top="919"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PURSUANT TO 18 U.S.C. SECTION 1350</w:t>
      </w:r>
    </w:p>
    <w:p>
      <w:pPr>
        <w:jc w:val="center"/>
        <w:spacing w:after="0" w:line="206"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4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accompanying Quarterly Report of Life360, Inc. (the “Company”), on Form 10-Q for the quarter ended September 30, 2025 (the “Report”), I, Russell Burke, Chief Financial Officer of the Company, hereby certify pursuant to 18 U.S.C. § 1350, as adopted pursuant to § 906 of the Sarbanes-Oxley Act of 2002 that, to my knowledge:</w:t>
      </w:r>
    </w:p>
    <w:p>
      <w:pPr>
        <w:spacing w:after="0" w:line="124" w:lineRule="exact"/>
        <w:rPr>
          <w:sz w:val="20"/>
          <w:szCs w:val="20"/>
          <w:color w:val="auto"/>
        </w:rPr>
      </w:pPr>
    </w:p>
    <w:p>
      <w:pPr>
        <w:ind w:left="1020" w:hanging="506"/>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940" w:val="left"/>
          <w:tab w:leader="none" w:pos="5960" w:val="left"/>
          <w:tab w:leader="none" w:pos="65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November 10, 2025</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4"/>
          <w:szCs w:val="14"/>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21590</wp:posOffset>
            </wp:positionV>
            <wp:extent cx="245935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459355" cy="698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Russell Burke</w:t>
      </w:r>
    </w:p>
    <w:p>
      <w:pPr>
        <w:spacing w:after="0" w:line="6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Chief Financial Officer</w:t>
      </w:r>
    </w:p>
    <w:sectPr>
      <w:pgSz w:w="11900" w:h="16838" w:orient="portrait"/>
      <w:cols w:equalWidth="0" w:num="1">
        <w:col w:w="11280"/>
      </w:cols>
      <w:pgMar w:left="300" w:top="9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98" Type="http://schemas.openxmlformats.org/officeDocument/2006/relationships/hyperlink" Target="https://www.sec.gov/Archives/edgar/data/1581760/000119312524152060/d844406dex31.htm" TargetMode="External"/><Relationship Id="rId99" Type="http://schemas.openxmlformats.org/officeDocument/2006/relationships/hyperlink" Target="https://www.sec.gov/Archives/edgar/data/1581760/000119312524152060/d84440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2025-11-10T15:29:25Z</dcterms:created>
  <dcterms:modified xsi:type="dcterms:W3CDTF">2025-11-10T15:29:25Z</dcterms:modified>
</cp:coreProperties>
</file>